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081D9">
      <w:pPr>
        <w:pStyle w:val="15"/>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40FAD502">
      <w:pPr>
        <w:pStyle w:val="15"/>
        <w:pageBreakBefore w:val="0"/>
        <w:kinsoku/>
        <w:wordWrap w:val="0"/>
        <w:bidi w:val="0"/>
        <w:spacing w:line="440" w:lineRule="exact"/>
        <w:jc w:val="center"/>
        <w:rPr>
          <w:rFonts w:hint="default" w:ascii="Times New Roman" w:hAnsi="Times New Roman" w:eastAsia="黑体" w:cs="Times New Roman"/>
          <w:b w:val="0"/>
          <w:bCs w:val="0"/>
          <w:color w:val="auto"/>
          <w:sz w:val="31"/>
          <w:szCs w:val="31"/>
          <w:highlight w:val="none"/>
        </w:rPr>
      </w:pPr>
      <w:r>
        <w:rPr>
          <w:rFonts w:hint="default" w:ascii="Times New Roman" w:hAnsi="Times New Roman" w:eastAsia="黑体" w:cs="Times New Roman"/>
          <w:b w:val="0"/>
          <w:bCs w:val="0"/>
          <w:color w:val="auto"/>
          <w:sz w:val="31"/>
          <w:szCs w:val="31"/>
          <w:highlight w:val="none"/>
          <w:u w:val="single"/>
        </w:rPr>
        <w:t>大石桥市2026年农村公路维修改造工程—大修</w:t>
      </w:r>
      <w:r>
        <w:rPr>
          <w:rFonts w:hint="default" w:ascii="Times New Roman" w:hAnsi="Times New Roman" w:eastAsia="黑体" w:cs="Times New Roman"/>
          <w:b w:val="0"/>
          <w:bCs w:val="0"/>
          <w:color w:val="auto"/>
          <w:sz w:val="31"/>
          <w:szCs w:val="31"/>
          <w:highlight w:val="none"/>
        </w:rPr>
        <w:t>（项目名称）</w:t>
      </w:r>
    </w:p>
    <w:p w14:paraId="17928808">
      <w:pPr>
        <w:pStyle w:val="15"/>
        <w:pageBreakBefore w:val="0"/>
        <w:kinsoku/>
        <w:wordWrap w:val="0"/>
        <w:bidi w:val="0"/>
        <w:spacing w:line="440" w:lineRule="exact"/>
        <w:jc w:val="center"/>
        <w:rPr>
          <w:rFonts w:hint="default" w:ascii="Times New Roman" w:hAnsi="Times New Roman" w:eastAsia="黑体" w:cs="Times New Roman"/>
          <w:color w:val="auto"/>
          <w:sz w:val="31"/>
          <w:szCs w:val="31"/>
          <w:highlight w:val="none"/>
        </w:rPr>
      </w:pPr>
      <w:r>
        <w:rPr>
          <w:rFonts w:hint="eastAsia" w:ascii="Times New Roman" w:eastAsia="黑体" w:cs="Times New Roman"/>
          <w:b w:val="0"/>
          <w:bCs w:val="0"/>
          <w:color w:val="auto"/>
          <w:sz w:val="31"/>
          <w:szCs w:val="31"/>
          <w:highlight w:val="none"/>
          <w:u w:val="single"/>
          <w:lang w:eastAsia="zh-CN"/>
        </w:rPr>
        <w:t>大石桥市2026年农村公路维修改造工程—大修（三标段）</w:t>
      </w:r>
      <w:r>
        <w:rPr>
          <w:rFonts w:hint="default" w:ascii="Times New Roman" w:hAnsi="Times New Roman" w:eastAsia="黑体" w:cs="Times New Roman"/>
          <w:b w:val="0"/>
          <w:bCs w:val="0"/>
          <w:color w:val="auto"/>
          <w:sz w:val="31"/>
          <w:szCs w:val="31"/>
          <w:highlight w:val="none"/>
          <w:u w:val="single"/>
        </w:rPr>
        <w:t>（标段名称）</w:t>
      </w:r>
      <w:r>
        <w:rPr>
          <w:rFonts w:hint="default" w:ascii="Times New Roman" w:hAnsi="Times New Roman" w:eastAsia="黑体" w:cs="Times New Roman"/>
          <w:color w:val="auto"/>
          <w:sz w:val="31"/>
          <w:szCs w:val="31"/>
          <w:highlight w:val="none"/>
        </w:rPr>
        <w:t>施工招标</w:t>
      </w:r>
    </w:p>
    <w:p w14:paraId="15BBC37C">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5EF133EE">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7739D2A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3D2FDBDE">
      <w:pPr>
        <w:pageBreakBefore w:val="0"/>
        <w:kinsoku/>
        <w:wordWrap w:val="0"/>
        <w:bidi w:val="0"/>
        <w:spacing w:line="440" w:lineRule="exact"/>
        <w:jc w:val="center"/>
        <w:rPr>
          <w:rFonts w:hint="default" w:ascii="Times New Roman" w:hAnsi="Times New Roman" w:cs="Times New Roman"/>
          <w:color w:val="auto"/>
          <w:sz w:val="20"/>
          <w:szCs w:val="20"/>
          <w:highlight w:val="yellow"/>
        </w:rPr>
      </w:pPr>
      <w:r>
        <w:rPr>
          <w:rFonts w:hint="default" w:ascii="Times New Roman" w:hAnsi="Times New Roman" w:eastAsia="黑体" w:cs="Times New Roman"/>
          <w:color w:val="auto"/>
          <w:sz w:val="28"/>
          <w:szCs w:val="28"/>
          <w:highlight w:val="yellow"/>
        </w:rPr>
        <w:t>（</w:t>
      </w:r>
      <w:r>
        <w:rPr>
          <w:rFonts w:hint="eastAsia" w:eastAsia="黑体" w:cs="Times New Roman"/>
          <w:color w:val="auto"/>
          <w:sz w:val="28"/>
          <w:szCs w:val="28"/>
          <w:highlight w:val="yellow"/>
          <w:lang w:eastAsia="zh-CN"/>
        </w:rPr>
        <w:t>项目编号</w:t>
      </w:r>
      <w:r>
        <w:rPr>
          <w:rFonts w:hint="default" w:ascii="Times New Roman" w:hAnsi="Times New Roman" w:eastAsia="黑体" w:cs="Times New Roman"/>
          <w:color w:val="auto"/>
          <w:sz w:val="28"/>
          <w:szCs w:val="28"/>
          <w:highlight w:val="yellow"/>
        </w:rPr>
        <w:t>：</w:t>
      </w:r>
      <w:r>
        <w:rPr>
          <w:rFonts w:hint="default" w:ascii="Times New Roman" w:hAnsi="Times New Roman" w:cs="Times New Roman"/>
          <w:color w:val="auto"/>
          <w:highlight w:val="yellow"/>
          <w:u w:val="single"/>
        </w:rPr>
        <w:t xml:space="preserve">              </w:t>
      </w:r>
      <w:r>
        <w:rPr>
          <w:rFonts w:hint="default" w:ascii="Times New Roman" w:hAnsi="Times New Roman" w:eastAsia="黑体" w:cs="Times New Roman"/>
          <w:color w:val="auto"/>
          <w:sz w:val="28"/>
          <w:szCs w:val="28"/>
          <w:highlight w:val="yellow"/>
        </w:rPr>
        <w:t>）</w:t>
      </w:r>
    </w:p>
    <w:p w14:paraId="0DF6FEF3">
      <w:pPr>
        <w:pageBreakBefore w:val="0"/>
        <w:kinsoku/>
        <w:wordWrap w:val="0"/>
        <w:bidi w:val="0"/>
        <w:spacing w:line="440" w:lineRule="exact"/>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 </w:t>
      </w:r>
    </w:p>
    <w:p w14:paraId="64B24238">
      <w:pPr>
        <w:pageBreakBefore w:val="0"/>
        <w:kinsoku/>
        <w:wordWrap w:val="0"/>
        <w:bidi w:val="0"/>
        <w:spacing w:line="440" w:lineRule="exact"/>
        <w:rPr>
          <w:rFonts w:hint="default" w:ascii="Times New Roman" w:hAnsi="Times New Roman" w:cs="Times New Roman"/>
          <w:color w:val="auto"/>
          <w:sz w:val="20"/>
          <w:szCs w:val="20"/>
          <w:highlight w:val="none"/>
        </w:rPr>
      </w:pPr>
    </w:p>
    <w:p w14:paraId="068AC959">
      <w:pPr>
        <w:pStyle w:val="16"/>
        <w:rPr>
          <w:rFonts w:hint="default" w:ascii="Times New Roman" w:hAnsi="Times New Roman" w:cs="Times New Roman"/>
          <w:color w:val="auto"/>
          <w:sz w:val="20"/>
          <w:szCs w:val="20"/>
          <w:highlight w:val="none"/>
        </w:rPr>
      </w:pPr>
    </w:p>
    <w:p w14:paraId="05C1EA58">
      <w:pPr>
        <w:pStyle w:val="16"/>
        <w:rPr>
          <w:rFonts w:hint="default" w:ascii="Times New Roman" w:hAnsi="Times New Roman" w:cs="Times New Roman"/>
          <w:color w:val="auto"/>
          <w:sz w:val="20"/>
          <w:szCs w:val="20"/>
          <w:highlight w:val="none"/>
        </w:rPr>
      </w:pPr>
    </w:p>
    <w:p w14:paraId="34DD8C29">
      <w:pPr>
        <w:pStyle w:val="16"/>
        <w:rPr>
          <w:rFonts w:hint="default" w:ascii="Times New Roman" w:hAnsi="Times New Roman" w:cs="Times New Roman"/>
          <w:color w:val="auto"/>
          <w:sz w:val="20"/>
          <w:szCs w:val="20"/>
          <w:highlight w:val="none"/>
        </w:rPr>
      </w:pPr>
    </w:p>
    <w:p w14:paraId="51B7DBCD">
      <w:pPr>
        <w:pageBreakBefore w:val="0"/>
        <w:kinsoku/>
        <w:wordWrap w:val="0"/>
        <w:bidi w:val="0"/>
        <w:spacing w:line="440" w:lineRule="exact"/>
        <w:rPr>
          <w:rFonts w:hint="default" w:ascii="Times New Roman" w:hAnsi="Times New Roman" w:cs="Times New Roman"/>
          <w:color w:val="auto"/>
          <w:sz w:val="20"/>
          <w:szCs w:val="20"/>
          <w:highlight w:val="none"/>
        </w:rPr>
      </w:pPr>
    </w:p>
    <w:p w14:paraId="57A8F9D7">
      <w:pPr>
        <w:pageBreakBefore w:val="0"/>
        <w:kinsoku/>
        <w:wordWrap w:val="0"/>
        <w:bidi w:val="0"/>
        <w:spacing w:line="860" w:lineRule="exact"/>
        <w:jc w:val="center"/>
        <w:rPr>
          <w:rFonts w:hint="default" w:ascii="Times New Roman" w:hAnsi="Times New Roman" w:eastAsia="黑体" w:cs="Times New Roman"/>
          <w:color w:val="auto"/>
          <w:sz w:val="50"/>
          <w:szCs w:val="50"/>
          <w:highlight w:val="none"/>
        </w:rPr>
      </w:pPr>
      <w:r>
        <w:rPr>
          <w:rFonts w:hint="default" w:ascii="Times New Roman" w:hAnsi="Times New Roman" w:eastAsia="黑体" w:cs="Times New Roman"/>
          <w:color w:val="auto"/>
          <w:sz w:val="50"/>
          <w:szCs w:val="50"/>
          <w:highlight w:val="none"/>
        </w:rPr>
        <w:t>招 标 文 件</w:t>
      </w:r>
    </w:p>
    <w:p w14:paraId="447785E9">
      <w:pPr>
        <w:pageBreakBefore w:val="0"/>
        <w:kinsoku/>
        <w:wordWrap w:val="0"/>
        <w:bidi w:val="0"/>
        <w:spacing w:line="440" w:lineRule="exact"/>
        <w:rPr>
          <w:rFonts w:hint="default" w:ascii="Times New Roman" w:hAnsi="Times New Roman" w:cs="Times New Roman"/>
          <w:color w:val="auto"/>
          <w:sz w:val="20"/>
          <w:szCs w:val="20"/>
          <w:highlight w:val="none"/>
        </w:rPr>
      </w:pPr>
    </w:p>
    <w:p w14:paraId="0DDE5F5A">
      <w:pPr>
        <w:pageBreakBefore w:val="0"/>
        <w:kinsoku/>
        <w:wordWrap w:val="0"/>
        <w:bidi w:val="0"/>
        <w:spacing w:line="440" w:lineRule="exact"/>
        <w:rPr>
          <w:rFonts w:hint="default" w:ascii="Times New Roman" w:hAnsi="Times New Roman" w:cs="Times New Roman"/>
          <w:color w:val="auto"/>
          <w:sz w:val="20"/>
          <w:szCs w:val="20"/>
          <w:highlight w:val="none"/>
        </w:rPr>
      </w:pPr>
    </w:p>
    <w:p w14:paraId="7C21304B">
      <w:pPr>
        <w:pageBreakBefore w:val="0"/>
        <w:kinsoku/>
        <w:wordWrap w:val="0"/>
        <w:bidi w:val="0"/>
        <w:spacing w:line="440" w:lineRule="exact"/>
        <w:rPr>
          <w:rFonts w:hint="default" w:ascii="Times New Roman" w:hAnsi="Times New Roman" w:cs="Times New Roman"/>
          <w:color w:val="auto"/>
          <w:sz w:val="20"/>
          <w:szCs w:val="20"/>
          <w:highlight w:val="none"/>
        </w:rPr>
      </w:pPr>
    </w:p>
    <w:p w14:paraId="1DDF5250">
      <w:pPr>
        <w:pageBreakBefore w:val="0"/>
        <w:kinsoku/>
        <w:wordWrap w:val="0"/>
        <w:bidi w:val="0"/>
        <w:spacing w:line="440" w:lineRule="exact"/>
        <w:rPr>
          <w:rFonts w:hint="default" w:ascii="Times New Roman" w:hAnsi="Times New Roman" w:cs="Times New Roman"/>
          <w:color w:val="auto"/>
          <w:sz w:val="20"/>
          <w:szCs w:val="20"/>
          <w:highlight w:val="none"/>
        </w:rPr>
      </w:pPr>
    </w:p>
    <w:p w14:paraId="34296E2E">
      <w:pPr>
        <w:pageBreakBefore w:val="0"/>
        <w:kinsoku/>
        <w:wordWrap w:val="0"/>
        <w:bidi w:val="0"/>
        <w:spacing w:line="440" w:lineRule="exact"/>
        <w:rPr>
          <w:rFonts w:hint="default" w:ascii="Times New Roman" w:hAnsi="Times New Roman" w:cs="Times New Roman"/>
          <w:color w:val="auto"/>
          <w:sz w:val="20"/>
          <w:szCs w:val="20"/>
          <w:highlight w:val="none"/>
        </w:rPr>
      </w:pPr>
    </w:p>
    <w:p w14:paraId="44596C28">
      <w:pPr>
        <w:pageBreakBefore w:val="0"/>
        <w:kinsoku/>
        <w:wordWrap w:val="0"/>
        <w:bidi w:val="0"/>
        <w:spacing w:line="440" w:lineRule="exact"/>
        <w:rPr>
          <w:rFonts w:hint="default" w:ascii="Times New Roman" w:hAnsi="Times New Roman" w:cs="Times New Roman"/>
          <w:color w:val="auto"/>
          <w:sz w:val="20"/>
          <w:szCs w:val="20"/>
          <w:highlight w:val="none"/>
        </w:rPr>
      </w:pPr>
    </w:p>
    <w:p w14:paraId="25365C3C">
      <w:pPr>
        <w:pageBreakBefore w:val="0"/>
        <w:kinsoku/>
        <w:wordWrap w:val="0"/>
        <w:bidi w:val="0"/>
        <w:spacing w:line="440" w:lineRule="exact"/>
        <w:rPr>
          <w:rFonts w:hint="default" w:ascii="Times New Roman" w:hAnsi="Times New Roman" w:cs="Times New Roman"/>
          <w:color w:val="auto"/>
          <w:sz w:val="20"/>
          <w:szCs w:val="20"/>
          <w:highlight w:val="none"/>
        </w:rPr>
      </w:pPr>
    </w:p>
    <w:p w14:paraId="6F5213CD">
      <w:pPr>
        <w:pageBreakBefore w:val="0"/>
        <w:kinsoku/>
        <w:wordWrap w:val="0"/>
        <w:bidi w:val="0"/>
        <w:spacing w:line="70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招标人：</w:t>
      </w:r>
      <w:r>
        <w:rPr>
          <w:rFonts w:hint="default" w:ascii="Times New Roman" w:hAnsi="Times New Roman" w:eastAsia="黑体" w:cs="Times New Roman"/>
          <w:color w:val="auto"/>
          <w:sz w:val="28"/>
          <w:szCs w:val="28"/>
          <w:highlight w:val="none"/>
          <w:u w:val="single"/>
        </w:rPr>
        <w:t>大石桥市交通运输事务中心</w:t>
      </w: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val="en-US" w:eastAsia="zh-CN"/>
        </w:rPr>
        <w:t>加</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1830F088">
      <w:pPr>
        <w:pageBreakBefore w:val="0"/>
        <w:kinsoku/>
        <w:wordWrap w:val="0"/>
        <w:bidi w:val="0"/>
        <w:spacing w:line="700" w:lineRule="exact"/>
        <w:jc w:val="center"/>
        <w:rPr>
          <w:rFonts w:hint="default" w:ascii="Times New Roman" w:hAnsi="Times New Roman" w:cs="Times New Roman"/>
          <w:color w:val="auto"/>
          <w:sz w:val="28"/>
          <w:szCs w:val="28"/>
          <w:highlight w:val="none"/>
        </w:rPr>
      </w:pPr>
      <w:r>
        <w:rPr>
          <w:rFonts w:hint="default" w:ascii="Times New Roman" w:hAnsi="Times New Roman" w:eastAsia="黑体" w:cs="Times New Roman"/>
          <w:color w:val="auto"/>
          <w:sz w:val="28"/>
          <w:szCs w:val="28"/>
          <w:highlight w:val="none"/>
        </w:rPr>
        <w:t>招标代理机构：</w:t>
      </w:r>
      <w:r>
        <w:rPr>
          <w:rFonts w:hint="eastAsia" w:eastAsia="黑体" w:cs="Times New Roman"/>
          <w:color w:val="auto"/>
          <w:sz w:val="28"/>
          <w:szCs w:val="28"/>
          <w:highlight w:val="none"/>
          <w:u w:val="single"/>
          <w:lang w:eastAsia="zh-CN"/>
        </w:rPr>
        <w:t>辽宁润鑫亿鸿项目管理有限公司</w:t>
      </w:r>
      <w:r>
        <w:rPr>
          <w:rFonts w:hint="default" w:ascii="Times New Roman" w:hAnsi="Times New Roman" w:eastAsia="黑体" w:cs="Times New Roman"/>
          <w:color w:val="auto"/>
          <w:sz w:val="28"/>
          <w:szCs w:val="28"/>
          <w:highlight w:val="none"/>
        </w:rPr>
        <w:t>（</w:t>
      </w:r>
      <w:r>
        <w:rPr>
          <w:rFonts w:hint="eastAsia" w:eastAsia="黑体" w:cs="Times New Roman"/>
          <w:color w:val="auto"/>
          <w:sz w:val="28"/>
          <w:szCs w:val="28"/>
          <w:highlight w:val="none"/>
          <w:lang w:val="en-US" w:eastAsia="zh-CN"/>
        </w:rPr>
        <w:t>加</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560E6634">
      <w:pPr>
        <w:pageBreakBefore w:val="0"/>
        <w:kinsoku/>
        <w:wordWrap w:val="0"/>
        <w:bidi w:val="0"/>
        <w:spacing w:line="700" w:lineRule="exact"/>
        <w:ind w:firstLine="2259" w:firstLineChars="807"/>
        <w:rPr>
          <w:rFonts w:hint="default" w:ascii="Times New Roman" w:hAnsi="Times New Roman" w:eastAsia="黑体" w:cs="Times New Roman"/>
          <w:color w:val="auto"/>
          <w:sz w:val="28"/>
          <w:szCs w:val="28"/>
          <w:highlight w:val="yellow"/>
        </w:rPr>
      </w:pPr>
      <w:r>
        <w:rPr>
          <w:rFonts w:hint="default" w:ascii="Times New Roman" w:hAnsi="Times New Roman" w:eastAsia="黑体" w:cs="Times New Roman"/>
          <w:color w:val="auto"/>
          <w:sz w:val="28"/>
          <w:szCs w:val="28"/>
          <w:highlight w:val="yellow"/>
          <w:u w:val="single"/>
        </w:rPr>
        <w:t xml:space="preserve"> </w:t>
      </w:r>
      <w:r>
        <w:rPr>
          <w:rFonts w:hint="eastAsia" w:eastAsia="黑体" w:cs="Times New Roman"/>
          <w:color w:val="auto"/>
          <w:sz w:val="28"/>
          <w:szCs w:val="28"/>
          <w:highlight w:val="yellow"/>
          <w:u w:val="single"/>
          <w:lang w:val="en-US" w:eastAsia="zh-CN"/>
        </w:rPr>
        <w:t>2026</w:t>
      </w:r>
      <w:r>
        <w:rPr>
          <w:rFonts w:hint="default" w:ascii="Times New Roman" w:hAnsi="Times New Roman" w:eastAsia="黑体" w:cs="Times New Roman"/>
          <w:color w:val="auto"/>
          <w:sz w:val="28"/>
          <w:szCs w:val="28"/>
          <w:highlight w:val="yellow"/>
          <w:u w:val="single"/>
        </w:rPr>
        <w:t xml:space="preserve"> </w:t>
      </w:r>
      <w:r>
        <w:rPr>
          <w:rFonts w:hint="default" w:ascii="Times New Roman" w:hAnsi="Times New Roman" w:eastAsia="黑体" w:cs="Times New Roman"/>
          <w:color w:val="auto"/>
          <w:sz w:val="28"/>
          <w:szCs w:val="28"/>
          <w:highlight w:val="yellow"/>
        </w:rPr>
        <w:t>年</w:t>
      </w:r>
      <w:r>
        <w:rPr>
          <w:rFonts w:hint="default" w:ascii="Times New Roman" w:hAnsi="Times New Roman" w:eastAsia="黑体" w:cs="Times New Roman"/>
          <w:color w:val="auto"/>
          <w:sz w:val="28"/>
          <w:szCs w:val="28"/>
          <w:highlight w:val="yellow"/>
          <w:u w:val="single"/>
        </w:rPr>
        <w:t xml:space="preserve">      </w:t>
      </w:r>
      <w:r>
        <w:rPr>
          <w:rFonts w:hint="default" w:ascii="Times New Roman" w:hAnsi="Times New Roman" w:eastAsia="黑体" w:cs="Times New Roman"/>
          <w:color w:val="auto"/>
          <w:sz w:val="28"/>
          <w:szCs w:val="28"/>
          <w:highlight w:val="yellow"/>
        </w:rPr>
        <w:t>月</w:t>
      </w:r>
      <w:r>
        <w:rPr>
          <w:rFonts w:hint="default" w:ascii="Times New Roman" w:hAnsi="Times New Roman" w:eastAsia="黑体" w:cs="Times New Roman"/>
          <w:color w:val="auto"/>
          <w:sz w:val="28"/>
          <w:szCs w:val="28"/>
          <w:highlight w:val="yellow"/>
          <w:u w:val="single"/>
        </w:rPr>
        <w:t xml:space="preserve">       </w:t>
      </w:r>
      <w:r>
        <w:rPr>
          <w:rFonts w:hint="default" w:ascii="Times New Roman" w:hAnsi="Times New Roman" w:eastAsia="黑体" w:cs="Times New Roman"/>
          <w:color w:val="auto"/>
          <w:sz w:val="28"/>
          <w:szCs w:val="28"/>
          <w:highlight w:val="yellow"/>
        </w:rPr>
        <w:t>日</w:t>
      </w:r>
    </w:p>
    <w:p w14:paraId="7D416600">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02C5F336">
      <w:pPr>
        <w:pageBreakBefore w:val="0"/>
        <w:kinsoku/>
        <w:wordWrap w:val="0"/>
        <w:bidi w:val="0"/>
        <w:spacing w:line="352" w:lineRule="atLeast"/>
        <w:jc w:val="center"/>
        <w:rPr>
          <w:rFonts w:hint="default" w:ascii="Times New Roman" w:hAnsi="Times New Roman" w:eastAsia="黑体" w:cs="Times New Roman"/>
          <w:color w:val="auto"/>
          <w:sz w:val="36"/>
          <w:szCs w:val="36"/>
          <w:highlight w:val="none"/>
        </w:rPr>
      </w:pPr>
      <w:r>
        <w:rPr>
          <w:rFonts w:hint="default" w:ascii="Times New Roman" w:hAnsi="Times New Roman" w:eastAsia="黑体" w:cs="Times New Roman"/>
          <w:color w:val="auto"/>
          <w:sz w:val="36"/>
          <w:szCs w:val="36"/>
          <w:highlight w:val="none"/>
        </w:rPr>
        <w:t>目     录</w:t>
      </w:r>
    </w:p>
    <w:sdt>
      <w:sdtPr>
        <w:rPr>
          <w:rFonts w:ascii="宋体" w:hAnsi="宋体" w:eastAsia="宋体" w:cs="Times New Roman"/>
          <w:color w:val="auto"/>
          <w:kern w:val="2"/>
          <w:sz w:val="21"/>
          <w:szCs w:val="24"/>
          <w:highlight w:val="none"/>
          <w:lang w:val="en-US" w:eastAsia="zh-CN" w:bidi="ar-SA"/>
        </w:rPr>
        <w:id w:val="147469203"/>
        <w15:color w:val="DBDBDB"/>
        <w:docPartObj>
          <w:docPartGallery w:val="Table of Contents"/>
          <w:docPartUnique/>
        </w:docPartObj>
      </w:sdtPr>
      <w:sdtEndPr>
        <w:rPr>
          <w:rFonts w:hint="default" w:ascii="Times New Roman" w:hAnsi="Times New Roman" w:eastAsia="宋体" w:cs="Times New Roman"/>
          <w:b w:val="0"/>
          <w:bCs w:val="0"/>
          <w:i w:val="0"/>
          <w:iCs w:val="0"/>
          <w:color w:val="auto"/>
          <w:kern w:val="2"/>
          <w:sz w:val="21"/>
          <w:szCs w:val="21"/>
          <w:highlight w:val="none"/>
          <w:lang w:val="en-US" w:eastAsia="zh-CN" w:bidi="ar-SA"/>
        </w:rPr>
      </w:sdtEndPr>
      <w:sdtContent>
        <w:p w14:paraId="33757C6B">
          <w:pPr>
            <w:spacing w:before="0" w:beforeLines="0" w:after="0" w:afterLines="0" w:line="240" w:lineRule="auto"/>
            <w:ind w:left="0" w:leftChars="0" w:right="0" w:rightChars="0" w:firstLine="0" w:firstLineChars="0"/>
            <w:jc w:val="center"/>
            <w:rPr>
              <w:color w:val="auto"/>
              <w:highlight w:val="none"/>
            </w:rPr>
          </w:pPr>
        </w:p>
        <w:p w14:paraId="68A82290">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sz w:val="20"/>
              <w:szCs w:val="20"/>
              <w:highlight w:val="none"/>
            </w:rPr>
          </w:pPr>
          <w:r>
            <w:rPr>
              <w:rFonts w:hint="default" w:ascii="Times New Roman" w:hAnsi="Times New Roman" w:eastAsia="宋体" w:cs="Times New Roman"/>
              <w:b w:val="0"/>
              <w:bCs w:val="0"/>
              <w:i w:val="0"/>
              <w:iCs w:val="0"/>
              <w:color w:val="auto"/>
              <w:sz w:val="20"/>
              <w:szCs w:val="20"/>
              <w:highlight w:val="none"/>
            </w:rPr>
            <w:fldChar w:fldCharType="begin"/>
          </w:r>
          <w:r>
            <w:rPr>
              <w:rFonts w:hint="default" w:ascii="Times New Roman" w:hAnsi="Times New Roman" w:eastAsia="宋体" w:cs="Times New Roman"/>
              <w:b w:val="0"/>
              <w:bCs w:val="0"/>
              <w:i w:val="0"/>
              <w:iCs w:val="0"/>
              <w:color w:val="auto"/>
              <w:sz w:val="20"/>
              <w:szCs w:val="20"/>
              <w:highlight w:val="none"/>
            </w:rPr>
            <w:instrText xml:space="preserve">TOC \o "1-3" \h \u </w:instrText>
          </w:r>
          <w:r>
            <w:rPr>
              <w:rFonts w:hint="default" w:ascii="Times New Roman" w:hAnsi="Times New Roman" w:eastAsia="宋体" w:cs="Times New Roman"/>
              <w:b w:val="0"/>
              <w:bCs w:val="0"/>
              <w:i w:val="0"/>
              <w:iCs w:val="0"/>
              <w:color w:val="auto"/>
              <w:sz w:val="20"/>
              <w:szCs w:val="20"/>
              <w:highlight w:val="none"/>
            </w:rPr>
            <w:fldChar w:fldCharType="separate"/>
          </w: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_Toc14869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一 卷</w:t>
          </w:r>
          <w:r>
            <w:rPr>
              <w:rFonts w:hint="default" w:ascii="Times New Roman" w:hAnsi="Times New Roman" w:eastAsia="黑体" w:cs="Times New Roman"/>
              <w:color w:val="auto"/>
              <w:kern w:val="2"/>
              <w:sz w:val="30"/>
              <w:szCs w:val="30"/>
              <w:highlight w:val="none"/>
              <w:lang w:val="en-US" w:eastAsia="zh-CN" w:bidi="ar-SA"/>
            </w:rPr>
            <w:fldChar w:fldCharType="end"/>
          </w:r>
        </w:p>
        <w:p w14:paraId="3128218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_Toc27722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第一章  招标公告</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_Toc27722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3E1C8262">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_Toc7389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 招标条件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_Toc7389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50D5B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项目概况与招标范围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_Toc1515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95D74D">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_Toc29935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投标人资格要求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_Toc29935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942DE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_Toc24263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招标文件的获取</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_Toc24263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CDEC8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_Toc7236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投标文件的递交及相关事宜</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_Toc7236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9D5119">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6. 评标办法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_Toc21427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75885D">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_Toc31461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7</w:t>
          </w:r>
          <w:r>
            <w:rPr>
              <w:rFonts w:hint="default" w:ascii="Times New Roman" w:hAnsi="Times New Roman" w:eastAsia="宋体" w:cs="Times New Roman"/>
              <w:bCs w:val="0"/>
              <w:i w:val="0"/>
              <w:iCs w:val="0"/>
              <w:color w:val="auto"/>
              <w:sz w:val="20"/>
              <w:szCs w:val="20"/>
              <w:highlight w:val="none"/>
            </w:rPr>
            <w:t>. 发布公告的媒介</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_Toc31461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D737C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8</w:t>
          </w:r>
          <w:r>
            <w:rPr>
              <w:rFonts w:hint="default" w:ascii="Times New Roman" w:hAnsi="Times New Roman" w:eastAsia="宋体" w:cs="Times New Roman"/>
              <w:bCs w:val="0"/>
              <w:i w:val="0"/>
              <w:iCs w:val="0"/>
              <w:color w:val="auto"/>
              <w:sz w:val="20"/>
              <w:szCs w:val="20"/>
              <w:highlight w:val="none"/>
            </w:rPr>
            <w:t>. 联系方式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_Toc27909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0AD53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_Toc19741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第二章  投标人须知</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_Toc19741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7647E1B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投标人须知前附表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C225E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_Toc19171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附录1  资格审查条件（资质最低</w:t>
          </w:r>
          <w:r>
            <w:rPr>
              <w:rFonts w:hint="default" w:ascii="Times New Roman" w:hAnsi="Times New Roman" w:eastAsia="宋体" w:cs="Times New Roman"/>
              <w:color w:val="auto"/>
              <w:sz w:val="20"/>
              <w:szCs w:val="20"/>
              <w:highlight w:val="none"/>
              <w:lang w:eastAsia="zh-CN"/>
            </w:rPr>
            <w:t>要求</w:t>
          </w:r>
          <w:r>
            <w:rPr>
              <w:rFonts w:hint="default" w:ascii="Times New Roman" w:hAnsi="Times New Roman" w:eastAsia="宋体" w:cs="Times New Roman"/>
              <w:color w:val="auto"/>
              <w:sz w:val="20"/>
              <w:szCs w:val="20"/>
              <w:highlight w:val="none"/>
            </w:rPr>
            <w:t>）</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_Toc19171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92D69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附录2  资格审查条件（财务最低要求）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_Toc29861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0DC4D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_Toc30953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 xml:space="preserve">附录3 </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资格审查条件（业绩最低要求）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_Toc30953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EBB9C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_Toc29363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附录4  资格审查条件（信誉最低要求）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_Toc29363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23CD5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_Toc4102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附录5  资格审查条件（项目经理和项目总工最低要求）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_Toc4102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69FB1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附录6  资格审查条件（其他管理和技术人员最低要求）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_Toc31914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5612BB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_Toc31451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附录7  资格审查条件（主要机械设备和试验检测设备最低要求）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_Toc31451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4BBE0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_Toc15905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总则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_Toc15905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0E5F99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项目概况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_Toc23601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5D7EE4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_Toc9736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招标项目的资金来源和落实情况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_Toc9736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41B35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招标范围、计划工期、质量要求和安全目标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CC5B4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_Toc22000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投标人资格要求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_Toc22000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FF557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_Toc8417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费用承担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_Toc8417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5A722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保密</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_Toc12508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4558E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_Toc26229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语言文字</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_Toc26229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8D303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_Toc11584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计量单位</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_Toc11584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A5504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踏勘现场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_Toc6538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E9E42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_Toc27740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1.10 投标预备会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_Toc27740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33A31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1.11 分包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_Toc24517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2389F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_Toc26907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1.12 响应和偏差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_Toc26907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C08068">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招标文件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_Toc27865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6B486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_Toc25358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招标文件的组成</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_Toc25358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7045E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_Toc6673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招标文件的澄清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_Toc6673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7856A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招标文件的修改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_Toc3661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A844E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招标文件的异议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DACAA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_Toc5945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投标文件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_Toc5945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B9AEE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_Toc16758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3.1投标文件的组成</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_Toc16758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818D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_Toc25498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3.2 投标报价</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_Toc25498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D80B4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_Toc19241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3.3投标有效期</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_Toc19241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33613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_Toc19805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3.4投标保证金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_Toc19805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005AE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3.5资格审查资料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A56C9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3.6 备选投标方案</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_Toc21591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50156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3.7 投标文件的编制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_Toc4837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ACBFC6">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_Toc25479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投标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_Toc25479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C0B7E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_Toc17200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4.1 投标文件的密封和标记</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_Toc17200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6F46D2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4.2 投标文件的递交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C11EF5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4.3 投标文件的修改与撤回</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A1CB6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开标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F5781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_Toc2581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 开标时间和地点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_Toc2581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AA63E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_Toc8283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5.2开标程序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_Toc8283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C2DC6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_Toc29082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 开标补救措施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_Toc29082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68D92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_Toc11803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5.4开标异议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_Toc11803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CBADE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_Toc25227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评标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_Toc25227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A166D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_Toc22353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6.1评标委员会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_Toc22353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76D85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6.2 评标原则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_Toc4844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CB44C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_Toc25028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6.3 评标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_Toc25028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9AFC3A">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_Toc16883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合同授予</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_Toc16883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1DAE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7.1 中标候选人公示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AD0B8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_Toc27197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7.2 评标结果异议</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_Toc27197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9F505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_Toc20027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7.3 中标候选人履约能力审查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_Toc20027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9B3EA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_Toc19093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4 </w:t>
          </w:r>
          <w:r>
            <w:rPr>
              <w:rFonts w:hint="default" w:ascii="Times New Roman" w:hAnsi="Times New Roman" w:eastAsia="宋体" w:cs="Times New Roman"/>
              <w:bCs w:val="0"/>
              <w:i w:val="0"/>
              <w:iCs w:val="0"/>
              <w:color w:val="auto"/>
              <w:sz w:val="20"/>
              <w:szCs w:val="20"/>
              <w:highlight w:val="none"/>
            </w:rPr>
            <w:t>定标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_Toc19093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7BA0F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_Toc4728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5 中标通知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_Toc4728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2A83B9">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_Toc8745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6 </w:t>
          </w:r>
          <w:r>
            <w:rPr>
              <w:rFonts w:hint="default" w:ascii="Times New Roman" w:hAnsi="Times New Roman" w:eastAsia="宋体" w:cs="Times New Roman"/>
              <w:bCs w:val="0"/>
              <w:i w:val="0"/>
              <w:iCs w:val="0"/>
              <w:color w:val="auto"/>
              <w:sz w:val="20"/>
              <w:szCs w:val="20"/>
              <w:highlight w:val="none"/>
            </w:rPr>
            <w:t>中标</w:t>
          </w:r>
          <w:r>
            <w:rPr>
              <w:rFonts w:hint="default" w:ascii="Times New Roman" w:hAnsi="Times New Roman" w:eastAsia="宋体" w:cs="Times New Roman"/>
              <w:bCs w:val="0"/>
              <w:i w:val="0"/>
              <w:iCs w:val="0"/>
              <w:color w:val="auto"/>
              <w:sz w:val="20"/>
              <w:szCs w:val="20"/>
              <w:highlight w:val="none"/>
              <w:lang w:eastAsia="zh-CN"/>
            </w:rPr>
            <w:t>结果</w:t>
          </w:r>
          <w:r>
            <w:rPr>
              <w:rFonts w:hint="default" w:ascii="Times New Roman" w:hAnsi="Times New Roman" w:eastAsia="宋体" w:cs="Times New Roman"/>
              <w:bCs w:val="0"/>
              <w:i w:val="0"/>
              <w:iCs w:val="0"/>
              <w:color w:val="auto"/>
              <w:sz w:val="20"/>
              <w:szCs w:val="20"/>
              <w:highlight w:val="none"/>
            </w:rPr>
            <w:t>公告</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_Toc8745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65A90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_Toc8824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 xml:space="preserve">7 </w:t>
          </w:r>
          <w:r>
            <w:rPr>
              <w:rFonts w:hint="default" w:ascii="Times New Roman" w:hAnsi="Times New Roman" w:eastAsia="宋体" w:cs="Times New Roman"/>
              <w:bCs w:val="0"/>
              <w:i w:val="0"/>
              <w:iCs w:val="0"/>
              <w:color w:val="auto"/>
              <w:sz w:val="20"/>
              <w:szCs w:val="20"/>
              <w:highlight w:val="none"/>
            </w:rPr>
            <w:t>履约</w:t>
          </w:r>
          <w:r>
            <w:rPr>
              <w:rFonts w:hint="default" w:ascii="Times New Roman" w:hAnsi="Times New Roman" w:eastAsia="宋体" w:cs="Times New Roman"/>
              <w:bCs w:val="0"/>
              <w:i w:val="0"/>
              <w:iCs w:val="0"/>
              <w:color w:val="auto"/>
              <w:sz w:val="20"/>
              <w:szCs w:val="20"/>
              <w:highlight w:val="none"/>
              <w:lang w:eastAsia="zh-CN"/>
            </w:rPr>
            <w:t>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_Toc8824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EE22FD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w:t>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 xml:space="preserve"> 签订合同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D61D7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_Toc11642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 纪律和监督</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_Toc11642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B7E37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.1 对招标人的纪律要求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_Toc30402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BCC97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_Toc31255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.2 对投标人的纪律要求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_Toc31255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599E1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.3 对评标委员会成员的纪律要求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D5F6C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_Toc11335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.4 对与评标活动有关的工作人员的纪律要求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_Toc11335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965A0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eastAsia="zh-CN"/>
            </w:rPr>
            <w:t>8</w:t>
          </w:r>
          <w:r>
            <w:rPr>
              <w:rFonts w:hint="default" w:ascii="Times New Roman" w:hAnsi="Times New Roman" w:eastAsia="宋体" w:cs="Times New Roman"/>
              <w:bCs w:val="0"/>
              <w:i w:val="0"/>
              <w:iCs w:val="0"/>
              <w:color w:val="auto"/>
              <w:sz w:val="20"/>
              <w:szCs w:val="20"/>
              <w:highlight w:val="none"/>
            </w:rPr>
            <w:t>.5 投诉</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_Toc15842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B8E2B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9</w:t>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需要补充的其他内容</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51832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一</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 xml:space="preserve">开标记录表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_Toc31950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259CD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_Toc18880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二</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问题澄清通知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_Toc18880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F9FE0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三</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问题的澄清</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_Toc31852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E8F4E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_Toc22225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w:t>
          </w:r>
          <w:r>
            <w:rPr>
              <w:rFonts w:hint="default" w:ascii="Times New Roman" w:hAnsi="Times New Roman" w:eastAsia="宋体" w:cs="Times New Roman"/>
              <w:bCs w:val="0"/>
              <w:i w:val="0"/>
              <w:iCs w:val="0"/>
              <w:color w:val="auto"/>
              <w:sz w:val="20"/>
              <w:szCs w:val="20"/>
              <w:highlight w:val="none"/>
              <w:lang w:eastAsia="zh-CN"/>
            </w:rPr>
            <w:t>件</w:t>
          </w:r>
          <w:r>
            <w:rPr>
              <w:rFonts w:hint="default" w:ascii="Times New Roman" w:hAnsi="Times New Roman" w:eastAsia="宋体" w:cs="Times New Roman"/>
              <w:bCs w:val="0"/>
              <w:i w:val="0"/>
              <w:iCs w:val="0"/>
              <w:color w:val="auto"/>
              <w:sz w:val="20"/>
              <w:szCs w:val="20"/>
              <w:highlight w:val="none"/>
            </w:rPr>
            <w:t>四</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中标通知书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_Toc22225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AA700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_Toc10728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第三章  评标办法（合理低价法）</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_Toc10728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58</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12A9227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_Toc8233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 xml:space="preserve">评标办法前附表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_Toc8233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8F812E2">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_Toc15748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评标方法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_Toc15748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3D7A94">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评审标准</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_Toc27850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1D6F2D">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 初步评审标准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4F40DF">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_Toc28400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 分值构成与评分标准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_Toc28400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CD02851">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_Toc17186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评标程序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_Toc17186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1D6C44">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第一个信封初步评审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_Toc21337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0370EC">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3.2</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第二个信封开标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_Toc5399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FBE95D">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_Toc18266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3.3</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第二个信封初步评审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_Toc18266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30E8EF">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3.4</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第二个信封详细评审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_Toc21488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37EE68">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_Toc29441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投标文件相关信息的核查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_Toc29441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DFA432">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3.6 投标文件的澄清和说明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_Toc31365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757D85">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7 不得否决投标的情形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B75EDC2">
          <w:pPr>
            <w:pStyle w:val="19"/>
            <w:keepNext w:val="0"/>
            <w:keepLines w:val="0"/>
            <w:pageBreakBefore w:val="0"/>
            <w:tabs>
              <w:tab w:val="right" w:leader="dot" w:pos="8675"/>
            </w:tabs>
            <w:kinsoku/>
            <w:wordWrap/>
            <w:overflowPunct/>
            <w:topLinePunct w:val="0"/>
            <w:autoSpaceDE/>
            <w:autoSpaceDN/>
            <w:bidi w:val="0"/>
            <w:adjustRightInd/>
            <w:snapToGrid/>
            <w:spacing w:after="0"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w:t>
          </w:r>
          <w:r>
            <w:rPr>
              <w:rFonts w:hint="default" w:ascii="Times New Roman" w:hAnsi="Times New Roman" w:eastAsia="宋体" w:cs="Times New Roman"/>
              <w:color w:val="auto"/>
              <w:sz w:val="20"/>
              <w:szCs w:val="20"/>
              <w:highlight w:val="none"/>
              <w:lang w:eastAsia="zh-CN"/>
            </w:rPr>
            <w:t>8</w:t>
          </w:r>
          <w:r>
            <w:rPr>
              <w:rFonts w:hint="default" w:ascii="Times New Roman" w:hAnsi="Times New Roman" w:eastAsia="宋体" w:cs="Times New Roman"/>
              <w:color w:val="auto"/>
              <w:sz w:val="20"/>
              <w:szCs w:val="20"/>
              <w:highlight w:val="none"/>
            </w:rPr>
            <w:t xml:space="preserve"> 评标结果</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68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4EFB9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_Toc16169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第四章  合同条款及格式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_Toc16169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69</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5617DAC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_Toc8515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color w:val="auto"/>
              <w:sz w:val="20"/>
              <w:szCs w:val="20"/>
              <w:highlight w:val="none"/>
            </w:rPr>
            <w:t>第一节  通用合同条款</w:t>
          </w:r>
          <w:r>
            <w:rPr>
              <w:rFonts w:hint="default" w:ascii="Times New Roman" w:hAnsi="Times New Roman" w:eastAsia="黑体" w:cs="Times New Roman"/>
              <w:color w:val="auto"/>
              <w:sz w:val="20"/>
              <w:szCs w:val="20"/>
              <w:highlight w:val="none"/>
            </w:rPr>
            <w:tab/>
          </w:r>
          <w:r>
            <w:rPr>
              <w:rFonts w:hint="default" w:ascii="Times New Roman" w:hAnsi="Times New Roman" w:eastAsia="黑体" w:cs="Times New Roman"/>
              <w:color w:val="auto"/>
              <w:sz w:val="20"/>
              <w:szCs w:val="20"/>
              <w:highlight w:val="none"/>
            </w:rPr>
            <w:fldChar w:fldCharType="begin"/>
          </w:r>
          <w:r>
            <w:rPr>
              <w:rFonts w:hint="default" w:ascii="Times New Roman" w:hAnsi="Times New Roman" w:eastAsia="黑体" w:cs="Times New Roman"/>
              <w:color w:val="auto"/>
              <w:sz w:val="20"/>
              <w:szCs w:val="20"/>
              <w:highlight w:val="none"/>
            </w:rPr>
            <w:instrText xml:space="preserve"> PAGEREF _Toc8515 \h </w:instrText>
          </w:r>
          <w:r>
            <w:rPr>
              <w:rFonts w:hint="default" w:ascii="Times New Roman" w:hAnsi="Times New Roman" w:eastAsia="黑体" w:cs="Times New Roman"/>
              <w:color w:val="auto"/>
              <w:sz w:val="20"/>
              <w:szCs w:val="20"/>
              <w:highlight w:val="none"/>
            </w:rPr>
            <w:fldChar w:fldCharType="separate"/>
          </w:r>
          <w:r>
            <w:rPr>
              <w:rFonts w:hint="default" w:ascii="Times New Roman" w:hAnsi="Times New Roman" w:eastAsia="黑体" w:cs="Times New Roman"/>
              <w:color w:val="auto"/>
              <w:sz w:val="20"/>
              <w:szCs w:val="20"/>
              <w:highlight w:val="none"/>
            </w:rPr>
            <w:t>70</w:t>
          </w:r>
          <w:r>
            <w:rPr>
              <w:rFonts w:hint="default" w:ascii="Times New Roman" w:hAnsi="Times New Roman" w:eastAsia="黑体" w:cs="Times New Roman"/>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575438D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通用合同条款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1AD3E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_Toc19605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一般约定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_Toc19605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E9239F">
          <w:pPr>
            <w:pStyle w:val="28"/>
            <w:keepNext w:val="0"/>
            <w:keepLines w:val="0"/>
            <w:pageBreakBefore w:val="0"/>
            <w:tabs>
              <w:tab w:val="right" w:pos="2400"/>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_Toc10273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t>词语定义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_Toc10273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8ED5A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_Toc7828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 语言文字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_Toc7828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65429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 法律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D9968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 合同文件的优先顺序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_Toc3631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3DA9E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 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E14E7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_Toc20779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 图纸和承包人文件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_Toc20779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0C2BD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_Toc25686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 联络</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_Toc25686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CD3F0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_Toc5598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 转让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_Toc5598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62D49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 严禁贿赂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4F9BD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1.10 化石、文物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_Toc24319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352AF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_Toc13641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专利技术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_Toc13641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9FE9F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_Toc16391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1.12 图纸和文件的保密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_Toc16391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1C51F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发包人义务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_Toc1422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594347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_Toc21730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 遵守法律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_Toc21730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375C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 发出开工通知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_Toc21405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FD55F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_Toc27640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 提供施工场地</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_Toc27640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99488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_Toc5430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 协助承包人办理证件和批件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_Toc5430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7A48F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_Toc29377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2.5 组织设计交底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_Toc29377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46A0D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_Toc32192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2.6 支付合同价款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_Toc32192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5D9DE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_Toc9105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2.7 组织竣工验收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_Toc9105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C20E8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2.8 其他义务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_Toc2212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5B2F3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监理人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_Toc5384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5CD37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 监理人的职责和权力</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5C986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3.2 总监理工程师</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FF4C0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_Toc25149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3.3 监理人员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_Toc25149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415F6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3.4 监理人的指示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_Toc12190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82780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3.5商定或确定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_Toc3027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95305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_Toc6619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承包人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_Toc6619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6F680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_Toc30908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_Toc30908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3DF44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_Toc11867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4.2 履约担保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_Toc11867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25CA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_Toc3877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4.3 分包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_Toc3877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9BB04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_Toc16004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4.4联合体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_Toc16004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2F4E4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4.5 承包人项目经理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_Toc30493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79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F3FA5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4.6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CE2E41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_Toc19924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4.7 撤换承包人项目经理和其他人员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_Toc19924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63629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4.8 保障承包人人员的合法权益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0E99A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_Toc5051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4.9 工程价款应专款专用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_Toc5051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F57C0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4.10 承包人现场查勘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_Toc7089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E2901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_Toc13491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_Toc13491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61E4E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材料和工程设备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_Toc2987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3157C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5.1 承包人提供的材料和工程设备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_Toc17077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7DEF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5.2 发包人提供的材料和工程设备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_Toc17398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10D954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_Toc32393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5.3 材料和工程设备专用于合同工程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_Toc32393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AE6D2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5.4 禁止使用不合格的材料和工程设备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_Toc16251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D46BE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施工设备和临时设施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_Toc26517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7CBF11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_Toc14244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6.1 承包人提供的施工设备和临时设施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_Toc14244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0675A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6.2 发包人提供的施工设备和临时设施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_Toc4812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FADC31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6.3 要求承包人增加或更换施工设备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97C78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6.4 施工设备和临时设施专用于合同工程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_Toc18996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6DDECA">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_Toc18503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交通运输</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_Toc18503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090A9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_Toc16812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7.1 道路通行权和场外设施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_Toc16812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7BABF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_Toc9296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7.2 场内施工道路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_Toc9296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A27237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_Toc21208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7.3 场外交通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_Toc21208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34499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_Toc15125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7.4 超大件和超重件的运输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_Toc15125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B1CC9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7.5 道路和桥梁的损坏责任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FC846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_Toc25193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7.6 水路和航空运输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_Toc25193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E61F2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_Toc20896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 测量放线</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_Toc20896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781E7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8.1 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_Toc709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E6A9D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_Toc4204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8.2 施工测量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_Toc4204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A3FEC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_Toc27621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8.3 基准资料错误的责任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_Toc27621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FB152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_Toc21794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8.4 监理人使用施工控制网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_Toc21794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70889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_Toc19364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 施工安全、治安保卫和环境保护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_Toc19364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45364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_Toc8674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9.1 发包人的施工安全责任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_Toc8674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5EE8C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_Toc16523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9.2 承包人的施工安全责任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_Toc16523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71929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9.3 治安保卫</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F5C58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_Toc30186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9.4 环境保护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_Toc30186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130AB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_Toc25938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9.5 事故处理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_Toc25938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F05DE7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 进度计划</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_Toc12198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BFBB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_Toc6712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_Toc6712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DF90EF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10.2 合同进度计划的修订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6FB70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_Toc30089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开工和竣工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_Toc30089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6D76E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_Toc19831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开工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_Toc19831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A9D4D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_Toc21663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11.2竣工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_Toc21663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E068C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_Toc7100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11.3 发包人的工期延误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_Toc7100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5756C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_Toc21589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_Toc21589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3F91F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_Toc21931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11.5 承包人的工期延误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_Toc21931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5760D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_Toc4477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11.6 工期提前</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_Toc4477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CB1CC8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_Toc6904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暂停施工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_Toc6904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D87AB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_Toc4704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_Toc4704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920C3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12.2 发包人暂停施工的责任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1C08B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_Toc18672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12.3 监理人暂停施工指示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_Toc18672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DF7C7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_Toc9838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12.4 暂停施工后的复工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_Toc9838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281191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_Toc23504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12.5 暂停施工持续56天以上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_Toc23504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89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6AA15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_Toc11532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工程质量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_Toc11532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E13BB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13.1 工程质量要求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_Toc5217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A2B8F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13.2 承包人的质量管理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_Toc32691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34A60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13.3 承包人的质量检查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_Toc630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B37A4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_Toc29172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13.4 监理人的质量检查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_Toc29172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D447C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_Toc25084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13.5 工程隐蔽部位覆盖前的检查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_Toc25084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4330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_Toc30792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13.6 清除不合格工程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_Toc30792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06C3B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_Toc7865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试验和检验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_Toc7865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322D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_Toc19607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14.1 材料、工程设备和工程的试验和检验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_Toc19607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BC894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14.2 现场材料试验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_Toc2015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761AD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_Toc19986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14.3 现场工艺试验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_Toc19986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FF3A67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_Toc32585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变更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_Toc32585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DD0FA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_Toc23647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15.1 变更的范围和内容</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_Toc23647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A5C3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_Toc15961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15.2 变更权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_Toc15961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A19B7E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_Toc30516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15.3 变更程序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_Toc30516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E6C24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15.4 变更的估价原则</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C8A8F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15.5 承包人的合理化建议</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_Toc10517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A8C1A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_Toc27871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15.6 暂列金额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_Toc27871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DB9028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15.7 计日工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E8EB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_Toc19722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15.8暂估价</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_Toc19722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BBC3B5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_Toc7147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价格调整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_Toc7147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8A849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16.1 物价波动引起的价格调整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_Toc29053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B49FB7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16.2 法律变化引起的价格调整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_Toc5910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196DB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_Toc11413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计量与支付</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_Toc11413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DDEF7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_Toc11688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17.1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_Toc11688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3C740F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_Toc10349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17.2 预付款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_Toc10349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C798B5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6793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_Toc27494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17.4 质量保证金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_Toc27494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1D2BF8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_Toc26637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17.5 竣工结算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_Toc26637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99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21E61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_Toc13815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17.6 最终结清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_Toc13815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9E33F1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_Toc29576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竣工验收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_Toc29576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6B286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_Toc11287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18.1 竣工验收的含义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_Toc11287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3D882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_Toc3760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18.2 竣工验收申请报告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_Toc3760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0CB4FB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_Toc30208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18.3 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_Toc30208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97B5CB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_Toc11780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18.4 单位工程验收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_Toc11780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0E9908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18.5施工期运行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7011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_Toc17390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18.6 试运行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_Toc17390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F0757C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_Toc26314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18.7 竣工清场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_Toc26314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6A892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_Toc7517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18.8施工队伍的撤离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_Toc7517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9738B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_Toc7332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缺陷责任与保修责任</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_Toc7332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85F9C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19.1 缺陷责任期的起算时间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_Toc29823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C1D92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_Toc28619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19.2 缺陷责任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_Toc28619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6E1746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_Toc10617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19.3 缺陷责任期的延长</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_Toc10617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F949B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_Toc7466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19.4 进一步试验和试运行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_Toc7466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F721F9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19.5 承包人的进入权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D29788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19.6 缺陷责任期终止证书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_Toc20655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A486A8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_Toc21869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19.7 保修责任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_Toc21869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9879A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_Toc31666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20. 保险</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_Toc31666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34B0B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20.1工程保险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_Toc2070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181F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_Toc20291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20.2人员工伤事故的保险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_Toc20291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60920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_Toc14046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20.3 人身意外伤害险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_Toc14046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56454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20.4 第三者责任险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DB06E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_Toc11738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20.5 其他保险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_Toc11738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6AEBC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20.6 对各项保险的一般要求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482A2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_Toc5907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不可抗力</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_Toc5907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A818B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_Toc16484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_Toc16484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C7EE18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21.2 不可抗力的通知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_Toc29589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0100B8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_Toc23687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21.3 不可抗力后果及其处理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_Toc23687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502326">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_Toc10830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违约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_Toc10830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38E80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_Toc13969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78CE4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_Toc17071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AD1D3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22.3第三人造成的违约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_Toc5779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01664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_Toc20829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索赔</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_Toc20829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11D3D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_Toc24590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23.1 承包人索赔的提出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_Toc24590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109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0DD4F1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_Toc3967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23.2 承包人索赔处理程序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_Toc3967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7DB0A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_Toc25742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23.3 承包人提出索赔的期限</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_Toc25742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DE4011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23.4 发包人的索赔</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_Toc6508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106F2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_Toc30654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 争议的解决</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_Toc30654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2E1C3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_Toc21148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24.1 争议的解决方式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_Toc21148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96C57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_Toc28189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24.2 友好解决</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_Toc28189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DB1EA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_Toc28601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24.3 争议评审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_Toc28601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C61D85">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_Toc9532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第二节  专用合同条款</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_Toc9532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112</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312DC91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_Toc29088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A. 公路工程专用合同条款</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_Toc29088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36196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_Toc12763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 一般约定</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_Toc12763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DAD537">
          <w:pPr>
            <w:pStyle w:val="28"/>
            <w:keepNext w:val="0"/>
            <w:keepLines w:val="0"/>
            <w:pageBreakBefore w:val="0"/>
            <w:tabs>
              <w:tab w:val="right" w:pos="2400"/>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t>词语定义</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DF7F6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_Toc18641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 合同文件的优先顺序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_Toc18641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A5285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 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D32C72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_Toc12395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 图纸和承包人文件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_Toc12395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D18C0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_Toc16791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 严禁贿赂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_Toc16791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A8CC1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_Toc21468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 发包人义务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_Toc21468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162B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_Toc8131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 提供施工场地</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_Toc8131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F95FB7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_Toc17755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3. 监理人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_Toc17755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10F89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_Toc17494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3.1 监理人的职责和权力</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_Toc17494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230827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_Toc5389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3.5商定或确定</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_Toc5389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E739D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_Toc8992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承包人</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_Toc8992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20DFCF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_Toc31924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_Toc31924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752E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4.2 履约保证金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E5A97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_Toc31152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4.3 分包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_Toc31152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119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446B5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_Toc13827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4.4联合体</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_Toc13827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34D349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4.6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_Toc13791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90D19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_Toc6774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4.7 撤换承包人项目经理和其他人员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_Toc6774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3DB8A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4.9 工程价款应专款专用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E2447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_Toc23321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4.10 承包人现场查勘</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_Toc23321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5473F6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_Toc29003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_Toc29003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878C6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_Toc6244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4.12 投标文件的完备性</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_Toc6244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8758A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4.13 开展党建工作要求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_Toc31801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5FBC9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_Toc17097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材料和工程设备</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_Toc17097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89E02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_Toc24736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5.2 发包人提供的材料和工程设备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_Toc24736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194D8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_Toc7033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6. 施工设备和临时设施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_Toc7033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36B40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_Toc13056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6.1 承包人提供的施工设备和临时设施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_Toc13056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0D2AB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_Toc17575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6.3 要求承包人增加或更换施工设备</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_Toc17575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3A2A8F0">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_Toc13743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7. 交通运输</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_Toc13743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9BC93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_Toc9360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7.1 道路通行权和场外设施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_Toc9360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76326E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8. 测量放线</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_Toc13868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AB07A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_Toc14863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8.4 监理人使用施工控制网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_Toc14863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4FF064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_Toc18932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9. 施工安全、治安保卫和环境保护</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_Toc18932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B6C36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_Toc13960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9.2 承包人的施工安全责任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_Toc13960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315F1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_Toc3892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9.4 环境保护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_Toc3892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D45E2C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_Toc4201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10. 进度计划</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_Toc4201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A259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_Toc30665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_Toc30665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596D7E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10.2 合同进度计划的修订</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89D22E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_Toc6499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10.3 年度施工计划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_Toc6499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1A0CF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_Toc20652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10.4 合同用款计划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_Toc20652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98035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_Toc5080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11. 开工和交工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_Toc5080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08B01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_Toc17449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11.1 开工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_Toc17449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CB738F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_Toc26339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11.3 发包人的工期延误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_Toc26339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55EE0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_Toc16417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_Toc16417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A6205E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_Toc6870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11.5 承包人的工期延误</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_Toc6870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3AD4F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_Toc5977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11.6 工期提前</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_Toc5977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7236F9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_Toc31771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11.7 工作时间的限制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_Toc31771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154CC0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_Toc32362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 暂停施工</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_Toc32362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0D5C32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_Toc26479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_Toc26479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9B8D26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_Toc6010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 工程质量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_Toc6010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129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EC395E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_Toc21819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13.1 工程质量要求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_Toc21819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129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5AF28B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_Toc17602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13.2 承包人的质量管理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_Toc17602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6F4660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13.4 监理人的质量检查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B051B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_Toc16459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13.5 工程隐蔽部位覆盖前的检查</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_Toc16459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4ED3F2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_Toc27156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13.6 清除不合格工程</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_Toc27156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7BE740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 试验和检验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88892C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_Toc28540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14.4 试验和检验费用</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_Toc28540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326079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_Toc3751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15. 变更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_Toc3751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E39E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_Toc9262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15.1 变更的范围和内容</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_Toc9262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04D75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_Toc4853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15.3 变更程序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_Toc4853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56A1D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15.4 变更的估价原则</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_Toc24386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2F74436">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15.5 承包人的合理化建议</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_Toc31843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4BD20A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_Toc31508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15.6暂列金额</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_Toc31508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216C4B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_Toc10292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 价格调整</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_Toc10292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A18F3D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_Toc25323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16.1 物价波动引起的价格调整</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_Toc25323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7DE6EF">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_Toc29558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 计量与支付</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_Toc29558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E89052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_Toc10995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17.1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_Toc10995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E94A33">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_Toc1940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17.2 预付款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_Toc1940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9A4A217">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_Toc27923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_Toc27923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EBDEDB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_Toc31836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17.4 质量保证金</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_Toc31836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135</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71704B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_Toc14691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17.5 交工结算</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_Toc14691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7CCBB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17.6 最终结清</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_Toc792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4034B7">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_Toc8009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18. 交工验收</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_Toc8009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1D8610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_Toc11196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18.2 交工验收申请报告</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_Toc11196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75E3C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_Toc15493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18.3 验收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_Toc15493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44724E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_Toc7218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18.9 竣工文件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_Toc7218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46355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19. 缺陷责任与保修责任</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_Toc27071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454437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_Toc4936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19.2 缺陷责任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_Toc4936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2EE72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_Toc6222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19.5 承包人的进入权</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_Toc6222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05D940C">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_Toc7118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19.7 保修责任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_Toc7118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533F5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20. 保险</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_Toc21318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2AF30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_Toc14820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20.1工程保险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_Toc14820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391E8F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_Toc9762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20.4 第三者责任险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_Toc9762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652AF90">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_Toc27537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20.5 其他保险</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_Toc27537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138</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07329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_Toc32122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20.6 对各项保险的一般要求</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_Toc32122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CD9C25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_Toc24331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 不可抗力</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_Toc24331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20D9E5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_Toc31397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_Toc31397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139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B54E7A2">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_Toc5219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21.3 不可抗力后果及其处理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_Toc5219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1D4AA3">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_Toc14650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 违约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_Toc14650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C09C1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C7775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_Toc15822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_Toc15822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140</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5D3C4C">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_Toc1579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 索赔</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_Toc1579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071F72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_Toc16220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23.1 承包人索赔的提出</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_Toc16220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BD175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_Toc16608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23.2 承包人索赔处理程序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_Toc16608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4AA4BB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 争议的解决</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_Toc18749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141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00A60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24.3 争议评审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_Toc3289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B458ED1">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_Toc24990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24.4 仲裁</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_Toc24990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EE5D2BA">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_Toc9071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24.5 仲裁的执行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_Toc9071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142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951929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_Toc206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项目专用合同条款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_Toc206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F337E3F">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_Toc5802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 承包人的一般义务</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_Toc5802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9ABDC5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_Toc18399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w:t>
          </w:r>
          <w:r>
            <w:rPr>
              <w:rFonts w:hint="default" w:ascii="Times New Roman" w:hAnsi="Times New Roman" w:eastAsia="宋体" w:cs="Times New Roman"/>
              <w:color w:val="auto"/>
              <w:sz w:val="20"/>
              <w:szCs w:val="20"/>
              <w:highlight w:val="none"/>
              <w:lang w:val="en-US" w:eastAsia="zh-CN"/>
            </w:rPr>
            <w:t>6</w:t>
          </w:r>
          <w:r>
            <w:rPr>
              <w:rFonts w:hint="default" w:ascii="Times New Roman" w:hAnsi="Times New Roman" w:eastAsia="宋体" w:cs="Times New Roman"/>
              <w:color w:val="auto"/>
              <w:sz w:val="20"/>
              <w:szCs w:val="20"/>
              <w:highlight w:val="none"/>
            </w:rPr>
            <w:t xml:space="preserve"> 承包人人员的管理</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_Toc18399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41E2F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_Toc9683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4.11 不利物质条件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_Toc9683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682CEE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_Toc6510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10.1 合同进度计划</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_Toc6510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B39EEE">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_Toc12199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11.4异常恶劣的气候条件</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_Toc12199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3C70F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12.1 承包人暂停施工的责任</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_Toc3471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9333688">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_Toc30476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w:t>
          </w:r>
          <w:r>
            <w:rPr>
              <w:rFonts w:hint="default" w:ascii="Times New Roman" w:hAnsi="Times New Roman" w:eastAsia="宋体" w:cs="Times New Roman"/>
              <w:color w:val="auto"/>
              <w:sz w:val="20"/>
              <w:szCs w:val="20"/>
              <w:highlight w:val="none"/>
              <w:lang w:eastAsia="zh-CN"/>
            </w:rPr>
            <w:t>7</w:t>
          </w:r>
          <w:r>
            <w:rPr>
              <w:rFonts w:hint="default" w:ascii="Times New Roman" w:hAnsi="Times New Roman" w:eastAsia="宋体" w:cs="Times New Roman"/>
              <w:color w:val="auto"/>
              <w:sz w:val="20"/>
              <w:szCs w:val="20"/>
              <w:highlight w:val="none"/>
            </w:rPr>
            <w:t>.1</w:t>
          </w:r>
          <w:r>
            <w:rPr>
              <w:rFonts w:hint="default" w:ascii="Times New Roman" w:hAnsi="Times New Roman" w:eastAsia="宋体" w:cs="Times New Roman"/>
              <w:color w:val="auto"/>
              <w:sz w:val="20"/>
              <w:szCs w:val="20"/>
              <w:highlight w:val="none"/>
              <w:lang w:eastAsia="zh-CN"/>
            </w:rPr>
            <w:t xml:space="preserve"> 计量</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_Toc30476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156</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5A5AF65">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_Toc16941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17.3 工程进度付款</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_Toc16941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AC18A44">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_Toc22128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21.1 不可抗力的确认</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_Toc22128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92FE4B">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_Toc21348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22.1 承包人违约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_Toc21348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B955CDD">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850" w:firstLineChars="425"/>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_Toc8006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22.2 发包人违约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_Toc8006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157</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12A278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_Toc25493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第三节  合同附件格式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_Toc25493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158</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2CF79EC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_Toc3639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附件一</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合同协议书</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_Toc3639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159</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9071FCB">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_Toc6478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附件二</w:t>
          </w:r>
          <w:r>
            <w:rPr>
              <w:rFonts w:hint="default" w:ascii="Times New Roman" w:hAnsi="Times New Roman" w:eastAsia="宋体" w:cs="Times New Roman"/>
              <w:color w:val="auto"/>
              <w:sz w:val="20"/>
              <w:szCs w:val="20"/>
              <w:highlight w:val="none"/>
              <w:lang w:eastAsia="zh-CN"/>
            </w:rPr>
            <w:t xml:space="preserve"> </w:t>
          </w:r>
          <w:r>
            <w:rPr>
              <w:rFonts w:hint="default" w:ascii="Times New Roman" w:hAnsi="Times New Roman" w:eastAsia="宋体" w:cs="Times New Roman"/>
              <w:color w:val="auto"/>
              <w:sz w:val="20"/>
              <w:szCs w:val="20"/>
              <w:highlight w:val="none"/>
            </w:rPr>
            <w:t>廉政合同</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_Toc6478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161</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15F07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_Toc29870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附件三</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安全生产合同</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_Toc29870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455F1E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_Toc30403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附件四</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 xml:space="preserve">其他管理和技术人员最低要求 </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_Toc30403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17795A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_Toc3353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附件五</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主要机械设备和试验检测设备最低要求</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_Toc3353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D1DF69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_Toc16392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附件六</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项目经理委任书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_Toc16392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51C7A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_Toc32209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附件八</w:t>
          </w:r>
          <w:r>
            <w:rPr>
              <w:rFonts w:hint="default" w:ascii="Times New Roman" w:hAnsi="Times New Roman" w:eastAsia="宋体" w:cs="Times New Roman"/>
              <w:bCs w:val="0"/>
              <w:i w:val="0"/>
              <w:iCs w:val="0"/>
              <w:color w:val="auto"/>
              <w:sz w:val="20"/>
              <w:szCs w:val="20"/>
              <w:highlight w:val="none"/>
              <w:lang w:eastAsia="zh-CN"/>
            </w:rPr>
            <w:t xml:space="preserve"> </w:t>
          </w:r>
          <w:r>
            <w:rPr>
              <w:rFonts w:hint="default" w:ascii="Times New Roman" w:hAnsi="Times New Roman" w:eastAsia="宋体" w:cs="Times New Roman"/>
              <w:bCs w:val="0"/>
              <w:i w:val="0"/>
              <w:iCs w:val="0"/>
              <w:color w:val="auto"/>
              <w:sz w:val="20"/>
              <w:szCs w:val="20"/>
              <w:highlight w:val="none"/>
            </w:rPr>
            <w:t>工程资金监管协议格式</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_Toc32209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169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33A964D">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_Toc22372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第五章  工程量清单</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_Toc22372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171</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E96780B">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_Toc27980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1. 工程量清单说明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_Toc27980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F5F38FF">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_Toc8713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2. 投标报价说明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_Toc8713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73A9DA">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_Toc14325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3. 计日工说明</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_Toc14325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173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03F7B368">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_Toc6095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4. 其他说明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_Toc6095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E1FCC86">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_Toc22314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5. 工程量清单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_Toc22314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175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D180829">
          <w:pPr>
            <w:pStyle w:val="28"/>
            <w:keepNext w:val="0"/>
            <w:keepLines w:val="0"/>
            <w:pageBreakBefore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1275" w:firstLineChars="425"/>
            <w:textAlignment w:val="auto"/>
            <w:rPr>
              <w:rFonts w:hint="default" w:ascii="Times New Roman" w:hAnsi="Times New Roman" w:eastAsia="黑体" w:cs="Times New Roman"/>
              <w:color w:val="auto"/>
              <w:kern w:val="2"/>
              <w:sz w:val="30"/>
              <w:szCs w:val="30"/>
              <w:highlight w:val="none"/>
              <w:lang w:val="en-US" w:eastAsia="zh-CN" w:bidi="ar-SA"/>
            </w:rPr>
          </w:pPr>
        </w:p>
        <w:p w14:paraId="3953D75D">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_Toc2859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二  卷</w:t>
          </w:r>
          <w:r>
            <w:rPr>
              <w:rFonts w:hint="default" w:ascii="Times New Roman" w:hAnsi="Times New Roman" w:eastAsia="黑体" w:cs="Times New Roman"/>
              <w:color w:val="auto"/>
              <w:kern w:val="2"/>
              <w:sz w:val="30"/>
              <w:szCs w:val="30"/>
              <w:highlight w:val="none"/>
              <w:lang w:val="en-US" w:eastAsia="zh-CN" w:bidi="ar-SA"/>
            </w:rPr>
            <w:fldChar w:fldCharType="end"/>
          </w:r>
        </w:p>
        <w:p w14:paraId="3D3E66FE">
          <w:pPr>
            <w:rPr>
              <w:rFonts w:hint="default"/>
              <w:color w:val="auto"/>
              <w:highlight w:val="none"/>
              <w:lang w:val="en-US" w:eastAsia="zh-CN"/>
            </w:rPr>
          </w:pPr>
        </w:p>
        <w:p w14:paraId="420304D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_Toc16666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第六章  图纸（另册）</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_Toc16666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205</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272672CF">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p>
        <w:p w14:paraId="055E2818">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_Toc27800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三  卷</w:t>
          </w:r>
          <w:r>
            <w:rPr>
              <w:rFonts w:hint="default" w:ascii="Times New Roman" w:hAnsi="Times New Roman" w:eastAsia="黑体" w:cs="Times New Roman"/>
              <w:color w:val="auto"/>
              <w:kern w:val="2"/>
              <w:sz w:val="30"/>
              <w:szCs w:val="30"/>
              <w:highlight w:val="none"/>
              <w:lang w:val="en-US" w:eastAsia="zh-CN" w:bidi="ar-SA"/>
            </w:rPr>
            <w:fldChar w:fldCharType="end"/>
          </w:r>
        </w:p>
        <w:p w14:paraId="2F5210E4">
          <w:pPr>
            <w:rPr>
              <w:rFonts w:hint="default"/>
              <w:color w:val="auto"/>
              <w:highlight w:val="none"/>
              <w:lang w:val="en-US" w:eastAsia="zh-CN"/>
            </w:rPr>
          </w:pPr>
        </w:p>
        <w:p w14:paraId="4A2FBE97">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_Toc18862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第七章  技术规范（另册）</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_Toc18862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207</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75E8C61">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_Toc32110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第八章  工程量清单计量规则</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_Toc32110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208</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4E07C38E">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p>
        <w:p w14:paraId="48ECDF61">
          <w:pPr>
            <w:pStyle w:val="28"/>
            <w:keepNext w:val="0"/>
            <w:keepLines w:val="0"/>
            <w:pageBreakBefore w:val="0"/>
            <w:tabs>
              <w:tab w:val="right" w:leader="dot" w:pos="8675"/>
              <w:tab w:val="clear" w:pos="425"/>
              <w:tab w:val="clear" w:pos="8805"/>
            </w:tabs>
            <w:kinsoku/>
            <w:overflowPunct/>
            <w:topLinePunct w:val="0"/>
            <w:autoSpaceDE/>
            <w:autoSpaceDN/>
            <w:bidi w:val="0"/>
            <w:adjustRightInd/>
            <w:snapToGrid/>
            <w:spacing w:line="440" w:lineRule="exact"/>
            <w:ind w:left="590" w:leftChars="281"/>
            <w:textAlignment w:val="auto"/>
            <w:rPr>
              <w:rFonts w:hint="default" w:ascii="Times New Roman" w:hAnsi="Times New Roman" w:eastAsia="黑体" w:cs="Times New Roman"/>
              <w:color w:val="auto"/>
              <w:kern w:val="2"/>
              <w:sz w:val="30"/>
              <w:szCs w:val="30"/>
              <w:highlight w:val="none"/>
              <w:lang w:val="en-US" w:eastAsia="zh-CN" w:bidi="ar-SA"/>
            </w:rPr>
          </w:pPr>
          <w:r>
            <w:rPr>
              <w:rFonts w:hint="default" w:ascii="Times New Roman" w:hAnsi="Times New Roman" w:eastAsia="黑体" w:cs="Times New Roman"/>
              <w:color w:val="auto"/>
              <w:kern w:val="2"/>
              <w:sz w:val="30"/>
              <w:szCs w:val="30"/>
              <w:highlight w:val="none"/>
              <w:lang w:val="en-US" w:eastAsia="zh-CN" w:bidi="ar-SA"/>
            </w:rPr>
            <w:fldChar w:fldCharType="begin"/>
          </w:r>
          <w:r>
            <w:rPr>
              <w:rFonts w:hint="default" w:ascii="Times New Roman" w:hAnsi="Times New Roman" w:eastAsia="黑体" w:cs="Times New Roman"/>
              <w:color w:val="auto"/>
              <w:kern w:val="2"/>
              <w:sz w:val="30"/>
              <w:szCs w:val="30"/>
              <w:highlight w:val="none"/>
              <w:lang w:val="en-US" w:eastAsia="zh-CN" w:bidi="ar-SA"/>
            </w:rPr>
            <w:instrText xml:space="preserve"> HYPERLINK \l _Toc1042 </w:instrText>
          </w:r>
          <w:r>
            <w:rPr>
              <w:rFonts w:hint="default" w:ascii="Times New Roman" w:hAnsi="Times New Roman" w:eastAsia="黑体" w:cs="Times New Roman"/>
              <w:color w:val="auto"/>
              <w:kern w:val="2"/>
              <w:sz w:val="30"/>
              <w:szCs w:val="30"/>
              <w:highlight w:val="none"/>
              <w:lang w:val="en-US" w:eastAsia="zh-CN" w:bidi="ar-SA"/>
            </w:rPr>
            <w:fldChar w:fldCharType="separate"/>
          </w:r>
          <w:r>
            <w:rPr>
              <w:rFonts w:hint="default" w:ascii="Times New Roman" w:hAnsi="Times New Roman" w:eastAsia="黑体" w:cs="Times New Roman"/>
              <w:color w:val="auto"/>
              <w:kern w:val="2"/>
              <w:sz w:val="30"/>
              <w:szCs w:val="30"/>
              <w:highlight w:val="none"/>
              <w:lang w:val="en-US" w:eastAsia="zh-CN" w:bidi="ar-SA"/>
            </w:rPr>
            <w:t>第  四  卷</w:t>
          </w:r>
          <w:r>
            <w:rPr>
              <w:rFonts w:hint="default" w:ascii="Times New Roman" w:hAnsi="Times New Roman" w:eastAsia="黑体" w:cs="Times New Roman"/>
              <w:color w:val="auto"/>
              <w:kern w:val="2"/>
              <w:sz w:val="30"/>
              <w:szCs w:val="30"/>
              <w:highlight w:val="none"/>
              <w:lang w:val="en-US" w:eastAsia="zh-CN" w:bidi="ar-SA"/>
            </w:rPr>
            <w:fldChar w:fldCharType="end"/>
          </w:r>
        </w:p>
        <w:p w14:paraId="2DC3656A">
          <w:pPr>
            <w:rPr>
              <w:rFonts w:hint="default"/>
              <w:color w:val="auto"/>
              <w:highlight w:val="none"/>
              <w:lang w:val="en-US" w:eastAsia="zh-CN"/>
            </w:rPr>
          </w:pPr>
        </w:p>
        <w:p w14:paraId="51F850CF">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黑体" w:cs="Times New Roman"/>
              <w:bCs w:val="0"/>
              <w:i w:val="0"/>
              <w:iCs w:val="0"/>
              <w:color w:val="auto"/>
              <w:sz w:val="20"/>
              <w:szCs w:val="20"/>
              <w:highlight w:val="none"/>
            </w:rPr>
          </w:pP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HYPERLINK \l _Toc16811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第九章  投标文件格式</w:t>
          </w:r>
          <w:r>
            <w:rPr>
              <w:rFonts w:hint="default" w:ascii="Times New Roman" w:hAnsi="Times New Roman" w:eastAsia="黑体" w:cs="Times New Roman"/>
              <w:bCs w:val="0"/>
              <w:i w:val="0"/>
              <w:iCs w:val="0"/>
              <w:color w:val="auto"/>
              <w:sz w:val="20"/>
              <w:szCs w:val="20"/>
              <w:highlight w:val="none"/>
            </w:rPr>
            <w:tab/>
          </w:r>
          <w:r>
            <w:rPr>
              <w:rFonts w:hint="default" w:ascii="Times New Roman" w:hAnsi="Times New Roman" w:eastAsia="黑体" w:cs="Times New Roman"/>
              <w:bCs w:val="0"/>
              <w:i w:val="0"/>
              <w:iCs w:val="0"/>
              <w:color w:val="auto"/>
              <w:sz w:val="20"/>
              <w:szCs w:val="20"/>
              <w:highlight w:val="none"/>
            </w:rPr>
            <w:fldChar w:fldCharType="begin"/>
          </w:r>
          <w:r>
            <w:rPr>
              <w:rFonts w:hint="default" w:ascii="Times New Roman" w:hAnsi="Times New Roman" w:eastAsia="黑体" w:cs="Times New Roman"/>
              <w:bCs w:val="0"/>
              <w:i w:val="0"/>
              <w:iCs w:val="0"/>
              <w:color w:val="auto"/>
              <w:sz w:val="20"/>
              <w:szCs w:val="20"/>
              <w:highlight w:val="none"/>
            </w:rPr>
            <w:instrText xml:space="preserve"> PAGEREF _Toc16811 \h </w:instrText>
          </w:r>
          <w:r>
            <w:rPr>
              <w:rFonts w:hint="default" w:ascii="Times New Roman" w:hAnsi="Times New Roman" w:eastAsia="黑体" w:cs="Times New Roman"/>
              <w:bCs w:val="0"/>
              <w:i w:val="0"/>
              <w:iCs w:val="0"/>
              <w:color w:val="auto"/>
              <w:sz w:val="20"/>
              <w:szCs w:val="20"/>
              <w:highlight w:val="none"/>
            </w:rPr>
            <w:fldChar w:fldCharType="separate"/>
          </w:r>
          <w:r>
            <w:rPr>
              <w:rFonts w:hint="default" w:ascii="Times New Roman" w:hAnsi="Times New Roman" w:eastAsia="黑体" w:cs="Times New Roman"/>
              <w:bCs w:val="0"/>
              <w:i w:val="0"/>
              <w:iCs w:val="0"/>
              <w:color w:val="auto"/>
              <w:sz w:val="20"/>
              <w:szCs w:val="20"/>
              <w:highlight w:val="none"/>
            </w:rPr>
            <w:t>210</w:t>
          </w:r>
          <w:r>
            <w:rPr>
              <w:rFonts w:hint="default" w:ascii="Times New Roman" w:hAnsi="Times New Roman" w:eastAsia="黑体" w:cs="Times New Roman"/>
              <w:bCs w:val="0"/>
              <w:i w:val="0"/>
              <w:iCs w:val="0"/>
              <w:color w:val="auto"/>
              <w:sz w:val="20"/>
              <w:szCs w:val="20"/>
              <w:highlight w:val="none"/>
            </w:rPr>
            <w:fldChar w:fldCharType="end"/>
          </w:r>
          <w:r>
            <w:rPr>
              <w:rFonts w:hint="default" w:ascii="Times New Roman" w:hAnsi="Times New Roman" w:eastAsia="黑体" w:cs="Times New Roman"/>
              <w:bCs w:val="0"/>
              <w:i w:val="0"/>
              <w:iCs w:val="0"/>
              <w:color w:val="auto"/>
              <w:sz w:val="20"/>
              <w:szCs w:val="20"/>
              <w:highlight w:val="none"/>
            </w:rPr>
            <w:fldChar w:fldCharType="end"/>
          </w:r>
        </w:p>
        <w:p w14:paraId="3FD0F4D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_Toc11971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目     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_Toc11971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212</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3B12477">
          <w:pPr>
            <w:pStyle w:val="33"/>
            <w:keepNext w:val="0"/>
            <w:keepLines w:val="0"/>
            <w:pageBreakBefore w:val="0"/>
            <w:widowControl w:val="0"/>
            <w:tabs>
              <w:tab w:val="right" w:leader="dot" w:pos="867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_Toc26238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一、投标函及投标函附录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_Toc26238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FF25BB">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_Toc12342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（一） 投 标 函</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_Toc12342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213</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8AE6BB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_Toc30343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color w:val="auto"/>
              <w:sz w:val="20"/>
              <w:szCs w:val="20"/>
              <w:highlight w:val="none"/>
            </w:rPr>
            <w:t>（二）投标函附录</w:t>
          </w:r>
          <w:r>
            <w:rPr>
              <w:rFonts w:hint="default" w:ascii="Times New Roman" w:hAnsi="Times New Roman" w:eastAsia="宋体" w:cs="Times New Roman"/>
              <w:color w:val="auto"/>
              <w:sz w:val="20"/>
              <w:szCs w:val="20"/>
              <w:highlight w:val="none"/>
            </w:rPr>
            <w:tab/>
          </w:r>
          <w:r>
            <w:rPr>
              <w:rFonts w:hint="default" w:ascii="Times New Roman" w:hAnsi="Times New Roman" w:eastAsia="宋体" w:cs="Times New Roman"/>
              <w:color w:val="auto"/>
              <w:sz w:val="20"/>
              <w:szCs w:val="20"/>
              <w:highlight w:val="none"/>
            </w:rPr>
            <w:fldChar w:fldCharType="begin"/>
          </w:r>
          <w:r>
            <w:rPr>
              <w:rFonts w:hint="default" w:ascii="Times New Roman" w:hAnsi="Times New Roman" w:eastAsia="宋体" w:cs="Times New Roman"/>
              <w:color w:val="auto"/>
              <w:sz w:val="20"/>
              <w:szCs w:val="20"/>
              <w:highlight w:val="none"/>
            </w:rPr>
            <w:instrText xml:space="preserve"> PAGEREF _Toc30343 \h </w:instrText>
          </w:r>
          <w:r>
            <w:rPr>
              <w:rFonts w:hint="default" w:ascii="Times New Roman" w:hAnsi="Times New Roman" w:eastAsia="宋体" w:cs="Times New Roman"/>
              <w:color w:val="auto"/>
              <w:sz w:val="20"/>
              <w:szCs w:val="20"/>
              <w:highlight w:val="none"/>
            </w:rPr>
            <w:fldChar w:fldCharType="separate"/>
          </w:r>
          <w:r>
            <w:rPr>
              <w:rFonts w:hint="default" w:ascii="Times New Roman" w:hAnsi="Times New Roman" w:eastAsia="宋体" w:cs="Times New Roman"/>
              <w:color w:val="auto"/>
              <w:sz w:val="20"/>
              <w:szCs w:val="20"/>
              <w:highlight w:val="none"/>
            </w:rPr>
            <w:t>214</w:t>
          </w:r>
          <w:r>
            <w:rPr>
              <w:rFonts w:hint="default" w:ascii="Times New Roman" w:hAnsi="Times New Roman" w:eastAsia="宋体" w:cs="Times New Roman"/>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4F2D6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_Toc5786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二、授权委托书或法定代表人身份证明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_Toc5786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BAA069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（一）授权委托书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_Toc1277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89DBE18">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_Toc5869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（二）法定代表人身份证明</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_Toc5869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A714D8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_Toc12038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三、联合体协议书</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_Toc12038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219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8050210">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_Toc3440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四、投标保证金</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_Toc3440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220</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9DD2EE5">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五、施工组织设计</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221</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6363E16">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_Toc5183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六、项目管理机构</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_Toc5183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4759DDD4">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_Toc1872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七、拟分包项目情况表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_Toc1872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06F5F62">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_Toc18949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八</w:t>
          </w:r>
          <w:r>
            <w:rPr>
              <w:rFonts w:hint="default" w:ascii="Times New Roman" w:hAnsi="Times New Roman" w:eastAsia="宋体" w:cs="Times New Roman"/>
              <w:bCs w:val="0"/>
              <w:i w:val="0"/>
              <w:iCs w:val="0"/>
              <w:color w:val="auto"/>
              <w:sz w:val="20"/>
              <w:szCs w:val="20"/>
              <w:highlight w:val="none"/>
            </w:rPr>
            <w:t>、资格审查资料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_Toc18949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5E1173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_Toc10802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（一）投标人基本情况表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_Toc10802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0B9D701">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_Toc32655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（二）投标人企业组织机构框图</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_Toc32655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18ACC9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_Toc10365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三</w:t>
          </w:r>
          <w:r>
            <w:rPr>
              <w:rFonts w:hint="default" w:ascii="Times New Roman" w:hAnsi="Times New Roman" w:eastAsia="宋体" w:cs="Times New Roman"/>
              <w:bCs w:val="0"/>
              <w:i w:val="0"/>
              <w:iCs w:val="0"/>
              <w:color w:val="auto"/>
              <w:sz w:val="20"/>
              <w:szCs w:val="20"/>
              <w:highlight w:val="none"/>
            </w:rPr>
            <w:t>）近年财务状况</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_Toc10365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C90633E">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_Toc21134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四</w:t>
          </w:r>
          <w:r>
            <w:rPr>
              <w:rFonts w:hint="default" w:ascii="Times New Roman" w:hAnsi="Times New Roman" w:eastAsia="宋体" w:cs="Times New Roman"/>
              <w:bCs w:val="0"/>
              <w:i w:val="0"/>
              <w:iCs w:val="0"/>
              <w:color w:val="auto"/>
              <w:sz w:val="20"/>
              <w:szCs w:val="20"/>
              <w:highlight w:val="none"/>
            </w:rPr>
            <w:t>）近年完成的类似项目情况表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_Toc21134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8214C79">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_Toc17918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（五） 投标人的信誉情况表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_Toc17918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229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5F4B5DA4">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_Toc13882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（六）拟委任的项目经理和项目总工资历表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_Toc13882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2FCB77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_Toc26510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七</w:t>
          </w:r>
          <w:r>
            <w:rPr>
              <w:rFonts w:hint="default" w:ascii="Times New Roman" w:hAnsi="Times New Roman" w:eastAsia="宋体" w:cs="Times New Roman"/>
              <w:bCs w:val="0"/>
              <w:i w:val="0"/>
              <w:iCs w:val="0"/>
              <w:color w:val="auto"/>
              <w:sz w:val="20"/>
              <w:szCs w:val="20"/>
              <w:highlight w:val="none"/>
            </w:rPr>
            <w:t>）拟委任的其他管理和技术人员汇总表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_Toc26510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6579E8D">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_Toc26724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八</w:t>
          </w:r>
          <w:r>
            <w:rPr>
              <w:rFonts w:hint="default" w:ascii="Times New Roman" w:hAnsi="Times New Roman" w:eastAsia="宋体" w:cs="Times New Roman"/>
              <w:bCs w:val="0"/>
              <w:i w:val="0"/>
              <w:iCs w:val="0"/>
              <w:color w:val="auto"/>
              <w:sz w:val="20"/>
              <w:szCs w:val="20"/>
              <w:highlight w:val="none"/>
            </w:rPr>
            <w:t>）拟委任的其他管理和技术人员资历表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_Toc26724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235</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E645982">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_Toc5789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w:t>
          </w:r>
          <w:r>
            <w:rPr>
              <w:rFonts w:hint="default" w:ascii="Times New Roman" w:hAnsi="Times New Roman" w:eastAsia="宋体" w:cs="Times New Roman"/>
              <w:bCs w:val="0"/>
              <w:i w:val="0"/>
              <w:iCs w:val="0"/>
              <w:color w:val="auto"/>
              <w:sz w:val="20"/>
              <w:szCs w:val="20"/>
              <w:highlight w:val="none"/>
              <w:lang w:eastAsia="zh-CN"/>
            </w:rPr>
            <w:t>九</w:t>
          </w:r>
          <w:r>
            <w:rPr>
              <w:rFonts w:hint="default" w:ascii="Times New Roman" w:hAnsi="Times New Roman" w:eastAsia="宋体" w:cs="Times New Roman"/>
              <w:bCs w:val="0"/>
              <w:i w:val="0"/>
              <w:iCs w:val="0"/>
              <w:color w:val="auto"/>
              <w:sz w:val="20"/>
              <w:szCs w:val="20"/>
              <w:highlight w:val="none"/>
            </w:rPr>
            <w:t>） 拟投入本标段的主要施工机械表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_Toc5789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236</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36DCBA45">
          <w:pPr>
            <w:pStyle w:val="19"/>
            <w:keepNext w:val="0"/>
            <w:keepLines w:val="0"/>
            <w:pageBreakBefore w:val="0"/>
            <w:widowControl/>
            <w:tabs>
              <w:tab w:val="right" w:leader="dot" w:pos="8675"/>
            </w:tabs>
            <w:kinsoku/>
            <w:wordWrap/>
            <w:overflowPunct/>
            <w:topLinePunct w:val="0"/>
            <w:autoSpaceDE/>
            <w:autoSpaceDN/>
            <w:bidi w:val="0"/>
            <w:adjustRightInd/>
            <w:snapToGrid/>
            <w:spacing w:after="0" w:line="440" w:lineRule="exact"/>
            <w:ind w:left="0" w:leftChars="0" w:firstLine="564" w:firstLineChars="282"/>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_Toc27702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（十） 拟配备本标段的主要材料试验、测量、质检仪器设备表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_Toc27702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237</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426A093">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_Toc13139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九</w:t>
          </w:r>
          <w:r>
            <w:rPr>
              <w:rFonts w:hint="default" w:ascii="Times New Roman" w:hAnsi="Times New Roman" w:eastAsia="宋体" w:cs="Times New Roman"/>
              <w:bCs w:val="0"/>
              <w:i w:val="0"/>
              <w:iCs w:val="0"/>
              <w:color w:val="auto"/>
              <w:sz w:val="20"/>
              <w:szCs w:val="20"/>
              <w:highlight w:val="none"/>
            </w:rPr>
            <w:t>、投标人告知承诺函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_Toc13139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238</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BEBE4FC">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_Toc3120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lang w:val="en-US" w:eastAsia="zh-CN"/>
            </w:rPr>
            <w:t>十</w:t>
          </w:r>
          <w:r>
            <w:rPr>
              <w:rFonts w:hint="default" w:ascii="Times New Roman" w:hAnsi="Times New Roman" w:eastAsia="宋体" w:cs="Times New Roman"/>
              <w:bCs w:val="0"/>
              <w:i w:val="0"/>
              <w:iCs w:val="0"/>
              <w:color w:val="auto"/>
              <w:sz w:val="20"/>
              <w:szCs w:val="20"/>
              <w:highlight w:val="none"/>
            </w:rPr>
            <w:t>、其他</w:t>
          </w:r>
          <w:r>
            <w:rPr>
              <w:rFonts w:hint="default" w:ascii="Times New Roman" w:hAnsi="Times New Roman" w:eastAsia="宋体" w:cs="Times New Roman"/>
              <w:bCs w:val="0"/>
              <w:i w:val="0"/>
              <w:iCs w:val="0"/>
              <w:color w:val="auto"/>
              <w:sz w:val="20"/>
              <w:szCs w:val="20"/>
              <w:highlight w:val="none"/>
              <w:lang w:eastAsia="zh-CN"/>
            </w:rPr>
            <w:t>资料</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_Toc3120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239</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125307D8">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_Toc9512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一、投标函</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_Toc9512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242</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2CD82FCA">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_Toc9477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二、已标价工程量清单</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_Toc9477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243</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7A83E81E">
          <w:pPr>
            <w:pStyle w:val="28"/>
            <w:keepNext w:val="0"/>
            <w:keepLines w:val="0"/>
            <w:pageBreakBefore w:val="0"/>
            <w:widowControl w:val="0"/>
            <w:tabs>
              <w:tab w:val="right" w:leader="dot" w:pos="8675"/>
              <w:tab w:val="clear" w:pos="425"/>
              <w:tab w:val="clear" w:pos="8805"/>
            </w:tabs>
            <w:kinsoku/>
            <w:wordWrap/>
            <w:overflowPunct/>
            <w:topLinePunct w:val="0"/>
            <w:autoSpaceDE/>
            <w:autoSpaceDN/>
            <w:bidi w:val="0"/>
            <w:adjustRightInd/>
            <w:snapToGrid/>
            <w:spacing w:line="440" w:lineRule="exact"/>
            <w:ind w:left="0" w:leftChars="0" w:firstLine="282" w:firstLineChars="141"/>
            <w:textAlignment w:val="auto"/>
            <w:rPr>
              <w:rFonts w:hint="default" w:ascii="Times New Roman" w:hAnsi="Times New Roman" w:eastAsia="宋体" w:cs="Times New Roman"/>
              <w:bCs w:val="0"/>
              <w:i w:val="0"/>
              <w:iCs w:val="0"/>
              <w:color w:val="auto"/>
              <w:sz w:val="20"/>
              <w:szCs w:val="20"/>
              <w:highlight w:val="none"/>
            </w:rPr>
          </w:pP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HYPERLINK \l _Toc25809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三、合同用款估算表</w:t>
          </w:r>
          <w:r>
            <w:rPr>
              <w:rFonts w:hint="default" w:ascii="Times New Roman" w:hAnsi="Times New Roman" w:eastAsia="宋体" w:cs="Times New Roman"/>
              <w:bCs w:val="0"/>
              <w:i w:val="0"/>
              <w:iCs w:val="0"/>
              <w:color w:val="auto"/>
              <w:sz w:val="20"/>
              <w:szCs w:val="20"/>
              <w:highlight w:val="none"/>
            </w:rPr>
            <w:tab/>
          </w:r>
          <w:r>
            <w:rPr>
              <w:rFonts w:hint="default" w:ascii="Times New Roman" w:hAnsi="Times New Roman" w:eastAsia="宋体" w:cs="Times New Roman"/>
              <w:bCs w:val="0"/>
              <w:i w:val="0"/>
              <w:iCs w:val="0"/>
              <w:color w:val="auto"/>
              <w:sz w:val="20"/>
              <w:szCs w:val="20"/>
              <w:highlight w:val="none"/>
            </w:rPr>
            <w:fldChar w:fldCharType="begin"/>
          </w:r>
          <w:r>
            <w:rPr>
              <w:rFonts w:hint="default" w:ascii="Times New Roman" w:hAnsi="Times New Roman" w:eastAsia="宋体" w:cs="Times New Roman"/>
              <w:bCs w:val="0"/>
              <w:i w:val="0"/>
              <w:iCs w:val="0"/>
              <w:color w:val="auto"/>
              <w:sz w:val="20"/>
              <w:szCs w:val="20"/>
              <w:highlight w:val="none"/>
            </w:rPr>
            <w:instrText xml:space="preserve"> PAGEREF _Toc25809 \h </w:instrText>
          </w:r>
          <w:r>
            <w:rPr>
              <w:rFonts w:hint="default" w:ascii="Times New Roman" w:hAnsi="Times New Roman" w:eastAsia="宋体" w:cs="Times New Roman"/>
              <w:bCs w:val="0"/>
              <w:i w:val="0"/>
              <w:iCs w:val="0"/>
              <w:color w:val="auto"/>
              <w:sz w:val="20"/>
              <w:szCs w:val="20"/>
              <w:highlight w:val="none"/>
            </w:rPr>
            <w:fldChar w:fldCharType="separate"/>
          </w:r>
          <w:r>
            <w:rPr>
              <w:rFonts w:hint="default" w:ascii="Times New Roman" w:hAnsi="Times New Roman" w:eastAsia="宋体" w:cs="Times New Roman"/>
              <w:bCs w:val="0"/>
              <w:i w:val="0"/>
              <w:iCs w:val="0"/>
              <w:color w:val="auto"/>
              <w:sz w:val="20"/>
              <w:szCs w:val="20"/>
              <w:highlight w:val="none"/>
            </w:rPr>
            <w:t>244</w:t>
          </w:r>
          <w:r>
            <w:rPr>
              <w:rFonts w:hint="default" w:ascii="Times New Roman" w:hAnsi="Times New Roman" w:eastAsia="宋体" w:cs="Times New Roman"/>
              <w:bCs w:val="0"/>
              <w:i w:val="0"/>
              <w:iCs w:val="0"/>
              <w:color w:val="auto"/>
              <w:sz w:val="20"/>
              <w:szCs w:val="20"/>
              <w:highlight w:val="none"/>
            </w:rPr>
            <w:fldChar w:fldCharType="end"/>
          </w:r>
          <w:r>
            <w:rPr>
              <w:rFonts w:hint="default" w:ascii="Times New Roman" w:hAnsi="Times New Roman" w:eastAsia="宋体" w:cs="Times New Roman"/>
              <w:bCs w:val="0"/>
              <w:i w:val="0"/>
              <w:iCs w:val="0"/>
              <w:color w:val="auto"/>
              <w:sz w:val="20"/>
              <w:szCs w:val="20"/>
              <w:highlight w:val="none"/>
            </w:rPr>
            <w:fldChar w:fldCharType="end"/>
          </w:r>
        </w:p>
        <w:p w14:paraId="6D72E315">
          <w:pPr>
            <w:keepNext w:val="0"/>
            <w:keepLines w:val="0"/>
            <w:pageBreakBefore w:val="0"/>
            <w:kinsoku/>
            <w:wordWrap w:val="0"/>
            <w:overflowPunct/>
            <w:topLinePunct w:val="0"/>
            <w:autoSpaceDE/>
            <w:autoSpaceDN/>
            <w:bidi w:val="0"/>
            <w:adjustRightInd/>
            <w:snapToGrid/>
            <w:spacing w:line="440" w:lineRule="exact"/>
            <w:ind w:left="590" w:leftChars="281"/>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Cs w:val="0"/>
              <w:i w:val="0"/>
              <w:iCs w:val="0"/>
              <w:color w:val="auto"/>
              <w:sz w:val="20"/>
              <w:szCs w:val="20"/>
              <w:highlight w:val="none"/>
            </w:rPr>
            <w:fldChar w:fldCharType="end"/>
          </w:r>
        </w:p>
      </w:sdtContent>
    </w:sdt>
    <w:p w14:paraId="390CA75D">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1A50F009">
      <w:pPr>
        <w:pageBreakBefore w:val="0"/>
        <w:kinsoku/>
        <w:wordWrap w:val="0"/>
        <w:bidi w:val="0"/>
        <w:spacing w:line="352" w:lineRule="atLeast"/>
        <w:rPr>
          <w:rFonts w:hint="default" w:ascii="Times New Roman" w:hAnsi="Times New Roman" w:eastAsia="楷体_GB2312" w:cs="Times New Roman"/>
          <w:color w:val="auto"/>
          <w:szCs w:val="21"/>
          <w:highlight w:val="none"/>
        </w:rPr>
        <w:sectPr>
          <w:headerReference r:id="rId8" w:type="default"/>
          <w:footerReference r:id="rId9" w:type="default"/>
          <w:footnotePr>
            <w:numFmt w:val="decimalEnclosedCircleChinese"/>
            <w:numRestart w:val="eachPage"/>
          </w:footnotePr>
          <w:pgSz w:w="11907" w:h="16840"/>
          <w:pgMar w:top="1588" w:right="1588" w:bottom="1474" w:left="1644" w:header="851" w:footer="851" w:gutter="0"/>
          <w:pgNumType w:fmt="upperRoman" w:start="1"/>
          <w:cols w:space="720" w:num="1"/>
          <w:docGrid w:linePitch="312" w:charSpace="0"/>
        </w:sectPr>
      </w:pPr>
    </w:p>
    <w:p w14:paraId="192C4E59">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58162421">
      <w:pPr>
        <w:pageBreakBefore w:val="0"/>
        <w:kinsoku/>
        <w:wordWrap w:val="0"/>
        <w:bidi w:val="0"/>
        <w:spacing w:line="352" w:lineRule="atLeast"/>
        <w:rPr>
          <w:rFonts w:hint="default" w:ascii="Times New Roman" w:hAnsi="Times New Roman" w:eastAsia="楷体_GB2312" w:cs="Times New Roman"/>
          <w:color w:val="auto"/>
          <w:szCs w:val="21"/>
          <w:highlight w:val="none"/>
        </w:rPr>
      </w:pPr>
    </w:p>
    <w:p w14:paraId="28D2D253">
      <w:pPr>
        <w:pageBreakBefore w:val="0"/>
        <w:kinsoku/>
        <w:wordWrap w:val="0"/>
        <w:bidi w:val="0"/>
        <w:spacing w:line="352" w:lineRule="atLeast"/>
        <w:rPr>
          <w:rFonts w:hint="default" w:ascii="Times New Roman" w:hAnsi="Times New Roman" w:eastAsia="黑体" w:cs="Times New Roman"/>
          <w:color w:val="auto"/>
          <w:sz w:val="29"/>
          <w:szCs w:val="29"/>
          <w:highlight w:val="none"/>
        </w:rPr>
      </w:pPr>
    </w:p>
    <w:p w14:paraId="4843078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9DDD8F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FFB242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099ED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624D15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F70CF1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58A27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AA87D7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58AAC2">
      <w:pPr>
        <w:keepNext w:val="0"/>
        <w:keepLines w:val="0"/>
        <w:pageBreakBefore w:val="0"/>
        <w:widowControl w:val="0"/>
        <w:kinsoku/>
        <w:wordWrap w:val="0"/>
        <w:overflowPunct/>
        <w:topLinePunct/>
        <w:autoSpaceDE/>
        <w:autoSpaceDN/>
        <w:bidi w:val="0"/>
        <w:adjustRightInd/>
        <w:snapToGrid/>
        <w:spacing w:line="240" w:lineRule="atLeast"/>
        <w:ind w:right="31" w:rightChars="15"/>
        <w:jc w:val="center"/>
        <w:textAlignment w:val="auto"/>
        <w:outlineLvl w:val="0"/>
        <w:rPr>
          <w:rFonts w:hint="default" w:ascii="Times New Roman" w:hAnsi="Times New Roman" w:eastAsia="黑体" w:cs="Times New Roman"/>
          <w:color w:val="auto"/>
          <w:sz w:val="76"/>
          <w:szCs w:val="76"/>
          <w:highlight w:val="none"/>
        </w:rPr>
      </w:pPr>
      <w:bookmarkStart w:id="0" w:name="_Toc14869"/>
      <w:r>
        <w:rPr>
          <w:rFonts w:hint="default" w:ascii="Times New Roman" w:hAnsi="Times New Roman" w:eastAsia="黑体" w:cs="Times New Roman"/>
          <w:color w:val="auto"/>
          <w:sz w:val="76"/>
          <w:szCs w:val="76"/>
          <w:highlight w:val="none"/>
        </w:rPr>
        <w:t>第  一  卷</w:t>
      </w:r>
      <w:bookmarkEnd w:id="0"/>
    </w:p>
    <w:p w14:paraId="1963FA6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sectPr>
          <w:headerReference r:id="rId10" w:type="default"/>
          <w:footerReference r:id="rId11" w:type="default"/>
          <w:footerReference r:id="rId12"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10357DB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404AEC2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6"/>
          <w:szCs w:val="36"/>
          <w:highlight w:val="none"/>
        </w:rPr>
      </w:pPr>
    </w:p>
    <w:p w14:paraId="3AC36CDE">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41DBE5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EEB8492">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0A2DA9D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57D781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5ED2EFA">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2950B04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3B6CFF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607E021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F2A9304">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color w:val="auto"/>
          <w:sz w:val="56"/>
          <w:szCs w:val="56"/>
          <w:highlight w:val="none"/>
        </w:rPr>
      </w:pPr>
      <w:bookmarkStart w:id="1" w:name="_Toc15626"/>
      <w:bookmarkStart w:id="2" w:name="_Toc27722"/>
      <w:bookmarkStart w:id="3" w:name="_Toc16041"/>
      <w:bookmarkStart w:id="4" w:name="_Toc32078"/>
      <w:r>
        <w:rPr>
          <w:rFonts w:hint="default" w:ascii="Times New Roman" w:hAnsi="Times New Roman" w:eastAsia="黑体" w:cs="Times New Roman"/>
          <w:color w:val="auto"/>
          <w:sz w:val="56"/>
          <w:szCs w:val="56"/>
          <w:highlight w:val="none"/>
        </w:rPr>
        <w:t>第一章  招标公告</w:t>
      </w:r>
      <w:bookmarkEnd w:id="1"/>
      <w:bookmarkEnd w:id="2"/>
      <w:bookmarkEnd w:id="3"/>
      <w:bookmarkEnd w:id="4"/>
    </w:p>
    <w:p w14:paraId="337339D6">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36ADB70">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footerReference r:id="rId13" w:type="default"/>
          <w:footerReference r:id="rId14"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5794B869">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color w:val="auto"/>
          <w:sz w:val="42"/>
          <w:szCs w:val="42"/>
          <w:highlight w:val="none"/>
        </w:rPr>
      </w:pPr>
      <w:bookmarkStart w:id="5" w:name="_Toc5317"/>
      <w:bookmarkStart w:id="6" w:name="_Toc4069"/>
      <w:bookmarkStart w:id="7" w:name="_Toc234832844"/>
      <w:bookmarkStart w:id="8" w:name="_Toc15669"/>
      <w:bookmarkStart w:id="9" w:name="_Toc3148"/>
      <w:r>
        <w:rPr>
          <w:rStyle w:val="53"/>
          <w:rFonts w:hint="default" w:ascii="Times New Roman" w:hAnsi="Times New Roman" w:eastAsia="黑体" w:cs="Times New Roman"/>
          <w:color w:val="auto"/>
          <w:sz w:val="42"/>
          <w:szCs w:val="42"/>
          <w:highlight w:val="none"/>
        </w:rPr>
        <w:t>第一章  招标公告</w:t>
      </w:r>
      <w:bookmarkEnd w:id="5"/>
      <w:bookmarkEnd w:id="6"/>
      <w:bookmarkEnd w:id="7"/>
      <w:r>
        <w:rPr>
          <w:rStyle w:val="47"/>
          <w:rFonts w:hint="default" w:ascii="Times New Roman" w:hAnsi="Times New Roman" w:eastAsia="黑体" w:cs="Times New Roman"/>
          <w:color w:val="auto"/>
          <w:sz w:val="42"/>
          <w:szCs w:val="42"/>
          <w:highlight w:val="none"/>
        </w:rPr>
        <w:footnoteReference w:id="0"/>
      </w:r>
      <w:bookmarkEnd w:id="8"/>
      <w:bookmarkEnd w:id="9"/>
    </w:p>
    <w:p w14:paraId="291DE138">
      <w:pPr>
        <w:pageBreakBefore w:val="0"/>
        <w:tabs>
          <w:tab w:val="center" w:pos="4153"/>
        </w:tabs>
        <w:kinsoku/>
        <w:wordWrap w:val="0"/>
        <w:bidi w:val="0"/>
        <w:spacing w:line="440" w:lineRule="exact"/>
        <w:jc w:val="center"/>
        <w:rPr>
          <w:rFonts w:hint="default" w:ascii="Times New Roman" w:hAnsi="Times New Roman" w:eastAsia="黑体" w:cs="Times New Roman"/>
          <w:color w:val="auto"/>
          <w:sz w:val="17"/>
          <w:szCs w:val="17"/>
          <w:highlight w:val="none"/>
        </w:rPr>
      </w:pPr>
    </w:p>
    <w:p w14:paraId="2E1EE86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大石桥市2026年农村公路维修改造工程—大修（项目名称）</w:t>
      </w:r>
    </w:p>
    <w:p w14:paraId="7632567B">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u w:val="single"/>
        </w:rPr>
      </w:pPr>
      <w:r>
        <w:rPr>
          <w:rFonts w:hint="eastAsia" w:eastAsia="黑体" w:cs="Times New Roman"/>
          <w:color w:val="auto"/>
          <w:sz w:val="28"/>
          <w:szCs w:val="28"/>
          <w:highlight w:val="none"/>
          <w:u w:val="single"/>
          <w:lang w:eastAsia="zh-CN"/>
        </w:rPr>
        <w:t>大石桥市2026年农村公路维修改造工程—大修（三标段）</w:t>
      </w:r>
      <w:r>
        <w:rPr>
          <w:rFonts w:hint="default" w:ascii="Times New Roman" w:hAnsi="Times New Roman" w:eastAsia="黑体" w:cs="Times New Roman"/>
          <w:color w:val="auto"/>
          <w:sz w:val="28"/>
          <w:szCs w:val="28"/>
          <w:highlight w:val="none"/>
          <w:u w:val="single"/>
        </w:rPr>
        <w:t>（标段名称）</w:t>
      </w:r>
    </w:p>
    <w:p w14:paraId="5768BCDF">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施工招标</w:t>
      </w:r>
      <w:r>
        <w:rPr>
          <w:rFonts w:hint="default" w:ascii="Times New Roman" w:hAnsi="Times New Roman" w:eastAsia="黑体" w:cs="Times New Roman"/>
          <w:color w:val="auto"/>
          <w:sz w:val="28"/>
          <w:szCs w:val="28"/>
          <w:highlight w:val="none"/>
        </w:rPr>
        <w:t>公告</w:t>
      </w:r>
      <w:r>
        <w:rPr>
          <w:rStyle w:val="47"/>
          <w:rFonts w:hint="default" w:ascii="Times New Roman" w:hAnsi="Times New Roman" w:eastAsia="黑体" w:cs="Times New Roman"/>
          <w:color w:val="auto"/>
          <w:sz w:val="28"/>
          <w:szCs w:val="28"/>
          <w:highlight w:val="none"/>
        </w:rPr>
        <w:footnoteReference w:id="1"/>
      </w:r>
    </w:p>
    <w:p w14:paraId="73CF9164">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5866135A">
      <w:pPr>
        <w:pStyle w:val="2"/>
        <w:pageBreakBefore w:val="0"/>
        <w:kinsoku/>
        <w:wordWrap w:val="0"/>
        <w:bidi w:val="0"/>
        <w:spacing w:before="240" w:after="240" w:line="240" w:lineRule="atLeast"/>
        <w:outlineLvl w:val="1"/>
        <w:rPr>
          <w:rFonts w:hint="default" w:ascii="Times New Roman" w:hAnsi="Times New Roman" w:cs="Times New Roman"/>
          <w:color w:val="auto"/>
          <w:sz w:val="28"/>
          <w:szCs w:val="28"/>
          <w:highlight w:val="none"/>
        </w:rPr>
      </w:pPr>
      <w:bookmarkStart w:id="10" w:name="_Toc3647"/>
      <w:bookmarkStart w:id="11" w:name="_Toc15922"/>
      <w:bookmarkStart w:id="12" w:name="_Toc7389"/>
      <w:bookmarkStart w:id="13" w:name="_Toc470760973"/>
      <w:r>
        <w:rPr>
          <w:rFonts w:hint="default" w:ascii="Times New Roman" w:hAnsi="Times New Roman" w:cs="Times New Roman"/>
          <w:color w:val="auto"/>
          <w:sz w:val="28"/>
          <w:szCs w:val="28"/>
          <w:highlight w:val="none"/>
        </w:rPr>
        <w:t xml:space="preserve">1. </w:t>
      </w:r>
      <w:r>
        <w:rPr>
          <w:rFonts w:hint="default" w:ascii="Times New Roman" w:hAnsi="Times New Roman" w:eastAsia="黑体" w:cs="Times New Roman"/>
          <w:color w:val="auto"/>
          <w:sz w:val="28"/>
          <w:szCs w:val="28"/>
          <w:highlight w:val="none"/>
        </w:rPr>
        <w:t>招标条件</w:t>
      </w:r>
      <w:bookmarkEnd w:id="10"/>
      <w:bookmarkEnd w:id="11"/>
      <w:bookmarkEnd w:id="12"/>
      <w:bookmarkEnd w:id="13"/>
    </w:p>
    <w:p w14:paraId="37455D1C">
      <w:pPr>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highlight w:val="none"/>
        </w:rPr>
      </w:pPr>
      <w:r>
        <w:rPr>
          <w:rFonts w:hint="eastAsia" w:ascii="宋体" w:hAnsi="宋体" w:eastAsia="宋体" w:cs="宋体"/>
          <w:sz w:val="24"/>
          <w:szCs w:val="24"/>
          <w:highlight w:val="none"/>
        </w:rPr>
        <w:t>本招标项目</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大石桥市2026年农村公路维修改造工程—大修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（项目名称）已由</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大石桥市交通运输局</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 （项目审批、核准或备案机关名称）以</w:t>
      </w:r>
      <w:r>
        <w:rPr>
          <w:rFonts w:hint="eastAsia" w:ascii="宋体" w:hAnsi="宋体" w:cs="宋体"/>
          <w:sz w:val="24"/>
          <w:szCs w:val="24"/>
          <w:highlight w:val="none"/>
          <w:u w:val="single"/>
          <w:lang w:val="en-US" w:eastAsia="zh-CN"/>
        </w:rPr>
        <w:t xml:space="preserve"> 《关于大石桥市 2026年农村公路维修改造工程施工图设计的批复》大市交发(2026)39号   </w:t>
      </w:r>
      <w:r>
        <w:rPr>
          <w:rFonts w:hint="eastAsia" w:ascii="宋体" w:hAnsi="宋体" w:eastAsia="宋体" w:cs="宋体"/>
          <w:sz w:val="24"/>
          <w:szCs w:val="24"/>
          <w:highlight w:val="none"/>
        </w:rPr>
        <w:t>（批文名称及编号）批准建设，建设资金来自</w:t>
      </w:r>
      <w:r>
        <w:rPr>
          <w:rFonts w:hint="eastAsia" w:ascii="宋体" w:hAnsi="宋体" w:eastAsia="宋体" w:cs="宋体"/>
          <w:sz w:val="24"/>
          <w:szCs w:val="24"/>
          <w:highlight w:val="none"/>
          <w:u w:val="single"/>
        </w:rPr>
        <w:t xml:space="preserve">省补资金和地方政府配套资金  </w:t>
      </w:r>
      <w:r>
        <w:rPr>
          <w:rFonts w:hint="eastAsia" w:ascii="宋体" w:hAnsi="宋体" w:eastAsia="宋体" w:cs="宋体"/>
          <w:sz w:val="24"/>
          <w:szCs w:val="24"/>
          <w:highlight w:val="none"/>
        </w:rPr>
        <w:t>（资金来源），出资比例为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yellow"/>
          <w:u w:val="single"/>
          <w:lang w:eastAsia="zh-CN"/>
        </w:rPr>
        <w:t>省补资金</w:t>
      </w:r>
      <w:r>
        <w:rPr>
          <w:rFonts w:hint="eastAsia" w:ascii="宋体" w:hAnsi="宋体" w:cs="宋体"/>
          <w:sz w:val="24"/>
          <w:szCs w:val="24"/>
          <w:highlight w:val="yellow"/>
          <w:u w:val="single"/>
          <w:lang w:val="en-US" w:eastAsia="zh-CN"/>
        </w:rPr>
        <w:t>46.63</w:t>
      </w:r>
      <w:r>
        <w:rPr>
          <w:rFonts w:hint="eastAsia" w:ascii="宋体" w:hAnsi="宋体" w:cs="宋体"/>
          <w:sz w:val="24"/>
          <w:szCs w:val="24"/>
          <w:highlight w:val="yellow"/>
          <w:u w:val="single"/>
          <w:lang w:eastAsia="zh-CN"/>
        </w:rPr>
        <w:t>%、地方政府配套资金</w:t>
      </w:r>
      <w:r>
        <w:rPr>
          <w:rFonts w:hint="eastAsia" w:ascii="宋体" w:hAnsi="宋体" w:cs="宋体"/>
          <w:sz w:val="24"/>
          <w:szCs w:val="24"/>
          <w:highlight w:val="yellow"/>
          <w:u w:val="single"/>
          <w:lang w:val="en-US" w:eastAsia="zh-CN"/>
        </w:rPr>
        <w:t>53.37</w:t>
      </w:r>
      <w:r>
        <w:rPr>
          <w:rFonts w:hint="eastAsia" w:ascii="宋体" w:hAnsi="宋体" w:cs="宋体"/>
          <w:sz w:val="24"/>
          <w:szCs w:val="24"/>
          <w:highlight w:val="yellow"/>
          <w:u w:val="single"/>
          <w:lang w:eastAsia="zh-CN"/>
        </w:rPr>
        <w:t>%</w:t>
      </w:r>
      <w:r>
        <w:rPr>
          <w:rFonts w:hint="eastAsia" w:ascii="宋体" w:hAnsi="宋体" w:eastAsia="宋体" w:cs="宋体"/>
          <w:sz w:val="24"/>
          <w:szCs w:val="24"/>
          <w:highlight w:val="yellow"/>
          <w:u w:val="single"/>
        </w:rPr>
        <w:t xml:space="preserve">  </w:t>
      </w:r>
      <w:r>
        <w:rPr>
          <w:rFonts w:hint="eastAsia" w:ascii="宋体" w:hAnsi="宋体" w:eastAsia="宋体" w:cs="宋体"/>
          <w:sz w:val="24"/>
          <w:szCs w:val="24"/>
          <w:highlight w:val="none"/>
        </w:rPr>
        <w:t xml:space="preserve"> ，招标人为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eastAsia="zh-CN"/>
        </w:rPr>
        <w:t>大石桥市交通运输事务中心</w:t>
      </w:r>
      <w:r>
        <w:rPr>
          <w:rFonts w:hint="eastAsia" w:ascii="宋体" w:hAnsi="宋体" w:eastAsia="宋体" w:cs="宋体"/>
          <w:sz w:val="24"/>
          <w:szCs w:val="24"/>
          <w:highlight w:val="none"/>
        </w:rPr>
        <w:t xml:space="preserve"> 。项目已具备招标条件，项目已具备招标条件，现对该项目</w:t>
      </w:r>
      <w:r>
        <w:rPr>
          <w:rFonts w:hint="eastAsia" w:ascii="宋体" w:hAnsi="宋体" w:eastAsia="宋体" w:cs="宋体"/>
          <w:sz w:val="24"/>
          <w:szCs w:val="24"/>
          <w:highlight w:val="none"/>
          <w:u w:val="single"/>
        </w:rPr>
        <w:t>大石桥市2026年农村公路维修改造工程—大修</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三标段</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none"/>
          <w:lang w:eastAsia="zh-CN"/>
        </w:rPr>
        <w:t>（</w:t>
      </w:r>
      <w:r>
        <w:rPr>
          <w:rFonts w:hint="eastAsia" w:ascii="宋体" w:hAnsi="宋体" w:eastAsia="宋体" w:cs="宋体"/>
          <w:sz w:val="24"/>
          <w:szCs w:val="24"/>
        </w:rPr>
        <w:t>标段名称）的施工进行公开招标。</w:t>
      </w:r>
      <w:r>
        <w:rPr>
          <w:rFonts w:hint="default" w:ascii="Times New Roman" w:hAnsi="Times New Roman" w:cs="Times New Roman"/>
          <w:color w:val="auto"/>
          <w:sz w:val="24"/>
          <w:highlight w:val="none"/>
        </w:rPr>
        <w:t xml:space="preserve">。 </w:t>
      </w:r>
    </w:p>
    <w:p w14:paraId="7EA61305">
      <w:pPr>
        <w:pStyle w:val="2"/>
        <w:pageBreakBefore w:val="0"/>
        <w:widowControl w:val="0"/>
        <w:kinsoku/>
        <w:wordWrap w:val="0"/>
        <w:overflowPunct/>
        <w:topLinePunct w:val="0"/>
        <w:autoSpaceDE/>
        <w:autoSpaceDN/>
        <w:bidi w:val="0"/>
        <w:adjustRightInd/>
        <w:snapToGrid/>
        <w:spacing w:before="240" w:after="240" w:line="400" w:lineRule="exact"/>
        <w:textAlignment w:val="auto"/>
        <w:outlineLvl w:val="1"/>
        <w:rPr>
          <w:rFonts w:hint="default" w:ascii="Times New Roman" w:hAnsi="Times New Roman" w:eastAsia="黑体" w:cs="Times New Roman"/>
          <w:color w:val="auto"/>
          <w:sz w:val="28"/>
          <w:szCs w:val="28"/>
          <w:highlight w:val="none"/>
        </w:rPr>
      </w:pPr>
      <w:bookmarkStart w:id="14" w:name="_Toc1515"/>
      <w:bookmarkStart w:id="15" w:name="_Toc16754"/>
      <w:bookmarkStart w:id="16" w:name="_Toc470760974"/>
      <w:bookmarkStart w:id="17" w:name="_Toc20166"/>
      <w:r>
        <w:rPr>
          <w:rFonts w:hint="default" w:ascii="Times New Roman" w:hAnsi="Times New Roman" w:eastAsia="黑体" w:cs="Times New Roman"/>
          <w:color w:val="auto"/>
          <w:sz w:val="28"/>
          <w:szCs w:val="28"/>
          <w:highlight w:val="none"/>
        </w:rPr>
        <w:t>2. 项目概况与招标范围</w:t>
      </w:r>
      <w:bookmarkEnd w:id="14"/>
      <w:bookmarkEnd w:id="15"/>
      <w:bookmarkEnd w:id="16"/>
      <w:bookmarkEnd w:id="17"/>
    </w:p>
    <w:p w14:paraId="7D430ECB">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2.1项目概况</w:t>
      </w:r>
    </w:p>
    <w:p w14:paraId="3540EA45">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rPr>
        <w:t>该工程位于大石桥市境内，为乡、村级道路，建设性质为大、中修，工程计划路线共35条71.3公里。</w:t>
      </w:r>
      <w:r>
        <w:rPr>
          <w:rFonts w:hint="eastAsia" w:ascii="宋体" w:hAnsi="宋体" w:cs="宋体"/>
          <w:sz w:val="24"/>
          <w:szCs w:val="24"/>
          <w:highlight w:val="none"/>
          <w:u w:val="single"/>
          <w:lang w:val="en-US" w:eastAsia="zh-CN"/>
        </w:rPr>
        <w:t>其中大修：根据道路现状，沿线设置生命安全防护工程，新建标志标牌23个，路面标线1327.8平方米，路长制牌4个，道口标柱316个，凸面反光镜8个，里程碑16块，厘米桩133块，平面交叉道口37处。中修：根据道路现状，沿线设置生命安全防护工程，新建标志标牌22个，示警桩84个，路面标线782.04平方米，路长制牌10个，道口标柱64个，里程碑15块，百米桩129块。</w:t>
      </w:r>
    </w:p>
    <w:p w14:paraId="1840D84B">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2.2标段划分</w:t>
      </w:r>
    </w:p>
    <w:p w14:paraId="15B6556B">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本次招标项目的标段划分</w:t>
      </w:r>
      <w:r>
        <w:rPr>
          <w:rFonts w:hint="eastAsia" w:ascii="宋体" w:hAnsi="宋体" w:cs="宋体"/>
          <w:sz w:val="24"/>
          <w:szCs w:val="24"/>
          <w:highlight w:val="none"/>
          <w:u w:val="single"/>
          <w:lang w:val="en-US" w:eastAsia="zh-CN"/>
        </w:rPr>
        <w:t>1</w:t>
      </w:r>
      <w:r>
        <w:rPr>
          <w:rFonts w:hint="eastAsia" w:ascii="宋体" w:hAnsi="宋体" w:eastAsia="宋体" w:cs="宋体"/>
          <w:sz w:val="24"/>
          <w:szCs w:val="24"/>
          <w:highlight w:val="none"/>
          <w:u w:val="single"/>
        </w:rPr>
        <w:t>个标段。</w:t>
      </w:r>
    </w:p>
    <w:p w14:paraId="3FAA1E3D">
      <w:pPr>
        <w:keepNext w:val="0"/>
        <w:keepLines w:val="0"/>
        <w:pageBreakBefore w:val="0"/>
        <w:widowControl w:val="0"/>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2.3招标范围</w:t>
      </w:r>
    </w:p>
    <w:p w14:paraId="482D80D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outlineLvl w:val="9"/>
        <w:rPr>
          <w:rFonts w:hint="eastAsia" w:eastAsia="宋体" w:cs="Times New Roman"/>
          <w:color w:val="auto"/>
          <w:sz w:val="24"/>
          <w:highlight w:val="none"/>
          <w:u w:val="single"/>
          <w:lang w:val="en-US" w:eastAsia="zh-CN"/>
        </w:rPr>
      </w:pPr>
      <w:r>
        <w:rPr>
          <w:rFonts w:hint="eastAsia" w:ascii="宋体" w:hAnsi="宋体" w:eastAsia="宋体" w:cs="宋体"/>
          <w:sz w:val="24"/>
          <w:szCs w:val="24"/>
          <w:highlight w:val="none"/>
          <w:u w:val="single"/>
        </w:rPr>
        <w:t>招标范围为</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本标段为</w:t>
      </w:r>
      <w:r>
        <w:rPr>
          <w:rFonts w:hint="eastAsia" w:ascii="宋体" w:hAnsi="宋体" w:cs="宋体"/>
          <w:sz w:val="24"/>
          <w:szCs w:val="24"/>
          <w:highlight w:val="none"/>
          <w:u w:val="single"/>
          <w:lang w:eastAsia="zh-CN"/>
        </w:rPr>
        <w:t>大石桥市2026年农村公路维修改造工程—大修</w:t>
      </w:r>
      <w:r>
        <w:rPr>
          <w:rFonts w:hint="eastAsia" w:ascii="宋体" w:hAnsi="宋体" w:cs="宋体"/>
          <w:sz w:val="24"/>
          <w:szCs w:val="24"/>
          <w:highlight w:val="none"/>
          <w:u w:val="single"/>
          <w:lang w:val="en-US" w:eastAsia="zh-CN"/>
        </w:rPr>
        <w:t>（三标段）</w:t>
      </w:r>
      <w:r>
        <w:rPr>
          <w:rFonts w:hint="eastAsia" w:ascii="宋体" w:hAnsi="宋体" w:cs="宋体"/>
          <w:sz w:val="24"/>
          <w:szCs w:val="24"/>
          <w:highlight w:val="none"/>
          <w:u w:val="single"/>
          <w:lang w:eastAsia="zh-CN"/>
        </w:rPr>
        <w:t>，</w:t>
      </w:r>
      <w:r>
        <w:rPr>
          <w:rFonts w:hint="eastAsia" w:ascii="宋体" w:hAnsi="宋体" w:eastAsia="宋体" w:cs="宋体"/>
          <w:sz w:val="24"/>
          <w:szCs w:val="24"/>
          <w:highlight w:val="none"/>
          <w:u w:val="single"/>
        </w:rPr>
        <w:t>具体工程内容以工程量清单及施工图纸为准</w:t>
      </w:r>
      <w:r>
        <w:rPr>
          <w:rFonts w:hint="eastAsia" w:cs="Times New Roman"/>
          <w:color w:val="auto"/>
          <w:sz w:val="24"/>
          <w:highlight w:val="none"/>
          <w:u w:val="single"/>
          <w:lang w:eastAsia="zh-CN"/>
        </w:rPr>
        <w:t>。</w:t>
      </w:r>
    </w:p>
    <w:p w14:paraId="41148C44">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outlineLvl w:val="9"/>
        <w:rPr>
          <w:rFonts w:hint="eastAsia" w:cs="Times New Roman"/>
          <w:color w:val="auto"/>
          <w:sz w:val="24"/>
          <w:highlight w:val="none"/>
          <w:u w:val="none"/>
          <w:lang w:val="en-US" w:eastAsia="zh-CN"/>
        </w:rPr>
      </w:pPr>
      <w:r>
        <w:rPr>
          <w:rFonts w:hint="eastAsia" w:cs="Times New Roman"/>
          <w:color w:val="auto"/>
          <w:sz w:val="24"/>
          <w:highlight w:val="none"/>
          <w:u w:val="none"/>
          <w:lang w:val="en-US" w:eastAsia="zh-CN"/>
        </w:rPr>
        <w:t>2.4计划工期</w:t>
      </w:r>
    </w:p>
    <w:p w14:paraId="487E43D0">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outlineLvl w:val="9"/>
        <w:rPr>
          <w:rFonts w:hint="default" w:ascii="Times New Roman" w:hAnsi="Times New Roman" w:cs="Times New Roman"/>
          <w:color w:val="auto"/>
          <w:sz w:val="24"/>
          <w:highlight w:val="none"/>
        </w:rPr>
      </w:pPr>
      <w:r>
        <w:rPr>
          <w:rFonts w:hint="eastAsia" w:ascii="宋体" w:hAnsi="宋体" w:eastAsia="宋体" w:cs="宋体"/>
          <w:sz w:val="24"/>
          <w:szCs w:val="24"/>
          <w:highlight w:val="none"/>
          <w:u w:val="single"/>
        </w:rPr>
        <w:t>计划工期：</w:t>
      </w:r>
      <w:r>
        <w:rPr>
          <w:rFonts w:hint="eastAsia" w:ascii="宋体" w:hAnsi="宋体" w:cs="宋体"/>
          <w:sz w:val="24"/>
          <w:szCs w:val="24"/>
          <w:highlight w:val="yellow"/>
          <w:u w:val="single"/>
          <w:lang w:eastAsia="zh-CN"/>
        </w:rPr>
        <w:t>202</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u w:val="single"/>
          <w:lang w:eastAsia="zh-CN"/>
        </w:rPr>
        <w:t>年</w:t>
      </w:r>
      <w:r>
        <w:rPr>
          <w:rFonts w:hint="eastAsia" w:ascii="宋体" w:hAnsi="宋体" w:cs="宋体"/>
          <w:sz w:val="24"/>
          <w:szCs w:val="24"/>
          <w:highlight w:val="yellow"/>
          <w:u w:val="single"/>
          <w:lang w:val="en-US" w:eastAsia="zh-CN"/>
        </w:rPr>
        <w:t>05</w:t>
      </w:r>
      <w:r>
        <w:rPr>
          <w:rFonts w:hint="eastAsia" w:ascii="宋体" w:hAnsi="宋体" w:eastAsia="宋体" w:cs="宋体"/>
          <w:sz w:val="24"/>
          <w:szCs w:val="24"/>
          <w:highlight w:val="yellow"/>
          <w:u w:val="single"/>
        </w:rPr>
        <w:t>月</w:t>
      </w:r>
      <w:r>
        <w:rPr>
          <w:rFonts w:hint="eastAsia" w:ascii="宋体" w:hAnsi="宋体" w:cs="宋体"/>
          <w:sz w:val="24"/>
          <w:szCs w:val="24"/>
          <w:highlight w:val="yellow"/>
          <w:u w:val="single"/>
          <w:lang w:val="en-US" w:eastAsia="zh-CN"/>
        </w:rPr>
        <w:t>30</w:t>
      </w:r>
      <w:r>
        <w:rPr>
          <w:rFonts w:hint="eastAsia" w:ascii="宋体" w:hAnsi="宋体" w:eastAsia="宋体" w:cs="宋体"/>
          <w:sz w:val="24"/>
          <w:szCs w:val="24"/>
          <w:highlight w:val="yellow"/>
          <w:u w:val="single"/>
        </w:rPr>
        <w:t>日开工</w:t>
      </w:r>
      <w:r>
        <w:rPr>
          <w:rFonts w:hint="eastAsia" w:ascii="宋体" w:hAnsi="宋体" w:eastAsia="宋体" w:cs="宋体"/>
          <w:sz w:val="24"/>
          <w:szCs w:val="24"/>
          <w:highlight w:val="none"/>
          <w:u w:val="single"/>
        </w:rPr>
        <w:t>，</w:t>
      </w:r>
      <w:r>
        <w:rPr>
          <w:rFonts w:hint="eastAsia" w:ascii="宋体" w:hAnsi="宋体" w:cs="宋体"/>
          <w:sz w:val="24"/>
          <w:szCs w:val="24"/>
          <w:highlight w:val="yellow"/>
          <w:u w:val="single"/>
          <w:lang w:eastAsia="zh-CN"/>
        </w:rPr>
        <w:t>202</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u w:val="single"/>
          <w:lang w:eastAsia="zh-CN"/>
        </w:rPr>
        <w:t>年</w:t>
      </w:r>
      <w:r>
        <w:rPr>
          <w:rFonts w:hint="eastAsia" w:ascii="宋体" w:hAnsi="宋体" w:cs="宋体"/>
          <w:sz w:val="24"/>
          <w:szCs w:val="24"/>
          <w:highlight w:val="yellow"/>
          <w:u w:val="single"/>
          <w:lang w:val="en-US" w:eastAsia="zh-CN"/>
        </w:rPr>
        <w:t>10</w:t>
      </w:r>
      <w:r>
        <w:rPr>
          <w:rFonts w:hint="eastAsia" w:ascii="宋体" w:hAnsi="宋体" w:eastAsia="宋体" w:cs="宋体"/>
          <w:sz w:val="24"/>
          <w:szCs w:val="24"/>
          <w:highlight w:val="yellow"/>
          <w:u w:val="single"/>
        </w:rPr>
        <w:t>月</w:t>
      </w:r>
      <w:r>
        <w:rPr>
          <w:rFonts w:hint="eastAsia" w:ascii="宋体" w:hAnsi="宋体" w:cs="宋体"/>
          <w:sz w:val="24"/>
          <w:szCs w:val="24"/>
          <w:highlight w:val="yellow"/>
          <w:u w:val="single"/>
          <w:lang w:val="en-US" w:eastAsia="zh-CN"/>
        </w:rPr>
        <w:t>30</w:t>
      </w:r>
      <w:r>
        <w:rPr>
          <w:rFonts w:hint="eastAsia" w:ascii="宋体" w:hAnsi="宋体" w:eastAsia="宋体" w:cs="宋体"/>
          <w:sz w:val="24"/>
          <w:szCs w:val="24"/>
          <w:highlight w:val="yellow"/>
          <w:u w:val="single"/>
        </w:rPr>
        <w:t>日</w:t>
      </w:r>
      <w:r>
        <w:rPr>
          <w:rFonts w:hint="eastAsia" w:ascii="宋体" w:hAnsi="宋体" w:eastAsia="宋体" w:cs="宋体"/>
          <w:sz w:val="24"/>
          <w:szCs w:val="24"/>
          <w:highlight w:val="none"/>
          <w:u w:val="single"/>
        </w:rPr>
        <w:t>竣工，共计</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日历天（具体时间以签订合同为准）</w:t>
      </w:r>
      <w:r>
        <w:rPr>
          <w:rFonts w:hint="eastAsia" w:cs="Times New Roman"/>
          <w:color w:val="auto"/>
          <w:sz w:val="24"/>
          <w:highlight w:val="none"/>
          <w:u w:val="single"/>
          <w:lang w:eastAsia="zh-CN"/>
        </w:rPr>
        <w:t>。</w:t>
      </w:r>
    </w:p>
    <w:p w14:paraId="0E137AF0">
      <w:pPr>
        <w:pStyle w:val="2"/>
        <w:pageBreakBefore w:val="0"/>
        <w:widowControl w:val="0"/>
        <w:kinsoku/>
        <w:wordWrap w:val="0"/>
        <w:overflowPunct/>
        <w:topLinePunct w:val="0"/>
        <w:autoSpaceDE/>
        <w:autoSpaceDN/>
        <w:bidi w:val="0"/>
        <w:adjustRightInd/>
        <w:snapToGrid/>
        <w:spacing w:before="240" w:after="240" w:line="400" w:lineRule="exact"/>
        <w:textAlignment w:val="auto"/>
        <w:outlineLvl w:val="1"/>
        <w:rPr>
          <w:rFonts w:hint="default" w:ascii="Times New Roman" w:hAnsi="Times New Roman" w:eastAsia="黑体" w:cs="Times New Roman"/>
          <w:color w:val="auto"/>
          <w:sz w:val="28"/>
          <w:szCs w:val="28"/>
          <w:highlight w:val="none"/>
        </w:rPr>
      </w:pPr>
      <w:bookmarkStart w:id="18" w:name="_Toc470760975"/>
      <w:bookmarkStart w:id="19" w:name="_Toc9236"/>
      <w:bookmarkStart w:id="20" w:name="_Toc29935"/>
      <w:bookmarkStart w:id="21" w:name="_Toc1575"/>
      <w:r>
        <w:rPr>
          <w:rFonts w:hint="default" w:ascii="Times New Roman" w:hAnsi="Times New Roman" w:eastAsia="黑体" w:cs="Times New Roman"/>
          <w:color w:val="auto"/>
          <w:sz w:val="28"/>
          <w:szCs w:val="28"/>
          <w:highlight w:val="none"/>
        </w:rPr>
        <w:t>3. 投标人资格要求</w:t>
      </w:r>
      <w:bookmarkEnd w:id="18"/>
      <w:r>
        <w:rPr>
          <w:rStyle w:val="47"/>
          <w:rFonts w:hint="default" w:ascii="Times New Roman" w:hAnsi="Times New Roman" w:eastAsia="黑体" w:cs="Times New Roman"/>
          <w:color w:val="auto"/>
          <w:sz w:val="28"/>
          <w:szCs w:val="28"/>
          <w:highlight w:val="none"/>
        </w:rPr>
        <w:footnoteReference w:id="2"/>
      </w:r>
      <w:bookmarkEnd w:id="19"/>
      <w:bookmarkEnd w:id="20"/>
      <w:bookmarkEnd w:id="21"/>
    </w:p>
    <w:p w14:paraId="6C61F269">
      <w:pPr>
        <w:keepNext w:val="0"/>
        <w:keepLines w:val="0"/>
        <w:pageBreakBefore w:val="0"/>
        <w:widowControl w:val="0"/>
        <w:numPr>
          <w:ilvl w:val="0"/>
          <w:numId w:val="0"/>
        </w:numPr>
        <w:kinsoku/>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 本次招标要求投标人在人员、设备、资金等方面具有相应的施工能力，投标人须具备的资格条件如下：</w:t>
      </w:r>
    </w:p>
    <w:p w14:paraId="47F5F3A6">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u w:val="none"/>
        </w:rPr>
      </w:pPr>
      <w:r>
        <w:rPr>
          <w:rFonts w:hint="eastAsia"/>
          <w:sz w:val="24"/>
          <w:szCs w:val="24"/>
          <w:u w:val="none"/>
          <w:lang w:val="en-US" w:eastAsia="zh-CN"/>
        </w:rPr>
        <w:t>3.</w:t>
      </w:r>
      <w:r>
        <w:rPr>
          <w:rFonts w:hint="eastAsia"/>
          <w:sz w:val="24"/>
          <w:szCs w:val="24"/>
          <w:u w:val="none"/>
        </w:rPr>
        <w:t>1.1资质要求</w:t>
      </w:r>
    </w:p>
    <w:p w14:paraId="7227CD4F">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u w:val="single"/>
        </w:rPr>
      </w:pPr>
      <w:r>
        <w:rPr>
          <w:rFonts w:hint="eastAsia"/>
          <w:sz w:val="24"/>
          <w:szCs w:val="24"/>
          <w:u w:val="single"/>
        </w:rPr>
        <w:t>1 、投标人必须具有国内独立法人资格及有效的企业法人营业执照。</w:t>
      </w:r>
    </w:p>
    <w:p w14:paraId="5D088D9D">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u w:val="single"/>
        </w:rPr>
      </w:pPr>
      <w:r>
        <w:rPr>
          <w:rFonts w:hint="eastAsia"/>
          <w:sz w:val="24"/>
          <w:szCs w:val="24"/>
          <w:u w:val="single"/>
        </w:rPr>
        <w:t>2 、投标人的资质应满足以下</w:t>
      </w:r>
      <w:r>
        <w:rPr>
          <w:rFonts w:hint="eastAsia"/>
          <w:sz w:val="24"/>
          <w:szCs w:val="24"/>
          <w:u w:val="single"/>
          <w:lang w:eastAsia="zh-CN"/>
        </w:rPr>
        <w:t>（</w:t>
      </w:r>
      <w:r>
        <w:rPr>
          <w:rFonts w:hint="eastAsia"/>
          <w:sz w:val="24"/>
          <w:szCs w:val="24"/>
          <w:u w:val="single"/>
          <w:lang w:val="en-US" w:eastAsia="zh-CN"/>
        </w:rPr>
        <w:t>1</w:t>
      </w:r>
      <w:r>
        <w:rPr>
          <w:rFonts w:hint="eastAsia"/>
          <w:sz w:val="24"/>
          <w:szCs w:val="24"/>
          <w:u w:val="single"/>
          <w:lang w:eastAsia="zh-CN"/>
        </w:rPr>
        <w:t>）</w:t>
      </w:r>
      <w:r>
        <w:rPr>
          <w:rFonts w:hint="eastAsia"/>
          <w:sz w:val="24"/>
          <w:szCs w:val="24"/>
          <w:u w:val="single"/>
          <w:lang w:val="en-US" w:eastAsia="zh-CN"/>
        </w:rPr>
        <w:t>和</w:t>
      </w:r>
      <w:r>
        <w:rPr>
          <w:rFonts w:hint="eastAsia"/>
          <w:sz w:val="24"/>
          <w:szCs w:val="24"/>
          <w:u w:val="single"/>
          <w:lang w:eastAsia="zh-CN"/>
        </w:rPr>
        <w:t>（</w:t>
      </w:r>
      <w:r>
        <w:rPr>
          <w:rFonts w:hint="eastAsia"/>
          <w:sz w:val="24"/>
          <w:szCs w:val="24"/>
          <w:u w:val="single"/>
          <w:lang w:val="en-US" w:eastAsia="zh-CN"/>
        </w:rPr>
        <w:t>2</w:t>
      </w:r>
      <w:r>
        <w:rPr>
          <w:rFonts w:hint="eastAsia"/>
          <w:sz w:val="24"/>
          <w:szCs w:val="24"/>
          <w:u w:val="single"/>
          <w:lang w:eastAsia="zh-CN"/>
        </w:rPr>
        <w:t>）</w:t>
      </w:r>
      <w:r>
        <w:rPr>
          <w:rFonts w:hint="eastAsia"/>
          <w:sz w:val="24"/>
          <w:szCs w:val="24"/>
          <w:u w:val="single"/>
        </w:rPr>
        <w:t>项要求：</w:t>
      </w:r>
    </w:p>
    <w:p w14:paraId="6288DF49">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eastAsia="宋体"/>
          <w:sz w:val="24"/>
          <w:szCs w:val="24"/>
          <w:highlight w:val="yellow"/>
          <w:u w:val="single"/>
          <w:lang w:eastAsia="zh-CN"/>
        </w:rPr>
      </w:pPr>
      <w:r>
        <w:rPr>
          <w:rFonts w:hint="eastAsia"/>
          <w:sz w:val="24"/>
          <w:szCs w:val="24"/>
          <w:highlight w:val="yellow"/>
          <w:u w:val="single"/>
          <w:lang w:eastAsia="zh-CN"/>
        </w:rPr>
        <w:t>（</w:t>
      </w:r>
      <w:r>
        <w:rPr>
          <w:rFonts w:hint="eastAsia"/>
          <w:sz w:val="24"/>
          <w:szCs w:val="24"/>
          <w:highlight w:val="yellow"/>
          <w:u w:val="single"/>
          <w:lang w:val="en-US" w:eastAsia="zh-CN"/>
        </w:rPr>
        <w:t>1</w:t>
      </w:r>
      <w:r>
        <w:rPr>
          <w:rFonts w:hint="eastAsia"/>
          <w:sz w:val="24"/>
          <w:szCs w:val="24"/>
          <w:highlight w:val="yellow"/>
          <w:u w:val="single"/>
          <w:lang w:eastAsia="zh-CN"/>
        </w:rPr>
        <w:t>）</w:t>
      </w:r>
      <w:r>
        <w:rPr>
          <w:rFonts w:hint="eastAsia"/>
          <w:sz w:val="24"/>
          <w:szCs w:val="24"/>
          <w:highlight w:val="yellow"/>
          <w:u w:val="single"/>
        </w:rPr>
        <w:t>具有省级交通运输主管部门颁发且有效的“公路养护作业单位资质证书”且资质类别</w:t>
      </w:r>
      <w:r>
        <w:rPr>
          <w:rFonts w:hint="eastAsia"/>
          <w:sz w:val="24"/>
          <w:szCs w:val="24"/>
          <w:highlight w:val="yellow"/>
          <w:u w:val="single"/>
          <w:lang w:val="en-US" w:eastAsia="zh-CN"/>
        </w:rPr>
        <w:t>为</w:t>
      </w:r>
      <w:r>
        <w:rPr>
          <w:rFonts w:hint="eastAsia"/>
          <w:sz w:val="24"/>
          <w:szCs w:val="24"/>
          <w:highlight w:val="yellow"/>
          <w:u w:val="single"/>
        </w:rPr>
        <w:t>路基路面养护</w:t>
      </w:r>
      <w:r>
        <w:rPr>
          <w:rFonts w:hint="eastAsia"/>
          <w:sz w:val="24"/>
          <w:szCs w:val="24"/>
          <w:highlight w:val="yellow"/>
          <w:u w:val="single"/>
          <w:lang w:val="en-US" w:eastAsia="zh-CN"/>
        </w:rPr>
        <w:t>乙</w:t>
      </w:r>
      <w:r>
        <w:rPr>
          <w:rFonts w:hint="eastAsia"/>
          <w:sz w:val="24"/>
          <w:szCs w:val="24"/>
          <w:highlight w:val="yellow"/>
          <w:u w:val="single"/>
        </w:rPr>
        <w:t>级及以上资质</w:t>
      </w:r>
      <w:r>
        <w:rPr>
          <w:rFonts w:hint="eastAsia"/>
          <w:sz w:val="24"/>
          <w:szCs w:val="24"/>
          <w:highlight w:val="yellow"/>
          <w:u w:val="single"/>
          <w:lang w:eastAsia="zh-CN"/>
        </w:rPr>
        <w:t>；</w:t>
      </w:r>
    </w:p>
    <w:p w14:paraId="42A06093">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default" w:eastAsia="宋体"/>
          <w:sz w:val="24"/>
          <w:szCs w:val="24"/>
          <w:highlight w:val="yellow"/>
          <w:u w:val="single"/>
          <w:lang w:val="en-US" w:eastAsia="zh-CN"/>
        </w:rPr>
      </w:pPr>
      <w:r>
        <w:rPr>
          <w:rFonts w:hint="eastAsia"/>
          <w:sz w:val="24"/>
          <w:szCs w:val="24"/>
          <w:highlight w:val="yellow"/>
          <w:u w:val="single"/>
          <w:lang w:val="en-US" w:eastAsia="zh-CN"/>
        </w:rPr>
        <w:t>（2）</w:t>
      </w:r>
      <w:r>
        <w:rPr>
          <w:rFonts w:hint="eastAsia"/>
          <w:sz w:val="24"/>
          <w:szCs w:val="24"/>
          <w:highlight w:val="yellow"/>
          <w:u w:val="single"/>
        </w:rPr>
        <w:t>具有省级交通运输主管部门颁发且有效的</w:t>
      </w:r>
      <w:r>
        <w:rPr>
          <w:rFonts w:hint="eastAsia"/>
          <w:sz w:val="24"/>
          <w:szCs w:val="24"/>
          <w:highlight w:val="yellow"/>
          <w:u w:val="single"/>
          <w:lang w:val="en-US" w:eastAsia="zh-CN"/>
        </w:rPr>
        <w:t>交通安全设施养护资质。</w:t>
      </w:r>
    </w:p>
    <w:p w14:paraId="4F6DD99B">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highlight w:val="yellow"/>
          <w:u w:val="single"/>
        </w:rPr>
      </w:pPr>
      <w:r>
        <w:rPr>
          <w:rFonts w:hint="eastAsia"/>
          <w:sz w:val="24"/>
          <w:szCs w:val="24"/>
          <w:highlight w:val="yellow"/>
          <w:u w:val="single"/>
        </w:rPr>
        <w:t>3 、投标人必须具有</w:t>
      </w:r>
      <w:r>
        <w:rPr>
          <w:rFonts w:hint="eastAsia"/>
          <w:sz w:val="24"/>
          <w:szCs w:val="24"/>
          <w:highlight w:val="yellow"/>
          <w:u w:val="single"/>
          <w:lang w:val="en-US" w:eastAsia="zh-CN"/>
        </w:rPr>
        <w:t>行业</w:t>
      </w:r>
      <w:r>
        <w:rPr>
          <w:rFonts w:hint="eastAsia"/>
          <w:sz w:val="24"/>
          <w:szCs w:val="24"/>
          <w:highlight w:val="yellow"/>
          <w:u w:val="single"/>
        </w:rPr>
        <w:t>主管部门颁发的有效安全生产许可证。</w:t>
      </w:r>
    </w:p>
    <w:p w14:paraId="023A6204">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none"/>
        </w:rPr>
      </w:pPr>
      <w:r>
        <w:rPr>
          <w:rFonts w:hint="eastAsia"/>
          <w:sz w:val="24"/>
          <w:szCs w:val="24"/>
          <w:highlight w:val="none"/>
          <w:u w:val="none"/>
          <w:lang w:val="en-US" w:eastAsia="zh-CN"/>
        </w:rPr>
        <w:t>3.</w:t>
      </w:r>
      <w:r>
        <w:rPr>
          <w:rFonts w:hint="eastAsia"/>
          <w:sz w:val="24"/>
          <w:szCs w:val="24"/>
          <w:highlight w:val="none"/>
          <w:u w:val="none"/>
        </w:rPr>
        <w:t>1.2财务要</w:t>
      </w:r>
      <w:r>
        <w:rPr>
          <w:rFonts w:hint="eastAsia"/>
          <w:color w:val="auto"/>
          <w:sz w:val="24"/>
          <w:szCs w:val="24"/>
          <w:highlight w:val="none"/>
          <w:u w:val="none"/>
        </w:rPr>
        <w:t>求</w:t>
      </w:r>
    </w:p>
    <w:p w14:paraId="39B51911">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cstheme="minorBidi"/>
          <w:color w:val="auto"/>
          <w:kern w:val="2"/>
          <w:sz w:val="24"/>
          <w:szCs w:val="24"/>
          <w:highlight w:val="none"/>
          <w:u w:val="single"/>
          <w:lang w:val="en-US" w:eastAsia="zh-CN" w:bidi="ar-SA"/>
        </w:rPr>
        <w:t>无</w:t>
      </w:r>
    </w:p>
    <w:p w14:paraId="5F4C590C">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u w:val="single"/>
        </w:rPr>
      </w:pPr>
      <w:r>
        <w:rPr>
          <w:rFonts w:hint="eastAsia"/>
          <w:sz w:val="24"/>
          <w:szCs w:val="24"/>
          <w:highlight w:val="none"/>
          <w:u w:val="none"/>
          <w:lang w:val="en-US" w:eastAsia="zh-CN"/>
        </w:rPr>
        <w:t>3.</w:t>
      </w:r>
      <w:r>
        <w:rPr>
          <w:rFonts w:hint="eastAsia"/>
          <w:color w:val="auto"/>
          <w:sz w:val="24"/>
          <w:szCs w:val="24"/>
          <w:highlight w:val="none"/>
          <w:u w:val="none"/>
        </w:rPr>
        <w:t>1.3业绩要求</w:t>
      </w:r>
      <w:r>
        <w:rPr>
          <w:rFonts w:hint="eastAsia"/>
          <w:color w:val="auto"/>
          <w:sz w:val="24"/>
          <w:szCs w:val="24"/>
          <w:highlight w:val="none"/>
          <w:u w:val="none"/>
          <w:lang w:eastAsia="zh-CN"/>
        </w:rPr>
        <w:t>：</w:t>
      </w:r>
      <w:r>
        <w:rPr>
          <w:rFonts w:hint="eastAsia"/>
          <w:color w:val="auto"/>
          <w:sz w:val="24"/>
          <w:szCs w:val="24"/>
          <w:highlight w:val="none"/>
          <w:u w:val="single"/>
        </w:rPr>
        <w:t>投标人202</w:t>
      </w:r>
      <w:r>
        <w:rPr>
          <w:rFonts w:hint="eastAsia"/>
          <w:color w:val="auto"/>
          <w:sz w:val="24"/>
          <w:szCs w:val="24"/>
          <w:highlight w:val="none"/>
          <w:u w:val="single"/>
          <w:lang w:val="en-US" w:eastAsia="zh-CN"/>
        </w:rPr>
        <w:t>3</w:t>
      </w:r>
      <w:r>
        <w:rPr>
          <w:rFonts w:hint="eastAsia"/>
          <w:color w:val="auto"/>
          <w:sz w:val="24"/>
          <w:szCs w:val="24"/>
          <w:highlight w:val="none"/>
          <w:u w:val="single"/>
        </w:rPr>
        <w:t>年1月1日至投标文件递交截止时间（指交工验收时为202</w:t>
      </w:r>
      <w:r>
        <w:rPr>
          <w:rFonts w:hint="eastAsia"/>
          <w:color w:val="auto"/>
          <w:sz w:val="24"/>
          <w:szCs w:val="24"/>
          <w:highlight w:val="none"/>
          <w:u w:val="single"/>
          <w:lang w:val="en-US" w:eastAsia="zh-CN"/>
        </w:rPr>
        <w:t>3</w:t>
      </w:r>
      <w:r>
        <w:rPr>
          <w:rFonts w:hint="eastAsia"/>
          <w:color w:val="auto"/>
          <w:sz w:val="24"/>
          <w:szCs w:val="24"/>
          <w:highlight w:val="none"/>
          <w:u w:val="single"/>
        </w:rPr>
        <w:t>年1月1日至投标文件递交截止日内），完成过至少1项类似公路工程业绩。注：投标人应提供中标通知书、施工合同及竣工相关证明材料，三者缺一不可，合同时间以竣工时间为准。</w:t>
      </w:r>
    </w:p>
    <w:p w14:paraId="2AEAFFD8">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u w:val="single"/>
        </w:rPr>
      </w:pPr>
      <w:r>
        <w:rPr>
          <w:rFonts w:hint="eastAsia"/>
          <w:color w:val="auto"/>
          <w:sz w:val="24"/>
          <w:szCs w:val="24"/>
          <w:highlight w:val="none"/>
          <w:u w:val="single"/>
        </w:rPr>
        <w:t>1、已录入“辽宁省公共资源交易平台主体交易库”中的企业业绩</w:t>
      </w:r>
      <w:r>
        <w:rPr>
          <w:rFonts w:hint="eastAsia"/>
          <w:color w:val="auto"/>
          <w:sz w:val="24"/>
          <w:szCs w:val="24"/>
          <w:u w:val="single"/>
        </w:rPr>
        <w:t>，可以从主体库中选取后关联至投标文件中，作为企业业绩的证明材料。</w:t>
      </w:r>
    </w:p>
    <w:p w14:paraId="45DC2D2E">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u w:val="single"/>
        </w:rPr>
      </w:pPr>
      <w:r>
        <w:rPr>
          <w:rFonts w:hint="eastAsia"/>
          <w:color w:val="auto"/>
          <w:sz w:val="24"/>
          <w:szCs w:val="24"/>
          <w:u w:val="singl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2DC73079">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u w:val="single"/>
        </w:rPr>
      </w:pPr>
      <w:r>
        <w:rPr>
          <w:rFonts w:hint="eastAsia"/>
          <w:color w:val="auto"/>
          <w:sz w:val="24"/>
          <w:szCs w:val="24"/>
          <w:u w:val="single"/>
        </w:rPr>
        <w:t>如投标人未按要求提供企业业绩证明材料或企业业绩证明材料中的信息无法证实企业满足招标文件要求，则该项目业绩在评审时不予认定。</w:t>
      </w:r>
    </w:p>
    <w:p w14:paraId="3B0681E3">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u w:val="single"/>
        </w:rPr>
      </w:pPr>
      <w:r>
        <w:rPr>
          <w:rFonts w:hint="eastAsia"/>
          <w:color w:val="auto"/>
          <w:sz w:val="24"/>
          <w:szCs w:val="24"/>
          <w:u w:val="singl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6066D848">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u w:val="single"/>
        </w:rPr>
      </w:pPr>
      <w:r>
        <w:rPr>
          <w:rFonts w:hint="eastAsia"/>
          <w:color w:val="auto"/>
          <w:sz w:val="24"/>
          <w:szCs w:val="24"/>
          <w:u w:val="single"/>
        </w:rPr>
        <w:t>4、如近年来，投标人法人机构发生变更或重组或法人名称变更时，应提供相关部门的合法批件。</w:t>
      </w:r>
    </w:p>
    <w:p w14:paraId="6A4D7034">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color w:val="auto"/>
          <w:sz w:val="24"/>
          <w:szCs w:val="24"/>
          <w:u w:val="none"/>
        </w:rPr>
      </w:pPr>
      <w:r>
        <w:rPr>
          <w:rFonts w:hint="eastAsia"/>
          <w:sz w:val="24"/>
          <w:szCs w:val="24"/>
          <w:u w:val="none"/>
          <w:lang w:val="en-US" w:eastAsia="zh-CN"/>
        </w:rPr>
        <w:t>3.</w:t>
      </w:r>
      <w:r>
        <w:rPr>
          <w:rFonts w:hint="eastAsia"/>
          <w:color w:val="auto"/>
          <w:sz w:val="24"/>
          <w:szCs w:val="24"/>
          <w:u w:val="none"/>
        </w:rPr>
        <w:t>1.4项目经理和项目总工要求</w:t>
      </w:r>
    </w:p>
    <w:p w14:paraId="309FC6EE">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highlight w:val="yellow"/>
          <w:u w:val="single"/>
        </w:rPr>
      </w:pPr>
      <w:r>
        <w:rPr>
          <w:rFonts w:hint="eastAsia"/>
          <w:sz w:val="24"/>
          <w:szCs w:val="24"/>
          <w:highlight w:val="yellow"/>
          <w:u w:val="single"/>
        </w:rPr>
        <w:t>项目经理 (1名) ：具有公路工程专业二级及以上建造师证书且证书目前必须注册在投标人单位，具有交通运输主管部门颁发的安全生产考核合格“B”类证书并在有效期内且证书目前必须注册在投标人单位。</w:t>
      </w:r>
    </w:p>
    <w:p w14:paraId="4B17BBA3">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highlight w:val="yellow"/>
          <w:u w:val="single"/>
          <w:lang w:eastAsia="zh-CN"/>
        </w:rPr>
      </w:pPr>
      <w:r>
        <w:rPr>
          <w:rFonts w:hint="eastAsia"/>
          <w:sz w:val="24"/>
          <w:szCs w:val="24"/>
          <w:highlight w:val="yellow"/>
          <w:u w:val="single"/>
          <w:lang w:val="en-US" w:eastAsia="zh-CN"/>
        </w:rPr>
        <w:t>项目总工程师</w:t>
      </w:r>
      <w:r>
        <w:rPr>
          <w:rFonts w:hint="eastAsia"/>
          <w:sz w:val="24"/>
          <w:szCs w:val="24"/>
          <w:highlight w:val="yellow"/>
          <w:u w:val="single"/>
        </w:rPr>
        <w:t xml:space="preserve"> (1名) ：公路工程相关专业中级及以上技术职称</w:t>
      </w:r>
      <w:r>
        <w:rPr>
          <w:rFonts w:hint="eastAsia"/>
          <w:sz w:val="24"/>
          <w:szCs w:val="24"/>
          <w:highlight w:val="yellow"/>
          <w:u w:val="single"/>
          <w:lang w:eastAsia="zh-CN"/>
        </w:rPr>
        <w:t>。</w:t>
      </w:r>
    </w:p>
    <w:p w14:paraId="389785A5">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default" w:asciiTheme="minorHAnsi" w:hAnsiTheme="minorHAnsi" w:eastAsiaTheme="minorEastAsia" w:cstheme="minorBidi"/>
          <w:color w:val="auto"/>
          <w:kern w:val="2"/>
          <w:sz w:val="24"/>
          <w:szCs w:val="24"/>
          <w:highlight w:val="yellow"/>
          <w:u w:val="single"/>
          <w:lang w:val="en-US" w:eastAsia="zh-CN" w:bidi="ar-SA"/>
        </w:rPr>
      </w:pPr>
      <w:r>
        <w:rPr>
          <w:rFonts w:hint="eastAsia" w:asciiTheme="minorHAnsi" w:hAnsiTheme="minorHAnsi" w:eastAsiaTheme="minorEastAsia" w:cstheme="minorBidi"/>
          <w:color w:val="auto"/>
          <w:kern w:val="2"/>
          <w:sz w:val="24"/>
          <w:szCs w:val="24"/>
          <w:highlight w:val="yellow"/>
          <w:u w:val="single"/>
          <w:lang w:val="en-US" w:eastAsia="zh-CN" w:bidi="ar-SA"/>
        </w:rPr>
        <w:t>项目经理和项目总工程师不得同时在两个及以上项目任职。</w:t>
      </w:r>
    </w:p>
    <w:p w14:paraId="07739A95">
      <w:pPr>
        <w:pageBreakBefore w:val="0"/>
        <w:widowControl w:val="0"/>
        <w:kinsoku/>
        <w:wordWrap w:val="0"/>
        <w:overflowPunct/>
        <w:topLinePunct w:val="0"/>
        <w:autoSpaceDE/>
        <w:autoSpaceDN/>
        <w:bidi w:val="0"/>
        <w:adjustRightInd/>
        <w:snapToGrid/>
        <w:spacing w:line="400" w:lineRule="exact"/>
        <w:ind w:firstLine="480" w:firstLineChars="200"/>
        <w:jc w:val="left"/>
        <w:textAlignment w:val="auto"/>
        <w:rPr>
          <w:rFonts w:hint="eastAsia"/>
          <w:sz w:val="24"/>
          <w:szCs w:val="24"/>
          <w:u w:val="none"/>
        </w:rPr>
      </w:pPr>
      <w:r>
        <w:rPr>
          <w:rFonts w:hint="eastAsia"/>
          <w:sz w:val="24"/>
          <w:szCs w:val="24"/>
          <w:u w:val="none"/>
          <w:lang w:val="en-US" w:eastAsia="zh-CN"/>
        </w:rPr>
        <w:t>3.</w:t>
      </w:r>
      <w:r>
        <w:rPr>
          <w:rFonts w:hint="eastAsia"/>
          <w:sz w:val="24"/>
          <w:szCs w:val="24"/>
          <w:u w:val="none"/>
        </w:rPr>
        <w:t>1.5信誉要求</w:t>
      </w:r>
    </w:p>
    <w:p w14:paraId="6C0B60FF">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（1）未被省级及以上交通运输主管部门取消招标项目所在地的投标资格且处于有效期内；</w:t>
      </w:r>
    </w:p>
    <w:p w14:paraId="32D782DB">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（2）未被责令停业，暂扣或吊销执照，或吊销资质证书；</w:t>
      </w:r>
    </w:p>
    <w:p w14:paraId="2C805819">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（3）未进入清算程序，或被宣告破产，或其他丧失履约能力的情形；</w:t>
      </w:r>
    </w:p>
    <w:p w14:paraId="6036A53B">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（4）在国家企业信用信息公示系统（http：//www.gsxt.gov.cn）中未被列入严重违法失信企业名单；</w:t>
      </w:r>
    </w:p>
    <w:p w14:paraId="31382698">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（5）在“信用中国”网站（http：//www.creditchina.gov.cn）中未被列入失信被执行人名单；</w:t>
      </w:r>
    </w:p>
    <w:p w14:paraId="0F0F2623">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（6）投标人或其法定代表人、拟委任的项目经理在近三年内没有行贿犯罪行为的；</w:t>
      </w:r>
    </w:p>
    <w:p w14:paraId="4D43FD6F">
      <w:pPr>
        <w:pStyle w:val="28"/>
        <w:pageBreakBefore w:val="0"/>
        <w:widowControl w:val="0"/>
        <w:kinsoku/>
        <w:overflowPunct/>
        <w:topLinePunct w:val="0"/>
        <w:autoSpaceDE/>
        <w:autoSpaceDN/>
        <w:bidi w:val="0"/>
        <w:adjustRightInd/>
        <w:snapToGrid/>
        <w:spacing w:line="400" w:lineRule="exac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（7）投标人在以往工程未因拖欠农民工工资、材料采购、工程分包款等，而受到省级有关部门的通报；</w:t>
      </w:r>
    </w:p>
    <w:p w14:paraId="5423928D">
      <w:pPr>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（8）法律法规规定的其他情形。</w:t>
      </w:r>
    </w:p>
    <w:p w14:paraId="16987F2C">
      <w:pPr>
        <w:pageBreakBefore w:val="0"/>
        <w:kinsoku/>
        <w:wordWrap w:val="0"/>
        <w:bidi w:val="0"/>
        <w:spacing w:line="400" w:lineRule="atLeast"/>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3.1.6其他要求</w:t>
      </w:r>
    </w:p>
    <w:p w14:paraId="6EA2FA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eastAsia" w:cs="Times New Roman"/>
          <w:color w:val="auto"/>
          <w:sz w:val="24"/>
          <w:szCs w:val="24"/>
          <w:highlight w:val="none"/>
          <w:lang w:val="en-US" w:eastAsia="zh-CN"/>
        </w:rPr>
        <w:t>（1）</w:t>
      </w:r>
      <w:r>
        <w:rPr>
          <w:rFonts w:hint="default" w:ascii="Times New Roman" w:hAnsi="Times New Roman" w:cs="Times New Roman"/>
          <w:color w:val="auto"/>
          <w:sz w:val="24"/>
          <w:highlight w:val="none"/>
        </w:rPr>
        <w:t>根据《关于发布公路工程从业企业资质名录的通知》（厅公路字〔2011〕114号）要求，投标人如为名录范围的施工企业，则应进入交通运输部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全国公路建设市场监督管理系统（https://hwdms.mot.gov.cn/BMWebSite/）</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中的公路工程施工资质企业名录，且投标人名称和资质与该名录中的相应企业名称和资质完全一致。</w:t>
      </w:r>
      <w:r>
        <w:rPr>
          <w:rStyle w:val="47"/>
          <w:rFonts w:ascii="Times New Roman" w:hAnsi="Times New Roman" w:eastAsia="宋体" w:cs="Times New Roman"/>
          <w:color w:val="auto"/>
          <w:highlight w:val="none"/>
        </w:rPr>
        <w:footnoteReference w:id="3"/>
      </w:r>
    </w:p>
    <w:p w14:paraId="55D3C5C3">
      <w:pPr>
        <w:pageBreakBefore w:val="0"/>
        <w:kinsoku/>
        <w:wordWrap w:val="0"/>
        <w:bidi w:val="0"/>
        <w:spacing w:line="360" w:lineRule="auto"/>
        <w:ind w:left="0" w:leftChars="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rPr>
        <w:t>3.2 本次招标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不接受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（接受或不接受）联合体投标。</w:t>
      </w:r>
    </w:p>
    <w:p w14:paraId="4FA15807">
      <w:pPr>
        <w:pageBreakBefore w:val="0"/>
        <w:kinsoku/>
        <w:wordWrap w:val="0"/>
        <w:bidi w:val="0"/>
        <w:spacing w:line="400" w:lineRule="atLeast"/>
        <w:ind w:left="0" w:leftChars="0" w:firstLine="480" w:firstLineChars="200"/>
        <w:rPr>
          <w:rFonts w:hint="default" w:ascii="Times New Roman" w:hAnsi="Times New Roman" w:cs="Times New Roman"/>
          <w:color w:val="auto"/>
          <w:sz w:val="24"/>
          <w:highlight w:val="yellow"/>
        </w:rPr>
      </w:pPr>
      <w:r>
        <w:rPr>
          <w:rFonts w:hint="eastAsia" w:ascii="宋体" w:hAnsi="宋体" w:eastAsia="宋体" w:cs="宋体"/>
          <w:sz w:val="24"/>
          <w:szCs w:val="24"/>
          <w:highlight w:val="none"/>
        </w:rPr>
        <w:t>3.3 每个投标人允许</w:t>
      </w:r>
      <w:r>
        <w:rPr>
          <w:rFonts w:hint="eastAsia" w:ascii="宋体" w:hAnsi="宋体" w:eastAsia="宋体" w:cs="宋体"/>
          <w:sz w:val="24"/>
          <w:szCs w:val="24"/>
          <w:highlight w:val="none"/>
          <w:lang w:val="en-US" w:eastAsia="zh-CN"/>
        </w:rPr>
        <w:t>同时</w:t>
      </w:r>
      <w:r>
        <w:rPr>
          <w:rFonts w:hint="eastAsia" w:ascii="宋体" w:hAnsi="宋体" w:eastAsia="宋体" w:cs="宋体"/>
          <w:sz w:val="24"/>
          <w:szCs w:val="24"/>
          <w:highlight w:val="none"/>
        </w:rPr>
        <w:t>参与</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1</w:t>
      </w:r>
      <w:r>
        <w:rPr>
          <w:rFonts w:hint="eastAsia" w:ascii="宋体" w:hAnsi="宋体" w:eastAsia="宋体" w:cs="宋体"/>
          <w:sz w:val="24"/>
          <w:szCs w:val="24"/>
          <w:highlight w:val="none"/>
        </w:rPr>
        <w:t>个标段，</w:t>
      </w:r>
      <w:r>
        <w:rPr>
          <w:rFonts w:hint="eastAsia" w:ascii="宋体" w:hAnsi="宋体" w:eastAsia="宋体" w:cs="宋体"/>
          <w:sz w:val="24"/>
          <w:szCs w:val="24"/>
          <w:highlight w:val="none"/>
          <w:lang w:val="en-US" w:eastAsia="zh-CN"/>
        </w:rPr>
        <w:t>但</w:t>
      </w:r>
      <w:r>
        <w:rPr>
          <w:rFonts w:hint="eastAsia" w:ascii="宋体" w:hAnsi="宋体" w:eastAsia="宋体" w:cs="宋体"/>
          <w:sz w:val="24"/>
          <w:szCs w:val="24"/>
          <w:highlight w:val="none"/>
        </w:rPr>
        <w:t>每个投标人最多允许中</w:t>
      </w:r>
      <w:r>
        <w:rPr>
          <w:rFonts w:hint="eastAsia" w:ascii="宋体" w:hAnsi="宋体" w:cs="宋体"/>
          <w:sz w:val="24"/>
          <w:szCs w:val="24"/>
          <w:highlight w:val="none"/>
          <w:lang w:val="en-US" w:eastAsia="zh-CN"/>
        </w:rPr>
        <w:t>标</w:t>
      </w:r>
      <w:r>
        <w:rPr>
          <w:rFonts w:hint="eastAsia" w:ascii="宋体" w:hAnsi="宋体" w:eastAsia="宋体" w:cs="宋体"/>
          <w:sz w:val="24"/>
          <w:szCs w:val="24"/>
          <w:highlight w:val="none"/>
        </w:rPr>
        <w:t>其中</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个标段</w:t>
      </w:r>
      <w:r>
        <w:rPr>
          <w:rStyle w:val="47"/>
          <w:rFonts w:hint="default" w:ascii="Times New Roman" w:hAnsi="Times New Roman" w:cs="Times New Roman"/>
          <w:color w:val="auto"/>
          <w:sz w:val="24"/>
          <w:highlight w:val="none"/>
        </w:rPr>
        <w:footnoteReference w:id="4"/>
      </w:r>
      <w:r>
        <w:rPr>
          <w:rFonts w:hint="default" w:ascii="Times New Roman" w:hAnsi="Times New Roman" w:cs="Times New Roman"/>
          <w:color w:val="auto"/>
          <w:sz w:val="24"/>
          <w:highlight w:val="none"/>
        </w:rPr>
        <w:t>。</w:t>
      </w:r>
    </w:p>
    <w:p w14:paraId="72A8CD49">
      <w:pPr>
        <w:pageBreakBefore w:val="0"/>
        <w:tabs>
          <w:tab w:val="left" w:pos="36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 与招标人存在利害关系可能影响招标公正性的单位，不得参加投标。单位负责人为同一人或存在控股、管理关系的不同单位，不得参加同</w:t>
      </w:r>
      <w:r>
        <w:rPr>
          <w:rFonts w:hint="eastAsia" w:cs="Times New Roman"/>
          <w:color w:val="auto"/>
          <w:sz w:val="24"/>
          <w:highlight w:val="none"/>
          <w:lang w:val="en-US" w:eastAsia="zh-CN"/>
        </w:rPr>
        <w:t>一</w:t>
      </w:r>
      <w:r>
        <w:rPr>
          <w:rFonts w:hint="eastAsia" w:cs="Times New Roman"/>
          <w:color w:val="auto"/>
          <w:sz w:val="24"/>
          <w:highlight w:val="none"/>
          <w:lang w:eastAsia="zh-CN"/>
        </w:rPr>
        <w:t>标段</w:t>
      </w:r>
      <w:r>
        <w:rPr>
          <w:rFonts w:hint="default" w:ascii="Times New Roman" w:hAnsi="Times New Roman" w:cs="Times New Roman"/>
          <w:color w:val="auto"/>
          <w:sz w:val="24"/>
          <w:highlight w:val="none"/>
        </w:rPr>
        <w:t>投标，否则，相关投标均无效。</w:t>
      </w:r>
    </w:p>
    <w:p w14:paraId="24461A92">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sz w:val="24"/>
          <w:highlight w:val="none"/>
        </w:rPr>
        <w:t xml:space="preserve">3.5 </w:t>
      </w:r>
      <w:r>
        <w:rPr>
          <w:rFonts w:hint="default" w:ascii="Times New Roman" w:hAnsi="Times New Roman" w:cs="Times New Roman"/>
          <w:color w:val="auto"/>
          <w:kern w:val="28"/>
          <w:sz w:val="24"/>
          <w:highlight w:val="none"/>
        </w:rPr>
        <w:t>存在下列不良状况或不良信用记录的单位，不得以任何形式参加投标：</w:t>
      </w:r>
    </w:p>
    <w:p w14:paraId="78381EE5">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（1）被省级及以上交通运输主管部门取消招标项目所在地的投标资格且处于有效期内；</w:t>
      </w:r>
    </w:p>
    <w:p w14:paraId="295DEEA6">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（2）被责令停业，暂扣或吊销执照，或吊销资质证书；</w:t>
      </w:r>
    </w:p>
    <w:p w14:paraId="7526ADA6">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（3）进入清算程序，或被宣告破产，或其他丧失履约能力的情形；</w:t>
      </w:r>
    </w:p>
    <w:p w14:paraId="580B2EC5">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（4）在国家企业信用信息公示系统（http://www.gsxt.gov.cn）中被列入严重违法失信企业名单；</w:t>
      </w:r>
    </w:p>
    <w:p w14:paraId="2CFC7D30">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（5）在</w:t>
      </w:r>
      <w:r>
        <w:rPr>
          <w:rFonts w:hint="eastAsia" w:ascii="宋体" w:hAnsi="宋体" w:eastAsia="宋体" w:cs="宋体"/>
          <w:color w:val="auto"/>
          <w:kern w:val="28"/>
          <w:sz w:val="24"/>
          <w:highlight w:val="none"/>
        </w:rPr>
        <w:t>“</w:t>
      </w:r>
      <w:r>
        <w:rPr>
          <w:rFonts w:hint="default" w:ascii="Times New Roman" w:hAnsi="Times New Roman" w:cs="Times New Roman"/>
          <w:color w:val="auto"/>
          <w:kern w:val="28"/>
          <w:sz w:val="24"/>
          <w:highlight w:val="none"/>
        </w:rPr>
        <w:t>信用中国</w:t>
      </w:r>
      <w:r>
        <w:rPr>
          <w:rFonts w:hint="eastAsia" w:ascii="宋体" w:hAnsi="宋体" w:eastAsia="宋体" w:cs="宋体"/>
          <w:color w:val="auto"/>
          <w:kern w:val="28"/>
          <w:sz w:val="24"/>
          <w:highlight w:val="none"/>
        </w:rPr>
        <w:t>”</w:t>
      </w:r>
      <w:r>
        <w:rPr>
          <w:rFonts w:hint="default" w:ascii="Times New Roman" w:hAnsi="Times New Roman" w:cs="Times New Roman"/>
          <w:color w:val="auto"/>
          <w:kern w:val="28"/>
          <w:sz w:val="24"/>
          <w:highlight w:val="none"/>
        </w:rPr>
        <w:t>网站</w:t>
      </w:r>
      <w:r>
        <w:rPr>
          <w:rFonts w:hint="eastAsia" w:cs="Times New Roman"/>
          <w:color w:val="auto"/>
          <w:kern w:val="28"/>
          <w:sz w:val="24"/>
          <w:highlight w:val="none"/>
          <w:lang w:eastAsia="zh-CN"/>
        </w:rPr>
        <w:t>（</w:t>
      </w:r>
      <w:r>
        <w:rPr>
          <w:rFonts w:hint="default" w:ascii="Times New Roman" w:hAnsi="Times New Roman" w:cs="Times New Roman"/>
          <w:color w:val="auto"/>
          <w:kern w:val="28"/>
          <w:sz w:val="24"/>
          <w:highlight w:val="none"/>
        </w:rPr>
        <w:t>http://www.creditchina.gov.cn）（或中国执行信息公开网 http://zxgk.court.gov.cn/shixin/）中被列入失信被执行人名单；</w:t>
      </w:r>
    </w:p>
    <w:p w14:paraId="6E8DD4C1">
      <w:pPr>
        <w:pageBreakBefore w:val="0"/>
        <w:kinsoku/>
        <w:wordWrap w:val="0"/>
        <w:overflowPunct/>
        <w:bidi w:val="0"/>
        <w:spacing w:line="440" w:lineRule="exact"/>
        <w:ind w:firstLine="480" w:firstLineChars="200"/>
        <w:rPr>
          <w:rFonts w:hint="default" w:ascii="Times New Roman" w:hAnsi="Times New Roman" w:cs="Times New Roman"/>
          <w:color w:val="auto"/>
          <w:kern w:val="28"/>
          <w:sz w:val="24"/>
          <w:highlight w:val="none"/>
        </w:rPr>
      </w:pPr>
      <w:r>
        <w:rPr>
          <w:rFonts w:hint="default" w:ascii="Times New Roman" w:hAnsi="Times New Roman" w:cs="Times New Roman"/>
          <w:color w:val="auto"/>
          <w:kern w:val="28"/>
          <w:sz w:val="24"/>
          <w:highlight w:val="none"/>
        </w:rPr>
        <w:t>（6）投标人或其法定代表人、拟委任的项目</w:t>
      </w:r>
      <w:r>
        <w:rPr>
          <w:rFonts w:hint="default" w:ascii="Times New Roman" w:hAnsi="Times New Roman" w:cs="Times New Roman"/>
          <w:color w:val="auto"/>
          <w:kern w:val="28"/>
          <w:sz w:val="24"/>
          <w:highlight w:val="none"/>
          <w:lang w:val="en-US" w:eastAsia="zh-CN"/>
        </w:rPr>
        <w:t>经理</w:t>
      </w:r>
      <w:r>
        <w:rPr>
          <w:rFonts w:hint="default" w:ascii="Times New Roman" w:hAnsi="Times New Roman" w:cs="Times New Roman"/>
          <w:color w:val="auto"/>
          <w:kern w:val="28"/>
          <w:sz w:val="24"/>
          <w:highlight w:val="none"/>
        </w:rPr>
        <w:t>在近三年内有行贿犯罪行为的；</w:t>
      </w:r>
    </w:p>
    <w:p w14:paraId="420A5C50">
      <w:pPr>
        <w:keepNext w:val="0"/>
        <w:keepLines w:val="0"/>
        <w:pageBreakBefore w:val="0"/>
        <w:widowControl w:val="0"/>
        <w:tabs>
          <w:tab w:val="left" w:pos="360"/>
        </w:tabs>
        <w:kinsoku/>
        <w:wordWrap w:val="0"/>
        <w:overflowPunct/>
        <w:topLinePunct w:val="0"/>
        <w:autoSpaceDE/>
        <w:autoSpaceDN/>
        <w:bidi w:val="0"/>
        <w:adjustRightInd/>
        <w:snapToGrid/>
        <w:spacing w:line="400" w:lineRule="atLeast"/>
        <w:ind w:firstLine="480" w:firstLineChars="200"/>
        <w:textAlignment w:val="auto"/>
        <w:outlineLvl w:val="9"/>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kern w:val="28"/>
          <w:sz w:val="24"/>
          <w:highlight w:val="none"/>
        </w:rPr>
        <w:t>（7）法律法规规定的其他情形</w:t>
      </w:r>
      <w:r>
        <w:rPr>
          <w:rFonts w:hint="eastAsia" w:cs="Times New Roman"/>
          <w:color w:val="auto"/>
          <w:kern w:val="28"/>
          <w:sz w:val="24"/>
          <w:highlight w:val="none"/>
          <w:lang w:eastAsia="zh-CN"/>
        </w:rPr>
        <w:t>。</w:t>
      </w:r>
    </w:p>
    <w:p w14:paraId="40514D61">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22" w:name="_Toc24263"/>
      <w:bookmarkStart w:id="23" w:name="_Toc20700"/>
      <w:bookmarkStart w:id="24" w:name="_Toc470760976"/>
      <w:bookmarkStart w:id="25" w:name="_Toc31217"/>
      <w:r>
        <w:rPr>
          <w:rFonts w:hint="default" w:ascii="Times New Roman" w:hAnsi="Times New Roman" w:eastAsia="黑体" w:cs="Times New Roman"/>
          <w:color w:val="auto"/>
          <w:sz w:val="28"/>
          <w:szCs w:val="28"/>
          <w:highlight w:val="none"/>
        </w:rPr>
        <w:t>4. 招标文件的获取</w:t>
      </w:r>
      <w:bookmarkEnd w:id="22"/>
      <w:bookmarkEnd w:id="23"/>
      <w:bookmarkEnd w:id="24"/>
      <w:bookmarkEnd w:id="25"/>
      <w:r>
        <w:rPr>
          <w:rFonts w:hint="default" w:ascii="Times New Roman" w:hAnsi="Times New Roman" w:eastAsia="黑体" w:cs="Times New Roman"/>
          <w:color w:val="auto"/>
          <w:sz w:val="28"/>
          <w:szCs w:val="28"/>
          <w:highlight w:val="none"/>
        </w:rPr>
        <w:tab/>
      </w:r>
    </w:p>
    <w:p w14:paraId="5F4032A0">
      <w:pPr>
        <w:pageBreakBefore w:val="0"/>
        <w:tabs>
          <w:tab w:val="left" w:pos="360"/>
        </w:tabs>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 凡有意参加投标者，请在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szCs w:val="24"/>
          <w:highlight w:val="none"/>
          <w:u w:val="single"/>
        </w:rPr>
        <w:t>辽宁省公共资源交易</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一张网</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电子化平台</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，网址：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eastAsiaTheme="minorEastAsia"/>
          <w:color w:val="auto"/>
          <w:sz w:val="24"/>
          <w:szCs w:val="24"/>
          <w:highlight w:val="none"/>
          <w:u w:val="single" w:color="auto"/>
          <w:lang w:val="en-US" w:eastAsia="zh-CN"/>
        </w:rPr>
        <w:t>https://www.lnsggzy.com/EpointSSO/login/oauth2login</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）进行网员注册，并</w:t>
      </w:r>
      <w:r>
        <w:rPr>
          <w:rFonts w:hint="eastAsia" w:cs="Times New Roman"/>
          <w:color w:val="auto"/>
          <w:sz w:val="24"/>
          <w:highlight w:val="none"/>
          <w:lang w:val="en-US" w:eastAsia="zh-CN"/>
        </w:rPr>
        <w:t>办理</w:t>
      </w:r>
      <w:r>
        <w:rPr>
          <w:rFonts w:hint="default" w:ascii="Times New Roman" w:hAnsi="Times New Roman" w:cs="Times New Roman"/>
          <w:color w:val="auto"/>
          <w:sz w:val="24"/>
          <w:highlight w:val="none"/>
        </w:rPr>
        <w:t>CA数字证书。</w:t>
      </w:r>
    </w:p>
    <w:p w14:paraId="2EC03204">
      <w:pPr>
        <w:pageBreakBefore w:val="0"/>
        <w:tabs>
          <w:tab w:val="left" w:pos="36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4.2 完成网员注册后，</w:t>
      </w:r>
      <w:r>
        <w:rPr>
          <w:rFonts w:hint="default" w:ascii="Times New Roman" w:hAnsi="Times New Roman" w:cs="Times New Roman"/>
          <w:color w:val="auto"/>
          <w:sz w:val="24"/>
          <w:highlight w:val="yellow"/>
        </w:rPr>
        <w:t>请于</w:t>
      </w:r>
      <w:r>
        <w:rPr>
          <w:rFonts w:hint="eastAsia" w:cs="Times New Roman"/>
          <w:color w:val="auto"/>
          <w:sz w:val="24"/>
          <w:highlight w:val="yellow"/>
          <w:u w:val="single"/>
          <w:lang w:val="en-US" w:eastAsia="zh-CN"/>
        </w:rPr>
        <w:t>2026</w:t>
      </w:r>
      <w:r>
        <w:rPr>
          <w:rFonts w:hint="default" w:ascii="Times New Roman" w:hAnsi="Times New Roman" w:cs="Times New Roman"/>
          <w:color w:val="auto"/>
          <w:sz w:val="24"/>
          <w:highlight w:val="yellow"/>
        </w:rPr>
        <w:t xml:space="preserve"> 年</w:t>
      </w:r>
      <w:r>
        <w:rPr>
          <w:rFonts w:hint="default" w:ascii="Times New Roman" w:hAnsi="Times New Roman" w:cs="Times New Roman"/>
          <w:color w:val="auto"/>
          <w:sz w:val="24"/>
          <w:highlight w:val="yellow"/>
          <w:u w:val="single"/>
        </w:rPr>
        <w:t xml:space="preserve">   </w:t>
      </w:r>
      <w:r>
        <w:rPr>
          <w:rFonts w:hint="default" w:ascii="Times New Roman" w:hAnsi="Times New Roman" w:cs="Times New Roman"/>
          <w:color w:val="auto"/>
          <w:sz w:val="24"/>
          <w:highlight w:val="yellow"/>
        </w:rPr>
        <w:t xml:space="preserve"> 月</w:t>
      </w:r>
      <w:r>
        <w:rPr>
          <w:rFonts w:hint="default" w:ascii="Times New Roman" w:hAnsi="Times New Roman" w:cs="Times New Roman"/>
          <w:color w:val="auto"/>
          <w:sz w:val="24"/>
          <w:highlight w:val="yellow"/>
          <w:u w:val="single"/>
        </w:rPr>
        <w:t xml:space="preserve">   </w:t>
      </w:r>
      <w:r>
        <w:rPr>
          <w:rFonts w:hint="default" w:ascii="Times New Roman" w:hAnsi="Times New Roman" w:cs="Times New Roman"/>
          <w:color w:val="auto"/>
          <w:sz w:val="24"/>
          <w:highlight w:val="yellow"/>
        </w:rPr>
        <w:t xml:space="preserve"> 日</w:t>
      </w:r>
      <w:r>
        <w:rPr>
          <w:rFonts w:hint="eastAsia" w:cs="Times New Roman"/>
          <w:color w:val="auto"/>
          <w:sz w:val="24"/>
          <w:highlight w:val="yellow"/>
          <w:u w:val="single"/>
          <w:lang w:val="en-US" w:eastAsia="zh-CN"/>
        </w:rPr>
        <w:t>17</w:t>
      </w:r>
      <w:r>
        <w:rPr>
          <w:rFonts w:ascii="Times New Roman" w:hAnsi="Times New Roman" w:eastAsia="宋体" w:cs="Times New Roman"/>
          <w:color w:val="auto"/>
          <w:sz w:val="24"/>
          <w:highlight w:val="yellow"/>
        </w:rPr>
        <w:t>时</w:t>
      </w:r>
      <w:r>
        <w:rPr>
          <w:rFonts w:hint="eastAsia" w:cs="Times New Roman"/>
          <w:color w:val="auto"/>
          <w:sz w:val="24"/>
          <w:highlight w:val="yellow"/>
          <w:u w:val="single"/>
          <w:lang w:val="en-US" w:eastAsia="zh-CN"/>
        </w:rPr>
        <w:t>00</w:t>
      </w:r>
      <w:r>
        <w:rPr>
          <w:rFonts w:ascii="Times New Roman" w:hAnsi="Times New Roman" w:eastAsia="宋体" w:cs="Times New Roman"/>
          <w:color w:val="auto"/>
          <w:sz w:val="24"/>
          <w:highlight w:val="yellow"/>
        </w:rPr>
        <w:t>分</w:t>
      </w:r>
      <w:r>
        <w:rPr>
          <w:rFonts w:hint="default" w:ascii="Times New Roman" w:hAnsi="Times New Roman" w:cs="Times New Roman"/>
          <w:color w:val="auto"/>
          <w:sz w:val="24"/>
          <w:highlight w:val="yellow"/>
        </w:rPr>
        <w:t>至</w:t>
      </w:r>
      <w:r>
        <w:rPr>
          <w:rFonts w:hint="eastAsia" w:cs="Times New Roman"/>
          <w:color w:val="auto"/>
          <w:sz w:val="24"/>
          <w:highlight w:val="yellow"/>
          <w:u w:val="single"/>
          <w:lang w:val="en-US" w:eastAsia="zh-CN"/>
        </w:rPr>
        <w:t>2026</w:t>
      </w:r>
      <w:r>
        <w:rPr>
          <w:rFonts w:hint="default" w:ascii="Times New Roman" w:hAnsi="Times New Roman" w:cs="Times New Roman"/>
          <w:color w:val="auto"/>
          <w:sz w:val="24"/>
          <w:highlight w:val="yellow"/>
        </w:rPr>
        <w:t xml:space="preserve"> 年</w:t>
      </w:r>
      <w:r>
        <w:rPr>
          <w:rFonts w:hint="default" w:ascii="Times New Roman" w:hAnsi="Times New Roman" w:cs="Times New Roman"/>
          <w:color w:val="auto"/>
          <w:sz w:val="24"/>
          <w:highlight w:val="yellow"/>
          <w:u w:val="single"/>
        </w:rPr>
        <w:t xml:space="preserve">   </w:t>
      </w:r>
      <w:r>
        <w:rPr>
          <w:rFonts w:hint="default" w:ascii="Times New Roman" w:hAnsi="Times New Roman" w:cs="Times New Roman"/>
          <w:color w:val="auto"/>
          <w:sz w:val="24"/>
          <w:highlight w:val="yellow"/>
        </w:rPr>
        <w:t xml:space="preserve"> 月</w:t>
      </w:r>
      <w:r>
        <w:rPr>
          <w:rFonts w:hint="default" w:ascii="Times New Roman" w:hAnsi="Times New Roman" w:cs="Times New Roman"/>
          <w:color w:val="auto"/>
          <w:sz w:val="24"/>
          <w:highlight w:val="yellow"/>
          <w:u w:val="single"/>
        </w:rPr>
        <w:t xml:space="preserve">   </w:t>
      </w:r>
      <w:r>
        <w:rPr>
          <w:rFonts w:hint="default" w:ascii="Times New Roman" w:hAnsi="Times New Roman" w:cs="Times New Roman"/>
          <w:color w:val="auto"/>
          <w:sz w:val="24"/>
          <w:highlight w:val="yellow"/>
        </w:rPr>
        <w:t xml:space="preserve"> 日</w:t>
      </w:r>
      <w:r>
        <w:rPr>
          <w:rFonts w:hint="eastAsia" w:cs="Times New Roman"/>
          <w:color w:val="auto"/>
          <w:sz w:val="24"/>
          <w:highlight w:val="yellow"/>
          <w:u w:val="single"/>
          <w:lang w:val="en-US" w:eastAsia="zh-CN"/>
        </w:rPr>
        <w:t>00</w:t>
      </w:r>
      <w:r>
        <w:rPr>
          <w:rFonts w:ascii="Times New Roman" w:hAnsi="Times New Roman" w:eastAsia="宋体" w:cs="Times New Roman"/>
          <w:color w:val="auto"/>
          <w:sz w:val="24"/>
          <w:highlight w:val="yellow"/>
        </w:rPr>
        <w:t>时</w:t>
      </w:r>
      <w:r>
        <w:rPr>
          <w:rFonts w:hint="eastAsia" w:cs="Times New Roman"/>
          <w:color w:val="auto"/>
          <w:sz w:val="24"/>
          <w:highlight w:val="yellow"/>
          <w:u w:val="single"/>
          <w:lang w:val="en-US" w:eastAsia="zh-CN"/>
        </w:rPr>
        <w:t>00</w:t>
      </w:r>
      <w:r>
        <w:rPr>
          <w:rFonts w:ascii="Times New Roman" w:hAnsi="Times New Roman" w:eastAsia="宋体" w:cs="Times New Roman"/>
          <w:color w:val="auto"/>
          <w:sz w:val="24"/>
          <w:highlight w:val="yellow"/>
        </w:rPr>
        <w:t>分</w:t>
      </w:r>
      <w:r>
        <w:rPr>
          <w:rFonts w:hint="default" w:ascii="Times New Roman" w:hAnsi="Times New Roman" w:cs="Times New Roman"/>
          <w:color w:val="auto"/>
          <w:sz w:val="24"/>
          <w:highlight w:val="yellow"/>
        </w:rPr>
        <w:t>，通</w:t>
      </w:r>
      <w:r>
        <w:rPr>
          <w:rFonts w:hint="default" w:ascii="Times New Roman" w:hAnsi="Times New Roman" w:cs="Times New Roman"/>
          <w:color w:val="auto"/>
          <w:sz w:val="24"/>
          <w:highlight w:val="none"/>
        </w:rPr>
        <w:t>过互联网使用CA数字证书登录</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，明确所投标段，</w:t>
      </w:r>
      <w:r>
        <w:rPr>
          <w:rFonts w:hint="default" w:ascii="Times New Roman" w:hAnsi="Times New Roman" w:cs="Times New Roman"/>
          <w:color w:val="auto"/>
          <w:sz w:val="24"/>
          <w:highlight w:val="none"/>
          <w:lang w:val="en-US" w:eastAsia="zh-CN"/>
        </w:rPr>
        <w:t>匿名免费下载招标文件</w:t>
      </w:r>
      <w:r>
        <w:rPr>
          <w:rFonts w:hint="default" w:ascii="Times New Roman" w:hAnsi="Times New Roman" w:cs="Times New Roman"/>
          <w:color w:val="auto"/>
          <w:sz w:val="24"/>
          <w:highlight w:val="none"/>
        </w:rPr>
        <w:t>、图纸和参考资料。联合体投标的，由联合体牵头人完成招标文件等资料下载。</w:t>
      </w:r>
    </w:p>
    <w:p w14:paraId="3D39F6E9">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26" w:name="_Toc22946"/>
      <w:bookmarkStart w:id="27" w:name="_Toc26563"/>
      <w:bookmarkStart w:id="28" w:name="_Toc7236"/>
      <w:bookmarkStart w:id="29" w:name="_Toc470760977"/>
      <w:r>
        <w:rPr>
          <w:rFonts w:hint="default" w:ascii="Times New Roman" w:hAnsi="Times New Roman" w:eastAsia="黑体" w:cs="Times New Roman"/>
          <w:color w:val="auto"/>
          <w:sz w:val="28"/>
          <w:szCs w:val="28"/>
          <w:highlight w:val="none"/>
        </w:rPr>
        <w:t>5. 投标文件的递交及相关事宜</w:t>
      </w:r>
      <w:bookmarkEnd w:id="26"/>
      <w:bookmarkEnd w:id="27"/>
      <w:bookmarkEnd w:id="28"/>
      <w:bookmarkEnd w:id="29"/>
    </w:p>
    <w:p w14:paraId="5E7B56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sz w:val="24"/>
          <w:highlight w:val="none"/>
        </w:rPr>
        <w:t>5.1 招标人将</w:t>
      </w:r>
      <w:r>
        <w:rPr>
          <w:rFonts w:hint="eastAsia" w:cs="Times New Roman"/>
          <w:color w:val="auto"/>
          <w:sz w:val="24"/>
          <w:highlight w:val="none"/>
          <w:lang w:val="en-US" w:eastAsia="zh-CN"/>
        </w:rPr>
        <w:t xml:space="preserve">  </w:t>
      </w:r>
      <w:r>
        <w:rPr>
          <w:rFonts w:hint="eastAsia" w:ascii="Times New Roman" w:hAnsi="Times New Roman" w:eastAsia="宋体" w:cs="Times New Roman"/>
          <w:b w:val="0"/>
          <w:bCs w:val="0"/>
          <w:color w:val="auto"/>
          <w:sz w:val="24"/>
          <w:szCs w:val="24"/>
          <w:highlight w:val="none"/>
          <w:lang w:val="en-US" w:eastAsia="zh-CN"/>
        </w:rPr>
        <w:t xml:space="preserve"> </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不组织进行工程现场踏勘和召开投标预备会。</w:t>
      </w:r>
    </w:p>
    <w:p w14:paraId="5A1BFC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60" w:firstLineChars="900"/>
        <w:textAlignment w:val="auto"/>
        <w:rPr>
          <w:rFonts w:hint="default" w:ascii="Times New Roman" w:hAnsi="Times New Roman" w:eastAsia="宋体" w:cs="Times New Roman"/>
          <w:b w:val="0"/>
          <w:bCs w:val="0"/>
          <w:color w:val="auto"/>
          <w:sz w:val="24"/>
          <w:szCs w:val="24"/>
          <w:highlight w:val="none"/>
        </w:rPr>
      </w:pPr>
      <w:sdt>
        <w:sdtPr>
          <w:rPr>
            <w:rFonts w:hint="default" w:ascii="Times New Roman" w:hAnsi="Times New Roman" w:eastAsia="宋体" w:cs="Times New Roman"/>
            <w:b w:val="0"/>
            <w:bCs w:val="0"/>
            <w:color w:val="auto"/>
            <w:sz w:val="24"/>
            <w:szCs w:val="24"/>
            <w:highlight w:val="none"/>
            <w:shd w:val="clear" w:color="auto" w:fill="FFFFFF"/>
          </w:rPr>
          <w:id w:val="49361775"/>
          <w14:checkbox>
            <w14:checked w14:val="0"/>
            <w14:checkedState w14:val="0052" w14:font="Wingdings 2"/>
            <w14:uncheckedState w14:val="2610" w14:font="MS Gothic"/>
          </w14:checkbox>
        </w:sdtPr>
        <w:sdtEndPr>
          <w:rPr>
            <w:rFonts w:hint="default" w:ascii="Times New Roman" w:hAnsi="Times New Roman" w:eastAsia="宋体" w:cs="Times New Roman"/>
            <w:b w:val="0"/>
            <w:bCs w:val="0"/>
            <w:color w:val="auto"/>
            <w:sz w:val="24"/>
            <w:szCs w:val="24"/>
            <w:highlight w:val="none"/>
            <w:shd w:val="clear" w:color="auto" w:fill="FFFFFF"/>
          </w:rPr>
        </w:sdtEndPr>
        <w:sdtContent>
          <w:r>
            <w:rPr>
              <w:rFonts w:hint="default" w:ascii="Times New Roman" w:hAnsi="Times New Roman" w:eastAsia="MS Gothic" w:cs="Times New Roman"/>
              <w:b w:val="0"/>
              <w:bCs w:val="0"/>
              <w:color w:val="auto"/>
              <w:kern w:val="2"/>
              <w:sz w:val="24"/>
              <w:szCs w:val="24"/>
              <w:highlight w:val="none"/>
              <w:shd w:val="clear" w:color="auto" w:fill="FFFFFF"/>
              <w:lang w:val="en-US" w:eastAsia="zh-CN" w:bidi="ar-SA"/>
            </w:rPr>
            <w:t>☐</w:t>
          </w:r>
        </w:sdtContent>
      </w:sdt>
      <w:r>
        <w:rPr>
          <w:rFonts w:hint="default" w:ascii="Times New Roman" w:hAnsi="Times New Roman" w:eastAsia="宋体" w:cs="Times New Roman"/>
          <w:b w:val="0"/>
          <w:bCs w:val="0"/>
          <w:color w:val="auto"/>
          <w:sz w:val="24"/>
          <w:szCs w:val="24"/>
          <w:highlight w:val="none"/>
        </w:rPr>
        <w:t xml:space="preserve"> 组织进行工程现场踏勘和召开投标预备会，时间地点：</w:t>
      </w:r>
    </w:p>
    <w:p w14:paraId="514719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 投标文件应为加密的投标文件。投标文件递交的截止时间（投标截止时间，下同）</w:t>
      </w:r>
      <w:r>
        <w:rPr>
          <w:rFonts w:hint="default" w:ascii="Times New Roman" w:hAnsi="Times New Roman" w:cs="Times New Roman"/>
          <w:color w:val="auto"/>
          <w:sz w:val="24"/>
          <w:highlight w:val="yellow"/>
        </w:rPr>
        <w:t>为</w:t>
      </w:r>
      <w:r>
        <w:rPr>
          <w:rFonts w:hint="eastAsia" w:cs="Times New Roman"/>
          <w:color w:val="auto"/>
          <w:sz w:val="24"/>
          <w:highlight w:val="yellow"/>
          <w:u w:val="single"/>
          <w:lang w:val="en-US" w:eastAsia="zh-CN"/>
        </w:rPr>
        <w:t>2026</w:t>
      </w:r>
      <w:r>
        <w:rPr>
          <w:rFonts w:hint="default" w:ascii="Times New Roman" w:hAnsi="Times New Roman" w:cs="Times New Roman"/>
          <w:color w:val="auto"/>
          <w:sz w:val="24"/>
          <w:highlight w:val="yellow"/>
        </w:rPr>
        <w:t>年</w:t>
      </w:r>
      <w:r>
        <w:rPr>
          <w:rFonts w:hint="default" w:ascii="Times New Roman" w:hAnsi="Times New Roman" w:cs="Times New Roman"/>
          <w:color w:val="auto"/>
          <w:sz w:val="24"/>
          <w:highlight w:val="yellow"/>
          <w:u w:val="single"/>
        </w:rPr>
        <w:t xml:space="preserve">    </w:t>
      </w:r>
      <w:r>
        <w:rPr>
          <w:rFonts w:hint="default" w:ascii="Times New Roman" w:hAnsi="Times New Roman" w:cs="Times New Roman"/>
          <w:color w:val="auto"/>
          <w:sz w:val="24"/>
          <w:highlight w:val="yellow"/>
        </w:rPr>
        <w:t>月</w:t>
      </w:r>
      <w:r>
        <w:rPr>
          <w:rFonts w:hint="default" w:ascii="Times New Roman" w:hAnsi="Times New Roman" w:cs="Times New Roman"/>
          <w:color w:val="auto"/>
          <w:sz w:val="24"/>
          <w:highlight w:val="yellow"/>
          <w:u w:val="single"/>
        </w:rPr>
        <w:t xml:space="preserve">    </w:t>
      </w:r>
      <w:r>
        <w:rPr>
          <w:rFonts w:hint="default" w:ascii="Times New Roman" w:hAnsi="Times New Roman" w:cs="Times New Roman"/>
          <w:color w:val="auto"/>
          <w:sz w:val="24"/>
          <w:highlight w:val="yellow"/>
        </w:rPr>
        <w:t>日</w:t>
      </w:r>
      <w:r>
        <w:rPr>
          <w:rFonts w:hint="eastAsia" w:cs="Times New Roman"/>
          <w:color w:val="auto"/>
          <w:sz w:val="24"/>
          <w:highlight w:val="yellow"/>
          <w:u w:val="single"/>
          <w:lang w:val="en-US" w:eastAsia="zh-CN"/>
        </w:rPr>
        <w:t xml:space="preserve">    </w:t>
      </w:r>
      <w:r>
        <w:rPr>
          <w:rFonts w:hint="default" w:ascii="Times New Roman" w:hAnsi="Times New Roman" w:cs="Times New Roman"/>
          <w:color w:val="auto"/>
          <w:sz w:val="24"/>
          <w:highlight w:val="yellow"/>
        </w:rPr>
        <w:t>时</w:t>
      </w:r>
      <w:r>
        <w:rPr>
          <w:rFonts w:hint="eastAsia" w:cs="Times New Roman"/>
          <w:color w:val="auto"/>
          <w:sz w:val="24"/>
          <w:highlight w:val="yellow"/>
          <w:u w:val="single"/>
          <w:lang w:val="en-US" w:eastAsia="zh-CN"/>
        </w:rPr>
        <w:t xml:space="preserve">    </w:t>
      </w:r>
      <w:r>
        <w:rPr>
          <w:rFonts w:hint="default" w:ascii="Times New Roman" w:hAnsi="Times New Roman" w:cs="Times New Roman"/>
          <w:color w:val="auto"/>
          <w:sz w:val="24"/>
          <w:highlight w:val="yellow"/>
        </w:rPr>
        <w:t>分</w:t>
      </w:r>
      <w:r>
        <w:rPr>
          <w:color w:val="auto"/>
          <w:sz w:val="24"/>
          <w:highlight w:val="none"/>
        </w:rPr>
        <w:t>（北京时间，下同）</w:t>
      </w:r>
      <w:r>
        <w:rPr>
          <w:rFonts w:hint="default" w:ascii="Times New Roman" w:hAnsi="Times New Roman" w:cs="Times New Roman"/>
          <w:color w:val="auto"/>
          <w:sz w:val="24"/>
          <w:highlight w:val="none"/>
        </w:rPr>
        <w:t>，投标人应在投标截止时间前，通过互联网使用CA数字证书登录</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，将加密的投标文件上传。逾期未完成上传或未按规定加密的投标文件，招标人予以拒收。联合体投标的，由联合体牵头人完成</w:t>
      </w:r>
      <w:r>
        <w:rPr>
          <w:rFonts w:hint="eastAsia" w:cs="Times New Roman"/>
          <w:color w:val="auto"/>
          <w:sz w:val="24"/>
          <w:highlight w:val="none"/>
          <w:lang w:val="en-US" w:eastAsia="zh-CN"/>
        </w:rPr>
        <w:t>投标文件的上传等工作</w:t>
      </w:r>
      <w:r>
        <w:rPr>
          <w:rFonts w:hint="default" w:ascii="Times New Roman" w:hAnsi="Times New Roman" w:cs="Times New Roman"/>
          <w:color w:val="auto"/>
          <w:sz w:val="24"/>
          <w:highlight w:val="none"/>
        </w:rPr>
        <w:t>。</w:t>
      </w:r>
    </w:p>
    <w:p w14:paraId="521D1881">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rPr>
          <w:rFonts w:hint="default" w:ascii="Times New Roman" w:hAnsi="Times New Roman" w:cs="Times New Roman"/>
          <w:color w:val="auto"/>
          <w:sz w:val="24"/>
          <w:highlight w:val="none"/>
        </w:rPr>
      </w:pPr>
      <w:r>
        <w:rPr>
          <w:rFonts w:hint="eastAsia" w:ascii="宋体" w:hAnsi="宋体" w:eastAsia="宋体" w:cs="宋体"/>
          <w:b/>
          <w:bCs/>
          <w:color w:val="auto"/>
          <w:sz w:val="24"/>
          <w:szCs w:val="24"/>
          <w:highlight w:val="yellow"/>
        </w:rPr>
        <w:t>5.3本项目以电子交易为主。</w:t>
      </w:r>
    </w:p>
    <w:p w14:paraId="13948D39">
      <w:pPr>
        <w:pStyle w:val="2"/>
        <w:pageBreakBefore w:val="0"/>
        <w:kinsoku/>
        <w:wordWrap w:val="0"/>
        <w:overflowPunct/>
        <w:bidi w:val="0"/>
        <w:spacing w:line="240" w:lineRule="auto"/>
        <w:jc w:val="left"/>
        <w:outlineLvl w:val="1"/>
        <w:rPr>
          <w:rFonts w:hint="default" w:ascii="Times New Roman" w:hAnsi="Times New Roman" w:eastAsia="黑体" w:cs="Times New Roman"/>
          <w:b w:val="0"/>
          <w:bCs/>
          <w:i w:val="0"/>
          <w:iCs w:val="0"/>
          <w:color w:val="auto"/>
          <w:kern w:val="44"/>
          <w:sz w:val="28"/>
          <w:szCs w:val="28"/>
          <w:highlight w:val="none"/>
          <w:lang w:val="en-US" w:eastAsia="zh-CN" w:bidi="ar-SA"/>
        </w:rPr>
      </w:pPr>
      <w:bookmarkStart w:id="30" w:name="_Toc6994_WPSOffice_Level2"/>
      <w:bookmarkStart w:id="31" w:name="_Toc4681"/>
      <w:bookmarkStart w:id="32" w:name="_Toc21427"/>
      <w:bookmarkStart w:id="33" w:name="_Toc22018"/>
      <w:bookmarkStart w:id="34" w:name="_Toc31627"/>
      <w:bookmarkStart w:id="35" w:name="_Toc29510"/>
      <w:bookmarkStart w:id="36" w:name="_Toc234832850"/>
      <w:r>
        <w:rPr>
          <w:rFonts w:hint="default" w:ascii="Times New Roman" w:hAnsi="Times New Roman" w:cs="Times New Roman"/>
          <w:b w:val="0"/>
          <w:bCs/>
          <w:i w:val="0"/>
          <w:iCs w:val="0"/>
          <w:color w:val="auto"/>
          <w:kern w:val="44"/>
          <w:sz w:val="28"/>
          <w:szCs w:val="28"/>
          <w:highlight w:val="none"/>
          <w:lang w:val="en-US" w:eastAsia="zh-CN" w:bidi="ar-SA"/>
        </w:rPr>
        <w:t>6</w:t>
      </w:r>
      <w:r>
        <w:rPr>
          <w:rFonts w:hint="default" w:ascii="Times New Roman" w:hAnsi="Times New Roman" w:eastAsia="黑体" w:cs="Times New Roman"/>
          <w:b w:val="0"/>
          <w:bCs/>
          <w:i w:val="0"/>
          <w:iCs w:val="0"/>
          <w:color w:val="auto"/>
          <w:kern w:val="44"/>
          <w:sz w:val="28"/>
          <w:szCs w:val="28"/>
          <w:highlight w:val="none"/>
          <w:lang w:val="en-US" w:eastAsia="zh-CN" w:bidi="ar-SA"/>
        </w:rPr>
        <w:t>. 评标办法</w:t>
      </w:r>
      <w:bookmarkEnd w:id="30"/>
      <w:bookmarkEnd w:id="31"/>
      <w:bookmarkEnd w:id="32"/>
      <w:bookmarkEnd w:id="33"/>
      <w:bookmarkEnd w:id="34"/>
      <w:bookmarkEnd w:id="35"/>
    </w:p>
    <w:p w14:paraId="65B31F46">
      <w:pPr>
        <w:pageBreakBefore w:val="0"/>
        <w:shd w:val="clear"/>
        <w:kinsoku/>
        <w:wordWrap w:val="0"/>
        <w:overflowPunct w:val="0"/>
        <w:autoSpaceDE/>
        <w:autoSpaceDN/>
        <w:bidi w:val="0"/>
        <w:adjustRightInd/>
        <w:snapToGrid/>
        <w:spacing w:line="360" w:lineRule="auto"/>
        <w:ind w:firstLine="472" w:firstLineChars="200"/>
        <w:jc w:val="both"/>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2"/>
          <w:sz w:val="24"/>
          <w:szCs w:val="24"/>
          <w:highlight w:val="none"/>
        </w:rPr>
        <w:t>本项目评标办法采用</w:t>
      </w:r>
      <w:r>
        <w:rPr>
          <w:rFonts w:hint="eastAsia" w:ascii="宋体" w:hAnsi="宋体" w:eastAsia="宋体" w:cs="宋体"/>
          <w:color w:val="auto"/>
          <w:spacing w:val="-2"/>
          <w:sz w:val="24"/>
          <w:szCs w:val="24"/>
          <w:highlight w:val="none"/>
          <w:u w:val="single"/>
          <w:lang w:val="en-US" w:eastAsia="zh-CN"/>
        </w:rPr>
        <w:t>合理低价法</w:t>
      </w:r>
      <w:r>
        <w:rPr>
          <w:rFonts w:hint="default" w:ascii="Times New Roman" w:hAnsi="Times New Roman" w:cs="Times New Roman" w:eastAsiaTheme="minorEastAsia"/>
          <w:color w:val="auto"/>
          <w:spacing w:val="-2"/>
          <w:sz w:val="24"/>
          <w:szCs w:val="24"/>
          <w:highlight w:val="none"/>
          <w:u w:val="single"/>
        </w:rPr>
        <w:t xml:space="preserve"> </w:t>
      </w:r>
      <w:r>
        <w:rPr>
          <w:rFonts w:hint="default" w:ascii="Times New Roman" w:hAnsi="Times New Roman" w:cs="Times New Roman" w:eastAsiaTheme="minorEastAsia"/>
          <w:color w:val="auto"/>
          <w:spacing w:val="-2"/>
          <w:sz w:val="24"/>
          <w:szCs w:val="24"/>
          <w:highlight w:val="none"/>
          <w:u w:val="none"/>
          <w:lang w:eastAsia="zh-CN"/>
        </w:rPr>
        <w:t>（</w:t>
      </w:r>
      <w:r>
        <w:rPr>
          <w:rFonts w:hint="default" w:ascii="Times New Roman" w:hAnsi="Times New Roman" w:cs="Times New Roman" w:eastAsiaTheme="minorEastAsia"/>
          <w:color w:val="auto"/>
          <w:spacing w:val="-2"/>
          <w:sz w:val="24"/>
          <w:szCs w:val="24"/>
          <w:highlight w:val="none"/>
          <w:u w:val="none"/>
          <w:lang w:val="en-US" w:eastAsia="zh-CN"/>
        </w:rPr>
        <w:t>评标办法</w:t>
      </w:r>
      <w:r>
        <w:rPr>
          <w:rFonts w:hint="default" w:ascii="Times New Roman" w:hAnsi="Times New Roman" w:cs="Times New Roman" w:eastAsiaTheme="minorEastAsia"/>
          <w:color w:val="auto"/>
          <w:spacing w:val="-2"/>
          <w:sz w:val="24"/>
          <w:szCs w:val="24"/>
          <w:highlight w:val="none"/>
          <w:u w:val="none"/>
          <w:lang w:eastAsia="zh-CN"/>
        </w:rPr>
        <w:t>）</w:t>
      </w:r>
      <w:r>
        <w:rPr>
          <w:rFonts w:hint="default" w:ascii="Times New Roman" w:hAnsi="Times New Roman" w:eastAsia="宋体" w:cs="Times New Roman"/>
          <w:color w:val="auto"/>
          <w:spacing w:val="-2"/>
          <w:sz w:val="24"/>
          <w:szCs w:val="24"/>
          <w:highlight w:val="none"/>
        </w:rPr>
        <w:t>，评标标准和方法详见</w:t>
      </w:r>
      <w:r>
        <w:rPr>
          <w:rFonts w:hint="eastAsia" w:ascii="宋体" w:hAnsi="宋体" w:eastAsia="宋体" w:cs="宋体"/>
          <w:color w:val="auto"/>
          <w:spacing w:val="-2"/>
          <w:sz w:val="24"/>
          <w:szCs w:val="24"/>
          <w:highlight w:val="none"/>
          <w:u w:val="single"/>
        </w:rPr>
        <w:t>辽宁省招标投标监管网附件《招标公告》</w:t>
      </w:r>
      <w:r>
        <w:rPr>
          <w:rFonts w:hint="default" w:ascii="Times New Roman" w:hAnsi="Times New Roman" w:eastAsia="宋体" w:cs="Times New Roman"/>
          <w:color w:val="auto"/>
          <w:spacing w:val="-6"/>
          <w:sz w:val="24"/>
          <w:szCs w:val="24"/>
          <w:highlight w:val="none"/>
        </w:rPr>
        <w:t>。</w:t>
      </w:r>
    </w:p>
    <w:p w14:paraId="04ACFA2F">
      <w:pPr>
        <w:pStyle w:val="2"/>
        <w:pageBreakBefore w:val="0"/>
        <w:kinsoku/>
        <w:wordWrap w:val="0"/>
        <w:overflowPunct/>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37" w:name="_Toc4689"/>
      <w:bookmarkStart w:id="38" w:name="_Toc31461"/>
      <w:bookmarkStart w:id="39" w:name="_Toc1626"/>
      <w:bookmarkStart w:id="40" w:name="_Toc26310"/>
      <w:r>
        <w:rPr>
          <w:rFonts w:hint="default" w:ascii="Times New Roman" w:hAnsi="Times New Roman" w:cs="Times New Roman"/>
          <w:color w:val="auto"/>
          <w:sz w:val="28"/>
          <w:szCs w:val="28"/>
          <w:highlight w:val="none"/>
          <w:lang w:val="en-US" w:eastAsia="zh-CN"/>
        </w:rPr>
        <w:t>7</w:t>
      </w:r>
      <w:r>
        <w:rPr>
          <w:rFonts w:hint="default" w:ascii="Times New Roman" w:hAnsi="Times New Roman" w:eastAsia="黑体" w:cs="Times New Roman"/>
          <w:color w:val="auto"/>
          <w:sz w:val="28"/>
          <w:szCs w:val="28"/>
          <w:highlight w:val="none"/>
        </w:rPr>
        <w:t>. 发布公告的媒介</w:t>
      </w:r>
      <w:bookmarkEnd w:id="36"/>
      <w:bookmarkEnd w:id="37"/>
      <w:bookmarkEnd w:id="38"/>
      <w:bookmarkEnd w:id="39"/>
      <w:bookmarkEnd w:id="40"/>
    </w:p>
    <w:p w14:paraId="7FE7F033">
      <w:pPr>
        <w:pStyle w:val="15"/>
        <w:pageBreakBefore w:val="0"/>
        <w:kinsoku/>
        <w:wordWrap w:val="0"/>
        <w:topLinePunct/>
        <w:bidi w:val="0"/>
        <w:spacing w:line="400" w:lineRule="atLeast"/>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rPr>
        <w:t>本次招标公告同时在</w:t>
      </w:r>
      <w:r>
        <w:rPr>
          <w:rFonts w:hint="default" w:ascii="Times New Roman" w:hAnsi="Times New Roman" w:cs="Times New Roman"/>
          <w:color w:val="auto"/>
          <w:sz w:val="24"/>
          <w:szCs w:val="24"/>
          <w:highlight w:val="none"/>
          <w:u w:val="single"/>
        </w:rPr>
        <w:t xml:space="preserve"> </w:t>
      </w:r>
      <w:r>
        <w:rPr>
          <w:rFonts w:hint="eastAsia" w:ascii="宋体" w:hAnsi="宋体" w:eastAsia="宋体" w:cs="宋体"/>
          <w:color w:val="000000"/>
          <w:sz w:val="24"/>
          <w:szCs w:val="24"/>
          <w:highlight w:val="none"/>
          <w:u w:val="single"/>
        </w:rPr>
        <w:t>辽宁省公共资源交易一张网电子化平台</w:t>
      </w:r>
      <w:r>
        <w:rPr>
          <w:rFonts w:hint="eastAsia" w:hAnsi="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辽宁省招标投标监管网</w:t>
      </w:r>
      <w:r>
        <w:rPr>
          <w:rFonts w:hint="eastAsia" w:ascii="宋体" w:hAnsi="宋体" w:eastAsia="宋体" w:cs="宋体"/>
          <w:color w:val="000000"/>
          <w:sz w:val="24"/>
          <w:szCs w:val="24"/>
          <w:highlight w:val="none"/>
          <w:u w:val="single"/>
          <w:lang w:eastAsia="zh-CN"/>
        </w:rPr>
        <w:t>、</w:t>
      </w:r>
      <w:r>
        <w:rPr>
          <w:rFonts w:hint="eastAsia" w:ascii="宋体" w:hAnsi="宋体" w:eastAsia="宋体" w:cs="宋体"/>
          <w:color w:val="000000"/>
          <w:sz w:val="24"/>
          <w:szCs w:val="24"/>
          <w:highlight w:val="none"/>
          <w:u w:val="single"/>
        </w:rPr>
        <w:t>全国公共资源交易平台（辽宁·</w:t>
      </w:r>
      <w:r>
        <w:rPr>
          <w:rFonts w:hint="eastAsia" w:ascii="宋体" w:hAnsi="宋体" w:eastAsia="宋体" w:cs="宋体"/>
          <w:color w:val="000000"/>
          <w:sz w:val="24"/>
          <w:szCs w:val="24"/>
          <w:highlight w:val="none"/>
          <w:u w:val="single"/>
          <w:lang w:val="en-US" w:eastAsia="zh-CN"/>
        </w:rPr>
        <w:t>营口</w:t>
      </w:r>
      <w:r>
        <w:rPr>
          <w:rFonts w:hint="eastAsia" w:ascii="宋体" w:hAnsi="宋体" w:eastAsia="宋体" w:cs="宋体"/>
          <w:color w:val="000000"/>
          <w:sz w:val="24"/>
          <w:szCs w:val="24"/>
          <w:highlight w:val="none"/>
          <w:u w:val="single"/>
        </w:rPr>
        <w:t>）</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（发布公告的媒介名称）上发布</w:t>
      </w:r>
      <w:r>
        <w:rPr>
          <w:rFonts w:hint="default" w:ascii="Times New Roman" w:hAnsi="Times New Roman" w:cs="Times New Roman"/>
          <w:color w:val="auto"/>
          <w:szCs w:val="24"/>
          <w:highlight w:val="none"/>
        </w:rPr>
        <w:t>。</w:t>
      </w:r>
    </w:p>
    <w:p w14:paraId="329A18AA">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41" w:name="_Toc27909"/>
      <w:bookmarkStart w:id="42" w:name="_Toc26506"/>
      <w:bookmarkStart w:id="43" w:name="_Toc470760979"/>
      <w:bookmarkStart w:id="44" w:name="_Toc31367"/>
      <w:r>
        <w:rPr>
          <w:rFonts w:hint="eastAsia" w:cs="Times New Roman"/>
          <w:color w:val="auto"/>
          <w:sz w:val="28"/>
          <w:szCs w:val="28"/>
          <w:highlight w:val="none"/>
          <w:lang w:val="en-US" w:eastAsia="zh-CN"/>
        </w:rPr>
        <w:t>8</w:t>
      </w:r>
      <w:r>
        <w:rPr>
          <w:rFonts w:hint="default" w:ascii="Times New Roman" w:hAnsi="Times New Roman" w:eastAsia="黑体" w:cs="Times New Roman"/>
          <w:color w:val="auto"/>
          <w:sz w:val="28"/>
          <w:szCs w:val="28"/>
          <w:highlight w:val="none"/>
        </w:rPr>
        <w:t>. 联系方式</w:t>
      </w:r>
      <w:bookmarkEnd w:id="41"/>
      <w:bookmarkEnd w:id="42"/>
      <w:bookmarkEnd w:id="43"/>
      <w:bookmarkEnd w:id="44"/>
    </w:p>
    <w:p w14:paraId="1DFC844C">
      <w:pPr>
        <w:pageBreakBefore w:val="0"/>
        <w:kinsoku/>
        <w:wordWrap w:val="0"/>
        <w:topLinePunct/>
        <w:bidi w:val="0"/>
        <w:spacing w:line="400" w:lineRule="exact"/>
        <w:ind w:firstLine="480" w:firstLineChars="200"/>
        <w:rPr>
          <w:rFonts w:hint="eastAsia"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监督部门：</w:t>
      </w:r>
      <w:r>
        <w:rPr>
          <w:rFonts w:hint="default" w:ascii="Times New Roman" w:hAnsi="Times New Roman" w:cs="Times New Roman"/>
          <w:color w:val="auto"/>
          <w:sz w:val="24"/>
          <w:szCs w:val="24"/>
          <w:highlight w:val="none"/>
          <w:u w:val="single"/>
        </w:rPr>
        <w:t>大石桥市交通运输局</w:t>
      </w:r>
      <w:r>
        <w:rPr>
          <w:rFonts w:hint="eastAsia" w:cs="Times New Roman"/>
          <w:color w:val="auto"/>
          <w:sz w:val="24"/>
          <w:szCs w:val="24"/>
          <w:highlight w:val="none"/>
          <w:u w:val="single"/>
          <w:lang w:val="en-US" w:eastAsia="zh-CN"/>
        </w:rPr>
        <w:t xml:space="preserve">   </w:t>
      </w:r>
    </w:p>
    <w:p w14:paraId="04A507FC">
      <w:pPr>
        <w:pageBreakBefore w:val="0"/>
        <w:kinsoku/>
        <w:wordWrap w:val="0"/>
        <w:topLinePunct/>
        <w:bidi w:val="0"/>
        <w:spacing w:line="400" w:lineRule="exact"/>
        <w:ind w:firstLine="480" w:firstLineChars="200"/>
        <w:rPr>
          <w:rFonts w:hint="eastAsia"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rPr>
        <w:t>地    址：</w:t>
      </w:r>
      <w:r>
        <w:rPr>
          <w:rFonts w:hint="default" w:ascii="Times New Roman" w:hAnsi="Times New Roman" w:cs="Times New Roman"/>
          <w:color w:val="auto"/>
          <w:sz w:val="24"/>
          <w:szCs w:val="24"/>
          <w:highlight w:val="none"/>
          <w:u w:val="single"/>
        </w:rPr>
        <w:t>大石桥市哈大中路1号</w:t>
      </w:r>
      <w:r>
        <w:rPr>
          <w:rFonts w:hint="eastAsia" w:cs="Times New Roman"/>
          <w:color w:val="auto"/>
          <w:sz w:val="24"/>
          <w:szCs w:val="24"/>
          <w:highlight w:val="none"/>
          <w:u w:val="single"/>
          <w:lang w:val="en-US" w:eastAsia="zh-CN"/>
        </w:rPr>
        <w:t xml:space="preserve"> </w:t>
      </w:r>
    </w:p>
    <w:p w14:paraId="5BDAE552">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邮    编：</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64D6D4A9">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eastAsia" w:ascii="宋体" w:hAnsi="宋体" w:eastAsia="宋体" w:cs="宋体"/>
          <w:color w:val="auto"/>
          <w:sz w:val="24"/>
          <w:szCs w:val="24"/>
          <w:highlight w:val="none"/>
          <w:u w:val="single"/>
          <w:lang w:val="en-US" w:eastAsia="zh-CN"/>
        </w:rPr>
        <w:t>董博</w:t>
      </w:r>
      <w:r>
        <w:rPr>
          <w:rFonts w:hint="eastAsia" w:ascii="宋体" w:hAnsi="宋体" w:cs="宋体"/>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188CA0FC">
      <w:pPr>
        <w:pageBreakBefore w:val="0"/>
        <w:tabs>
          <w:tab w:val="left" w:pos="7403"/>
        </w:tabs>
        <w:kinsoku/>
        <w:wordWrap w:val="0"/>
        <w:topLinePunct/>
        <w:bidi w:val="0"/>
        <w:spacing w:line="360" w:lineRule="auto"/>
        <w:ind w:firstLine="480" w:firstLineChars="200"/>
        <w:rPr>
          <w:rFonts w:hint="default" w:ascii="宋体" w:hAnsi="宋体" w:eastAsia="宋体" w:cs="宋体"/>
          <w:color w:val="auto"/>
          <w:sz w:val="24"/>
          <w:szCs w:val="24"/>
          <w:highlight w:val="none"/>
          <w:u w:val="single"/>
          <w:lang w:val="en-US" w:eastAsia="zh-CN"/>
        </w:rPr>
      </w:pPr>
      <w:r>
        <w:rPr>
          <w:rFonts w:hint="default" w:ascii="Times New Roman" w:hAnsi="Times New Roman" w:cs="Times New Roman"/>
          <w:color w:val="auto"/>
          <w:sz w:val="24"/>
          <w:szCs w:val="24"/>
          <w:highlight w:val="none"/>
        </w:rPr>
        <w:t>电    话：</w:t>
      </w:r>
      <w:r>
        <w:rPr>
          <w:rFonts w:hint="eastAsia" w:ascii="宋体" w:hAnsi="宋体" w:cs="宋体"/>
          <w:color w:val="auto"/>
          <w:sz w:val="24"/>
          <w:szCs w:val="24"/>
          <w:highlight w:val="none"/>
          <w:u w:val="single"/>
          <w:lang w:eastAsia="zh-CN"/>
        </w:rPr>
        <w:t>0417-5836231</w:t>
      </w:r>
    </w:p>
    <w:p w14:paraId="428CF65C">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0516534E">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电子邮件：</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2F6A8818">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网    址：</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3D170D1F">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p>
    <w:p w14:paraId="79F2FA86">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 标 人：</w:t>
      </w:r>
      <w:r>
        <w:rPr>
          <w:rFonts w:hint="eastAsia" w:ascii="宋体" w:hAnsi="宋体" w:cs="宋体"/>
          <w:color w:val="000000"/>
          <w:sz w:val="24"/>
          <w:szCs w:val="24"/>
          <w:highlight w:val="none"/>
          <w:u w:val="single"/>
          <w:lang w:val="en-US" w:eastAsia="zh-CN"/>
        </w:rPr>
        <w:t>大石桥市交通运输事务中心</w:t>
      </w:r>
      <w:r>
        <w:rPr>
          <w:rFonts w:hint="default" w:ascii="Times New Roman" w:hAnsi="Times New Roman" w:eastAsia="黑体" w:cs="Times New Roman"/>
          <w:color w:val="auto"/>
          <w:sz w:val="24"/>
          <w:szCs w:val="24"/>
          <w:highlight w:val="none"/>
          <w:u w:val="single"/>
        </w:rPr>
        <w:t xml:space="preserve"> </w:t>
      </w:r>
    </w:p>
    <w:p w14:paraId="423A482A">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eastAsia" w:ascii="宋体" w:hAnsi="宋体" w:cs="宋体"/>
          <w:color w:val="000000"/>
          <w:sz w:val="24"/>
          <w:szCs w:val="24"/>
          <w:highlight w:val="none"/>
          <w:u w:val="single"/>
          <w:lang w:val="en-US" w:eastAsia="zh-CN"/>
        </w:rPr>
        <w:t>大石桥市哈大中路1号</w:t>
      </w:r>
      <w:r>
        <w:rPr>
          <w:rFonts w:hint="default" w:ascii="Times New Roman" w:hAnsi="Times New Roman" w:eastAsia="黑体" w:cs="Times New Roman"/>
          <w:color w:val="auto"/>
          <w:sz w:val="24"/>
          <w:szCs w:val="24"/>
          <w:highlight w:val="none"/>
          <w:u w:val="single"/>
        </w:rPr>
        <w:t xml:space="preserve"> </w:t>
      </w:r>
    </w:p>
    <w:p w14:paraId="6E6907B9">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邮    编：</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1ED84D06">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eastAsia" w:ascii="宋体" w:hAnsi="宋体" w:cs="宋体"/>
          <w:color w:val="000000"/>
          <w:sz w:val="24"/>
          <w:szCs w:val="24"/>
          <w:highlight w:val="none"/>
          <w:u w:val="single"/>
          <w:lang w:val="en-US" w:eastAsia="zh-CN"/>
        </w:rPr>
        <w:t>张立营</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25DA6804">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    话：</w:t>
      </w:r>
      <w:bookmarkStart w:id="45" w:name="_Toc300834928"/>
      <w:bookmarkStart w:id="46" w:name="_Toc247513933"/>
      <w:bookmarkStart w:id="47" w:name="_Toc247527534"/>
      <w:bookmarkStart w:id="48" w:name="_Toc3520"/>
      <w:bookmarkStart w:id="49" w:name="_Toc352691454"/>
      <w:bookmarkStart w:id="50" w:name="_Toc361508561"/>
      <w:bookmarkStart w:id="51" w:name="_Toc384308186"/>
      <w:bookmarkStart w:id="52" w:name="_Toc369531496"/>
      <w:r>
        <w:rPr>
          <w:rFonts w:hint="eastAsia" w:ascii="宋体" w:hAnsi="宋体" w:cs="宋体"/>
          <w:color w:val="000000"/>
          <w:sz w:val="24"/>
          <w:szCs w:val="24"/>
          <w:highlight w:val="none"/>
          <w:u w:val="single"/>
          <w:lang w:val="en-US" w:eastAsia="zh-CN"/>
        </w:rPr>
        <w:t>0417-5836236</w:t>
      </w:r>
      <w:r>
        <w:rPr>
          <w:rFonts w:hint="default" w:ascii="Times New Roman" w:hAnsi="Times New Roman" w:eastAsia="黑体" w:cs="Times New Roman"/>
          <w:color w:val="auto"/>
          <w:sz w:val="24"/>
          <w:szCs w:val="24"/>
          <w:highlight w:val="none"/>
          <w:u w:val="single"/>
        </w:rPr>
        <w:t xml:space="preserve">       </w:t>
      </w:r>
      <w:bookmarkEnd w:id="45"/>
      <w:bookmarkEnd w:id="46"/>
      <w:bookmarkEnd w:id="47"/>
      <w:bookmarkEnd w:id="48"/>
      <w:bookmarkEnd w:id="49"/>
      <w:bookmarkEnd w:id="50"/>
      <w:bookmarkEnd w:id="51"/>
      <w:bookmarkEnd w:id="52"/>
    </w:p>
    <w:p w14:paraId="40CE214C">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6D078580">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电子邮件：</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760FC0F2">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网    址：</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368CF387">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lang w:val="en-US" w:eastAsia="zh-CN"/>
        </w:rPr>
      </w:pPr>
    </w:p>
    <w:p w14:paraId="2BF5738F">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招标代理机构</w:t>
      </w:r>
      <w:r>
        <w:rPr>
          <w:rFonts w:hint="default" w:ascii="Times New Roman" w:hAnsi="Times New Roman" w:cs="Times New Roman"/>
          <w:color w:val="auto"/>
          <w:sz w:val="24"/>
          <w:szCs w:val="24"/>
          <w:highlight w:val="none"/>
        </w:rPr>
        <w:t>：</w:t>
      </w:r>
      <w:r>
        <w:rPr>
          <w:rFonts w:hint="eastAsia" w:ascii="宋体" w:hAnsi="宋体" w:cs="宋体"/>
          <w:color w:val="000000"/>
          <w:sz w:val="24"/>
          <w:szCs w:val="24"/>
          <w:highlight w:val="none"/>
          <w:u w:val="single"/>
          <w:lang w:val="en-US" w:eastAsia="zh-CN"/>
        </w:rPr>
        <w:t>辽宁润鑫亿鸿项目管理有限公司</w:t>
      </w:r>
    </w:p>
    <w:p w14:paraId="74524F37">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default" w:ascii="Times New Roman" w:hAnsi="Times New Roman" w:cs="Times New Roman"/>
          <w:color w:val="auto"/>
          <w:sz w:val="24"/>
          <w:szCs w:val="24"/>
          <w:highlight w:val="none"/>
          <w:u w:val="single"/>
        </w:rPr>
        <w:t>沈阳市铁西区建设东路35号假日国际大厦A座2110室</w:t>
      </w:r>
      <w:r>
        <w:rPr>
          <w:rFonts w:hint="default" w:ascii="Times New Roman" w:hAnsi="Times New Roman" w:eastAsia="黑体" w:cs="Times New Roman"/>
          <w:color w:val="auto"/>
          <w:sz w:val="24"/>
          <w:szCs w:val="24"/>
          <w:highlight w:val="none"/>
          <w:u w:val="single"/>
        </w:rPr>
        <w:t xml:space="preserve"> </w:t>
      </w:r>
    </w:p>
    <w:p w14:paraId="37B43B1C">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邮    编：</w:t>
      </w:r>
      <w:r>
        <w:rPr>
          <w:rFonts w:hint="eastAsia" w:ascii="宋体" w:hAnsi="宋体" w:cs="宋体"/>
          <w:color w:val="000000"/>
          <w:sz w:val="24"/>
          <w:szCs w:val="24"/>
          <w:highlight w:val="none"/>
          <w:u w:val="single"/>
          <w:lang w:val="en-US" w:eastAsia="zh-CN"/>
        </w:rPr>
        <w:t>110023</w:t>
      </w:r>
      <w:r>
        <w:rPr>
          <w:rFonts w:hint="default" w:ascii="Times New Roman" w:hAnsi="Times New Roman" w:eastAsia="黑体" w:cs="Times New Roman"/>
          <w:color w:val="auto"/>
          <w:sz w:val="24"/>
          <w:szCs w:val="24"/>
          <w:highlight w:val="none"/>
          <w:u w:val="single"/>
        </w:rPr>
        <w:t xml:space="preserve">            </w:t>
      </w:r>
    </w:p>
    <w:p w14:paraId="13E60AF1">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 系 人：</w:t>
      </w:r>
      <w:r>
        <w:rPr>
          <w:rFonts w:hint="eastAsia" w:ascii="宋体" w:hAnsi="宋体" w:eastAsia="宋体" w:cs="宋体"/>
          <w:color w:val="000000"/>
          <w:sz w:val="24"/>
          <w:szCs w:val="24"/>
          <w:highlight w:val="none"/>
          <w:u w:val="single"/>
          <w:lang w:val="en-US" w:eastAsia="zh-CN"/>
        </w:rPr>
        <w:t>吴冬梅</w:t>
      </w:r>
      <w:r>
        <w:rPr>
          <w:rFonts w:hint="default" w:ascii="宋体" w:hAnsi="宋体" w:eastAsia="宋体" w:cs="宋体"/>
          <w:color w:val="000000"/>
          <w:sz w:val="24"/>
          <w:szCs w:val="24"/>
          <w:highlight w:val="none"/>
          <w:u w:val="single"/>
          <w:lang w:val="en-US" w:eastAsia="zh-CN"/>
        </w:rPr>
        <w:t xml:space="preserve"> </w:t>
      </w:r>
      <w:r>
        <w:rPr>
          <w:rFonts w:hint="default" w:ascii="Times New Roman" w:hAnsi="Times New Roman" w:eastAsia="黑体" w:cs="Times New Roman"/>
          <w:color w:val="auto"/>
          <w:sz w:val="24"/>
          <w:szCs w:val="24"/>
          <w:highlight w:val="none"/>
          <w:u w:val="single"/>
        </w:rPr>
        <w:t xml:space="preserve">           </w:t>
      </w:r>
    </w:p>
    <w:p w14:paraId="089A7DC4">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    话：</w:t>
      </w:r>
      <w:r>
        <w:rPr>
          <w:rFonts w:hint="eastAsia" w:ascii="宋体" w:hAnsi="宋体" w:eastAsia="宋体" w:cs="宋体"/>
          <w:color w:val="000000"/>
          <w:sz w:val="24"/>
          <w:szCs w:val="24"/>
          <w:highlight w:val="none"/>
          <w:u w:val="single"/>
          <w:lang w:val="en-US" w:eastAsia="zh-CN"/>
        </w:rPr>
        <w:t>024-31084298</w:t>
      </w:r>
      <w:r>
        <w:rPr>
          <w:rFonts w:hint="default" w:ascii="Times New Roman" w:hAnsi="Times New Roman" w:eastAsia="黑体" w:cs="Times New Roman"/>
          <w:color w:val="auto"/>
          <w:sz w:val="24"/>
          <w:szCs w:val="24"/>
          <w:highlight w:val="none"/>
          <w:u w:val="single"/>
        </w:rPr>
        <w:t xml:space="preserve">       </w:t>
      </w:r>
    </w:p>
    <w:p w14:paraId="2B45DF53">
      <w:pPr>
        <w:pageBreakBefore w:val="0"/>
        <w:kinsoku/>
        <w:wordWrap w:val="0"/>
        <w:topLinePunct/>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p>
    <w:p w14:paraId="7527DC57">
      <w:pPr>
        <w:pageBreakBefore w:val="0"/>
        <w:kinsoku/>
        <w:wordWrap w:val="0"/>
        <w:topLinePunct/>
        <w:bidi w:val="0"/>
        <w:spacing w:line="400" w:lineRule="exact"/>
        <w:ind w:firstLine="480" w:firstLineChars="200"/>
        <w:rPr>
          <w:rFonts w:hint="default" w:ascii="Times New Roman" w:hAnsi="Times New Roman" w:eastAsia="黑体" w:cs="Times New Roman"/>
          <w:color w:val="auto"/>
          <w:sz w:val="24"/>
          <w:szCs w:val="24"/>
          <w:highlight w:val="none"/>
          <w:u w:val="single"/>
        </w:rPr>
      </w:pPr>
      <w:r>
        <w:rPr>
          <w:rFonts w:hint="default" w:ascii="Times New Roman" w:hAnsi="Times New Roman" w:cs="Times New Roman"/>
          <w:color w:val="auto"/>
          <w:sz w:val="24"/>
          <w:szCs w:val="24"/>
          <w:highlight w:val="none"/>
        </w:rPr>
        <w:t>电子邮件：</w:t>
      </w:r>
      <w:r>
        <w:rPr>
          <w:rFonts w:hint="default" w:ascii="Times New Roman" w:hAnsi="Times New Roman" w:cs="Times New Roman"/>
          <w:color w:val="auto"/>
          <w:sz w:val="24"/>
          <w:szCs w:val="24"/>
          <w:highlight w:val="none"/>
          <w:u w:val="single"/>
        </w:rPr>
        <w:t xml:space="preserve">lnjxyf@163.com </w:t>
      </w:r>
      <w:r>
        <w:rPr>
          <w:rFonts w:hint="default" w:ascii="Times New Roman" w:hAnsi="Times New Roman" w:eastAsia="黑体" w:cs="Times New Roman"/>
          <w:color w:val="auto"/>
          <w:sz w:val="24"/>
          <w:szCs w:val="24"/>
          <w:highlight w:val="none"/>
          <w:u w:val="single"/>
        </w:rPr>
        <w:t xml:space="preserve">   </w:t>
      </w:r>
    </w:p>
    <w:p w14:paraId="0FDCFD1A">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网    址：</w:t>
      </w:r>
      <w:r>
        <w:rPr>
          <w:rFonts w:hint="default" w:ascii="Times New Roman" w:hAnsi="Times New Roman" w:eastAsia="黑体" w:cs="Times New Roman"/>
          <w:color w:val="auto"/>
          <w:sz w:val="24"/>
          <w:szCs w:val="24"/>
          <w:highlight w:val="none"/>
          <w:u w:val="single"/>
        </w:rPr>
        <w:t xml:space="preserve">      </w:t>
      </w:r>
      <w:r>
        <w:rPr>
          <w:rFonts w:hint="eastAsia" w:eastAsia="黑体" w:cs="Times New Roman"/>
          <w:color w:val="auto"/>
          <w:sz w:val="24"/>
          <w:szCs w:val="24"/>
          <w:highlight w:val="none"/>
          <w:u w:val="single"/>
          <w:lang w:val="en-US" w:eastAsia="zh-CN"/>
        </w:rPr>
        <w:t>/</w:t>
      </w:r>
      <w:r>
        <w:rPr>
          <w:rFonts w:hint="default" w:ascii="Times New Roman" w:hAnsi="Times New Roman" w:eastAsia="黑体" w:cs="Times New Roman"/>
          <w:color w:val="auto"/>
          <w:sz w:val="24"/>
          <w:szCs w:val="24"/>
          <w:highlight w:val="none"/>
          <w:u w:val="single"/>
        </w:rPr>
        <w:t xml:space="preserve">             </w:t>
      </w:r>
      <w:r>
        <w:rPr>
          <w:rFonts w:hint="default" w:ascii="Times New Roman" w:hAnsi="Times New Roman" w:cs="Times New Roman"/>
          <w:color w:val="auto"/>
          <w:sz w:val="24"/>
          <w:highlight w:val="none"/>
        </w:rPr>
        <w:t xml:space="preserve">                                                     </w:t>
      </w:r>
    </w:p>
    <w:p w14:paraId="748183F3">
      <w:pPr>
        <w:pageBreakBefore w:val="0"/>
        <w:widowControl/>
        <w:kinsoku/>
        <w:wordWrap w:val="0"/>
        <w:bidi w:val="0"/>
        <w:ind w:firstLine="960" w:firstLineChars="400"/>
        <w:jc w:val="left"/>
        <w:rPr>
          <w:rFonts w:hint="default" w:ascii="Times New Roman" w:hAnsi="Times New Roman" w:cs="Times New Roman"/>
          <w:color w:val="auto"/>
          <w:sz w:val="24"/>
          <w:highlight w:val="none"/>
        </w:rPr>
        <w:sectPr>
          <w:headerReference r:id="rId15" w:type="default"/>
          <w:footerReference r:id="rId17" w:type="default"/>
          <w:headerReference r:id="rId16" w:type="even"/>
          <w:footerReference r:id="rId18"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r>
        <w:rPr>
          <w:rFonts w:hint="default" w:ascii="Times New Roman" w:hAnsi="Times New Roman" w:cs="Times New Roman"/>
          <w:color w:val="auto"/>
          <w:sz w:val="24"/>
          <w:highlight w:val="none"/>
        </w:rPr>
        <w:t>　　　　　　　　 　       　　　　　</w:t>
      </w:r>
      <w:r>
        <w:rPr>
          <w:rFonts w:hint="eastAsia" w:cs="Times New Roman"/>
          <w:color w:val="auto"/>
          <w:sz w:val="24"/>
          <w:highlight w:val="none"/>
          <w:u w:val="single"/>
          <w:lang w:val="en-US" w:eastAsia="zh-CN"/>
        </w:rPr>
        <w:t>2026</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CF4ACC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8FFDF8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5CC5B88F">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4DCBFEB9">
      <w:pPr>
        <w:pageBreakBefore w:val="0"/>
        <w:kinsoku/>
        <w:wordWrap w:val="0"/>
        <w:topLinePunct/>
        <w:bidi w:val="0"/>
        <w:spacing w:line="440" w:lineRule="exact"/>
        <w:ind w:right="31" w:rightChars="15"/>
        <w:rPr>
          <w:rFonts w:hint="default" w:ascii="Times New Roman" w:hAnsi="Times New Roman" w:eastAsia="黑体" w:cs="Times New Roman"/>
          <w:color w:val="auto"/>
          <w:sz w:val="29"/>
          <w:szCs w:val="29"/>
          <w:highlight w:val="none"/>
        </w:rPr>
      </w:pPr>
    </w:p>
    <w:p w14:paraId="559286E4">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38AEB80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6D841E8">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29"/>
          <w:szCs w:val="29"/>
          <w:highlight w:val="none"/>
        </w:rPr>
      </w:pPr>
    </w:p>
    <w:p w14:paraId="1CA6845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502DBDE">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53293682">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r>
        <w:rPr>
          <w:rFonts w:hint="default" w:ascii="Times New Roman" w:hAnsi="Times New Roman" w:eastAsia="黑体" w:cs="Times New Roman"/>
          <w:color w:val="auto"/>
          <w:sz w:val="56"/>
          <w:szCs w:val="56"/>
          <w:highlight w:val="none"/>
        </w:rPr>
        <w:t>第二章  投标人须知</w:t>
      </w:r>
    </w:p>
    <w:p w14:paraId="48702411">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pPr>
    </w:p>
    <w:p w14:paraId="48837A9A">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56"/>
          <w:szCs w:val="56"/>
          <w:highlight w:val="none"/>
        </w:rPr>
        <w:sectPr>
          <w:headerReference r:id="rId19" w:type="default"/>
          <w:footerReference r:id="rId21" w:type="default"/>
          <w:headerReference r:id="rId20" w:type="even"/>
          <w:footerReference r:id="rId22"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65E9556B">
      <w:pPr>
        <w:pageBreakBefore w:val="0"/>
        <w:kinsoku/>
        <w:wordWrap w:val="0"/>
        <w:bidi w:val="0"/>
        <w:spacing w:line="440" w:lineRule="exact"/>
        <w:jc w:val="center"/>
        <w:outlineLvl w:val="0"/>
        <w:rPr>
          <w:rStyle w:val="53"/>
          <w:rFonts w:hint="default" w:ascii="Times New Roman" w:hAnsi="Times New Roman" w:eastAsia="黑体" w:cs="Times New Roman"/>
          <w:color w:val="auto"/>
          <w:sz w:val="42"/>
          <w:szCs w:val="42"/>
          <w:highlight w:val="none"/>
        </w:rPr>
      </w:pPr>
      <w:bookmarkStart w:id="53" w:name="_Toc10289"/>
      <w:bookmarkStart w:id="54" w:name="_Toc9806"/>
      <w:bookmarkStart w:id="55" w:name="_Toc234832861"/>
      <w:bookmarkStart w:id="56" w:name="_Toc19741"/>
      <w:r>
        <w:rPr>
          <w:rStyle w:val="53"/>
          <w:rFonts w:hint="default" w:ascii="Times New Roman" w:hAnsi="Times New Roman" w:eastAsia="黑体" w:cs="Times New Roman"/>
          <w:color w:val="auto"/>
          <w:sz w:val="42"/>
          <w:szCs w:val="42"/>
          <w:highlight w:val="none"/>
        </w:rPr>
        <w:t>第二章  投标人须知</w:t>
      </w:r>
      <w:bookmarkEnd w:id="53"/>
      <w:bookmarkEnd w:id="54"/>
      <w:bookmarkEnd w:id="55"/>
      <w:bookmarkEnd w:id="56"/>
    </w:p>
    <w:p w14:paraId="047A5BB3">
      <w:pPr>
        <w:pStyle w:val="2"/>
        <w:pageBreakBefore w:val="0"/>
        <w:kinsoku/>
        <w:wordWrap w:val="0"/>
        <w:bidi w:val="0"/>
        <w:spacing w:before="240" w:after="240" w:line="240" w:lineRule="atLeast"/>
        <w:outlineLvl w:val="1"/>
        <w:rPr>
          <w:rFonts w:hint="default" w:ascii="Times New Roman" w:hAnsi="Times New Roman" w:eastAsia="黑体" w:cs="Times New Roman"/>
          <w:color w:val="auto"/>
          <w:sz w:val="28"/>
          <w:szCs w:val="28"/>
          <w:highlight w:val="none"/>
        </w:rPr>
      </w:pPr>
      <w:bookmarkStart w:id="57" w:name="_Toc29020"/>
      <w:bookmarkStart w:id="58" w:name="_Toc8928"/>
      <w:bookmarkStart w:id="59" w:name="_Toc20369"/>
      <w:bookmarkStart w:id="60" w:name="_Toc234832862"/>
      <w:r>
        <w:rPr>
          <w:rFonts w:hint="default" w:ascii="Times New Roman" w:hAnsi="Times New Roman" w:eastAsia="黑体" w:cs="Times New Roman"/>
          <w:color w:val="auto"/>
          <w:sz w:val="28"/>
          <w:szCs w:val="28"/>
          <w:highlight w:val="none"/>
        </w:rPr>
        <w:t>投标人须知前附表</w:t>
      </w:r>
      <w:r>
        <w:rPr>
          <w:rStyle w:val="47"/>
          <w:rFonts w:hint="default" w:ascii="Times New Roman" w:hAnsi="Times New Roman" w:eastAsia="黑体" w:cs="Times New Roman"/>
          <w:color w:val="auto"/>
          <w:sz w:val="28"/>
          <w:szCs w:val="28"/>
          <w:highlight w:val="none"/>
        </w:rPr>
        <w:footnoteReference w:id="5"/>
      </w:r>
      <w:bookmarkEnd w:id="57"/>
      <w:bookmarkEnd w:id="58"/>
      <w:bookmarkEnd w:id="59"/>
      <w:bookmarkEnd w:id="60"/>
    </w:p>
    <w:tbl>
      <w:tblPr>
        <w:tblStyle w:val="39"/>
        <w:tblW w:w="0" w:type="auto"/>
        <w:tblInd w:w="0" w:type="dxa"/>
        <w:tblLayout w:type="fixed"/>
        <w:tblCellMar>
          <w:top w:w="0" w:type="dxa"/>
          <w:left w:w="108" w:type="dxa"/>
          <w:bottom w:w="0" w:type="dxa"/>
          <w:right w:w="108" w:type="dxa"/>
        </w:tblCellMar>
      </w:tblPr>
      <w:tblGrid>
        <w:gridCol w:w="1036"/>
        <w:gridCol w:w="3101"/>
        <w:gridCol w:w="4867"/>
      </w:tblGrid>
      <w:tr w14:paraId="5525B28C">
        <w:tblPrEx>
          <w:tblCellMar>
            <w:top w:w="0" w:type="dxa"/>
            <w:left w:w="108" w:type="dxa"/>
            <w:bottom w:w="0" w:type="dxa"/>
            <w:right w:w="108" w:type="dxa"/>
          </w:tblCellMar>
        </w:tblPrEx>
        <w:trPr>
          <w:trHeight w:val="340" w:hRule="atLeast"/>
          <w:tblHeader/>
        </w:trPr>
        <w:tc>
          <w:tcPr>
            <w:tcW w:w="1036" w:type="dxa"/>
            <w:tcBorders>
              <w:top w:val="single" w:color="auto" w:sz="4" w:space="0"/>
              <w:left w:val="single" w:color="auto" w:sz="4" w:space="0"/>
              <w:bottom w:val="single" w:color="auto" w:sz="4" w:space="0"/>
              <w:right w:val="single" w:color="auto" w:sz="4" w:space="0"/>
            </w:tcBorders>
            <w:noWrap w:val="0"/>
            <w:vAlign w:val="center"/>
          </w:tcPr>
          <w:p w14:paraId="1D557085">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条款号</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9766A1E">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条  款  名  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3A7FA39">
            <w:pPr>
              <w:pageBreakBefore w:val="0"/>
              <w:kinsoku/>
              <w:wordWrap w:val="0"/>
              <w:bidi w:val="0"/>
              <w:spacing w:line="440" w:lineRule="exact"/>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编  列  内  容</w:t>
            </w:r>
          </w:p>
        </w:tc>
      </w:tr>
      <w:tr w14:paraId="4E895BB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D98685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885C6C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招标人</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844E869">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B4489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6F68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C5A1D0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招标代理机构</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A8E4169">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CA285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20FA89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DED3C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招标项目名称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135690F">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7C92AE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91477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5A1C8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标段建设地点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B2A82C5">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4862A7E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66B626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2323CF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资金来源及比例</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49D12B6">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BBC3E3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AC8A0A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1.2.2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7CFB58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资金落实情况</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C4BF00B">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6B0912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EF4B41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E25540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招标范围</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7F3ED51">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0F28689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EED933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EE47A8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计划工期</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C507577">
            <w:pP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1F2CBF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7403B1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1.3.3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980BB5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4652800">
            <w:pPr>
              <w:pStyle w:val="15"/>
              <w:pageBreakBefore w:val="0"/>
              <w:kinsoku/>
              <w:wordWrap w:val="0"/>
              <w:topLinePunct/>
              <w:bidi w:val="0"/>
              <w:spacing w:line="360" w:lineRule="atLeas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标段工程交工验收的质量评定：</w:t>
            </w:r>
            <w:r>
              <w:rPr>
                <w:rFonts w:hint="default" w:ascii="Times New Roman" w:hAnsi="Times New Roman" w:cs="Times New Roman"/>
                <w:sz w:val="24"/>
                <w:szCs w:val="24"/>
                <w:highlight w:val="none"/>
                <w:u w:val="single"/>
              </w:rPr>
              <w:t xml:space="preserve">合格  </w:t>
            </w:r>
          </w:p>
          <w:p w14:paraId="2F9128B5">
            <w:pPr>
              <w:pStyle w:val="15"/>
              <w:pageBreakBefore w:val="0"/>
              <w:kinsoku/>
              <w:wordWrap w:val="0"/>
              <w:topLinePunct/>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sz w:val="24"/>
                <w:szCs w:val="24"/>
                <w:highlight w:val="none"/>
              </w:rPr>
              <w:t>竣工验收的质量评定：</w:t>
            </w:r>
            <w:r>
              <w:rPr>
                <w:rFonts w:hint="default" w:ascii="Times New Roman" w:hAnsi="Times New Roman" w:cs="Times New Roman"/>
                <w:sz w:val="24"/>
                <w:szCs w:val="24"/>
                <w:highlight w:val="none"/>
                <w:u w:val="single"/>
              </w:rPr>
              <w:t xml:space="preserve">合格  </w:t>
            </w:r>
          </w:p>
        </w:tc>
      </w:tr>
      <w:tr w14:paraId="7B47F7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6A54CC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1.3.4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04DDED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安全目标</w:t>
            </w:r>
            <w:r>
              <w:rPr>
                <w:rStyle w:val="47"/>
                <w:rFonts w:hint="default" w:ascii="Times New Roman" w:hAnsi="Times New Roman" w:eastAsia="黑体" w:cs="Times New Roman"/>
                <w:color w:val="auto"/>
                <w:sz w:val="24"/>
                <w:szCs w:val="24"/>
                <w:highlight w:val="none"/>
              </w:rPr>
              <w:footnoteReference w:id="6"/>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817854B">
            <w:pPr>
              <w:pStyle w:val="15"/>
              <w:pageBreakBefore w:val="0"/>
              <w:numPr>
                <w:ilvl w:val="0"/>
                <w:numId w:val="0"/>
              </w:numPr>
              <w:kinsoku/>
              <w:wordWrap w:val="0"/>
              <w:topLinePunct/>
              <w:bidi w:val="0"/>
              <w:spacing w:line="360" w:lineRule="atLeast"/>
              <w:rPr>
                <w:rFonts w:hint="eastAsia" w:ascii="Times New Roman" w:cs="Times New Roman"/>
                <w:sz w:val="24"/>
                <w:szCs w:val="24"/>
                <w:highlight w:val="none"/>
                <w:lang w:val="en-US" w:eastAsia="zh-CN"/>
              </w:rPr>
            </w:pPr>
            <w:r>
              <w:rPr>
                <w:rFonts w:hint="eastAsia" w:ascii="Times New Roman" w:cs="Times New Roman"/>
                <w:sz w:val="24"/>
                <w:szCs w:val="24"/>
                <w:highlight w:val="none"/>
                <w:lang w:val="en-US" w:eastAsia="zh-CN"/>
              </w:rPr>
              <w:t>（1）安全生产“零死亡”；</w:t>
            </w:r>
          </w:p>
          <w:p w14:paraId="0646D0AA">
            <w:pPr>
              <w:pStyle w:val="15"/>
              <w:pageBreakBefore w:val="0"/>
              <w:numPr>
                <w:ilvl w:val="-1"/>
                <w:numId w:val="0"/>
              </w:numPr>
              <w:kinsoku/>
              <w:wordWrap w:val="0"/>
              <w:topLinePunct/>
              <w:bidi w:val="0"/>
              <w:spacing w:line="440" w:lineRule="exact"/>
              <w:rPr>
                <w:rFonts w:hint="default" w:ascii="Times New Roman" w:cs="Times New Roman"/>
                <w:color w:val="auto"/>
                <w:sz w:val="24"/>
                <w:szCs w:val="24"/>
                <w:highlight w:val="none"/>
                <w:lang w:val="en-US" w:eastAsia="zh-CN"/>
              </w:rPr>
            </w:pPr>
            <w:r>
              <w:rPr>
                <w:rFonts w:hint="eastAsia" w:ascii="Times New Roman" w:cs="Times New Roman"/>
                <w:sz w:val="24"/>
                <w:szCs w:val="24"/>
                <w:highlight w:val="none"/>
                <w:lang w:val="en-US" w:eastAsia="zh-CN"/>
              </w:rPr>
              <w:t>（2）其他：</w:t>
            </w:r>
            <w:r>
              <w:rPr>
                <w:rFonts w:hint="eastAsia" w:ascii="Times New Roman" w:cs="Times New Roman"/>
                <w:sz w:val="24"/>
                <w:szCs w:val="24"/>
                <w:highlight w:val="none"/>
                <w:u w:val="single"/>
                <w:lang w:val="en-US" w:eastAsia="zh-CN"/>
              </w:rPr>
              <w:t xml:space="preserve">    /        </w:t>
            </w:r>
          </w:p>
        </w:tc>
      </w:tr>
      <w:tr w14:paraId="3DFFC71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45F097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C30638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投标人资质条件、能力和信誉</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E7EFDA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资质要求：见</w:t>
            </w:r>
            <w:r>
              <w:rPr>
                <w:rFonts w:hint="default" w:ascii="Times New Roman" w:hAnsi="Times New Roman" w:eastAsia="黑体" w:cs="Times New Roman"/>
                <w:color w:val="auto"/>
                <w:sz w:val="24"/>
                <w:szCs w:val="24"/>
                <w:highlight w:val="none"/>
              </w:rPr>
              <w:t>附录1</w:t>
            </w:r>
          </w:p>
          <w:p w14:paraId="7B77EB4D">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财务要求：见</w:t>
            </w:r>
            <w:r>
              <w:rPr>
                <w:rFonts w:hint="default" w:ascii="Times New Roman" w:hAnsi="Times New Roman" w:eastAsia="黑体" w:cs="Times New Roman"/>
                <w:color w:val="auto"/>
                <w:sz w:val="24"/>
                <w:szCs w:val="24"/>
                <w:highlight w:val="none"/>
              </w:rPr>
              <w:t>附录2</w:t>
            </w:r>
          </w:p>
          <w:p w14:paraId="313858D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业绩要求：见</w:t>
            </w:r>
            <w:r>
              <w:rPr>
                <w:rFonts w:hint="default" w:ascii="Times New Roman" w:hAnsi="Times New Roman" w:eastAsia="黑体" w:cs="Times New Roman"/>
                <w:color w:val="auto"/>
                <w:sz w:val="24"/>
                <w:szCs w:val="24"/>
                <w:highlight w:val="none"/>
              </w:rPr>
              <w:t>附录3</w:t>
            </w:r>
          </w:p>
          <w:p w14:paraId="05BAA2C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信誉要求：见</w:t>
            </w:r>
            <w:r>
              <w:rPr>
                <w:rFonts w:hint="default" w:ascii="Times New Roman" w:hAnsi="Times New Roman" w:eastAsia="黑体" w:cs="Times New Roman"/>
                <w:color w:val="auto"/>
                <w:sz w:val="24"/>
                <w:szCs w:val="24"/>
                <w:highlight w:val="none"/>
              </w:rPr>
              <w:t>附录4</w:t>
            </w:r>
          </w:p>
          <w:p w14:paraId="5555C800">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项目经理和项目总工资格：见</w:t>
            </w:r>
            <w:r>
              <w:rPr>
                <w:rFonts w:hint="default" w:ascii="Times New Roman" w:hAnsi="Times New Roman" w:eastAsia="黑体" w:cs="Times New Roman"/>
                <w:color w:val="auto"/>
                <w:sz w:val="24"/>
                <w:szCs w:val="24"/>
                <w:highlight w:val="none"/>
              </w:rPr>
              <w:t>附录5</w:t>
            </w:r>
          </w:p>
          <w:p w14:paraId="56B1F652">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其他要求：</w:t>
            </w:r>
            <w:r>
              <w:rPr>
                <w:rStyle w:val="47"/>
                <w:rFonts w:hint="default" w:ascii="Times New Roman" w:hAnsi="Times New Roman" w:eastAsia="黑体" w:cs="Times New Roman"/>
                <w:color w:val="auto"/>
                <w:sz w:val="24"/>
                <w:szCs w:val="24"/>
                <w:highlight w:val="none"/>
              </w:rPr>
              <w:footnoteReference w:id="7"/>
            </w:r>
          </w:p>
        </w:tc>
      </w:tr>
      <w:tr w14:paraId="620F995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3F252B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6131086">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是否接受联合体投标</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000000"/>
                <w:sz w:val="24"/>
                <w:szCs w:val="24"/>
                <w:highlight w:val="none"/>
              </w:rPr>
            </w:pPr>
            <w:r>
              <w:rPr>
                <w:rFonts w:hint="eastAsia" w:cs="Times New Roman"/>
                <w:color w:val="000000"/>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1</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color w:val="000000"/>
                <w:sz w:val="24"/>
                <w:szCs w:val="24"/>
                <w:highlight w:val="none"/>
              </w:rPr>
              <w:t>不</w:t>
            </w:r>
            <w:r>
              <w:rPr>
                <w:rFonts w:hint="default" w:ascii="Times New Roman" w:hAnsi="Times New Roman" w:cs="Times New Roman"/>
                <w:sz w:val="24"/>
                <w:szCs w:val="24"/>
                <w:highlight w:val="none"/>
              </w:rPr>
              <w:t>接受</w:t>
            </w:r>
          </w:p>
          <w:p w14:paraId="3BC1E7AB">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s="Times New Roman"/>
                <w:sz w:val="24"/>
                <w:szCs w:val="24"/>
                <w:highlight w:val="none"/>
                <w:lang w:eastAsia="zh-CN"/>
              </w:rPr>
              <w:t>□</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lang w:val="en-US" w:eastAsia="zh-CN"/>
              </w:rPr>
              <w:t>标段，</w:t>
            </w:r>
            <w:r>
              <w:rPr>
                <w:rFonts w:hint="default" w:ascii="Times New Roman" w:hAnsi="Times New Roman" w:cs="Times New Roman"/>
                <w:sz w:val="24"/>
                <w:szCs w:val="24"/>
                <w:highlight w:val="none"/>
              </w:rPr>
              <w:t>接受，应满足下列要求：</w:t>
            </w:r>
          </w:p>
        </w:tc>
      </w:tr>
      <w:tr w14:paraId="4C50D71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C7E622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BF1A6D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投标人不得存在的其他关联情形</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71652E">
            <w:pPr>
              <w:pageBreakBefore w:val="0"/>
              <w:kinsoku/>
              <w:wordWrap w:val="0"/>
              <w:bidi w:val="0"/>
              <w:spacing w:line="360" w:lineRule="atLeast"/>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与招标人存在利害关系可能影响招标公正性的单位，不得参加投标。单位负责人为同一人或存在控股、管理关系的不同单位，不得参加同</w:t>
            </w:r>
            <w:r>
              <w:rPr>
                <w:rFonts w:hint="eastAsia" w:cs="Times New Roman"/>
                <w:sz w:val="24"/>
                <w:szCs w:val="24"/>
                <w:highlight w:val="none"/>
                <w:lang w:val="en-US" w:eastAsia="zh-CN"/>
              </w:rPr>
              <w:t>一标段</w:t>
            </w:r>
            <w:r>
              <w:rPr>
                <w:rFonts w:hint="eastAsia" w:ascii="Times New Roman" w:hAnsi="Times New Roman" w:eastAsia="宋体" w:cs="Times New Roman"/>
                <w:sz w:val="24"/>
                <w:szCs w:val="24"/>
                <w:highlight w:val="none"/>
                <w:lang w:val="en-US" w:eastAsia="zh-CN"/>
              </w:rPr>
              <w:t>投标，否则相关投标均无效。</w:t>
            </w:r>
          </w:p>
        </w:tc>
      </w:tr>
      <w:tr w14:paraId="39EE75A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82BA5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1.4.4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DE9F4B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投标人不得存在的其他不良状况或不良信用记录</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945D2">
            <w:pPr>
              <w:pageBreakBefore w:val="0"/>
              <w:kinsoku/>
              <w:wordWrap w:val="0"/>
              <w:bidi w:val="0"/>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1）被省级及以上交通运输主管部门取消招标项目所在地的投标资格且处于有效期内；（2）被责令停业，暂扣或吊销执照，或吊销资质证书；（3）进入清算程序，或被宣告破产，或其他丧失履约能力的情形；（4）在国家企业信用信息公示系统（http：//www.gsxt.gov.cn）中被列入严重违法失信企业名单；（5）在“信用中国”网站（http：//www.creditchina.gov.cn）中被列入失信被执行人名单；（6）投标人或其法定代表人、拟委任的项目经理在近三年内有行贿犯罪行为的；（7）法律法规规定的其他情形。</w:t>
            </w:r>
          </w:p>
        </w:tc>
      </w:tr>
      <w:tr w14:paraId="7E2AB666">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01F7BAF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1.10.2</w:t>
            </w:r>
          </w:p>
        </w:tc>
        <w:tc>
          <w:tcPr>
            <w:tcW w:w="3101" w:type="dxa"/>
            <w:vMerge w:val="restart"/>
            <w:tcBorders>
              <w:top w:val="single" w:color="auto" w:sz="4" w:space="0"/>
              <w:left w:val="single" w:color="auto" w:sz="4" w:space="0"/>
              <w:right w:val="single" w:color="auto" w:sz="4" w:space="0"/>
            </w:tcBorders>
            <w:noWrap w:val="0"/>
            <w:vAlign w:val="center"/>
          </w:tcPr>
          <w:p w14:paraId="78E2CC0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投标人在投标预备会前提出问题</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B6C4D9">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时间：</w:t>
            </w:r>
            <w:r>
              <w:rPr>
                <w:rFonts w:hint="eastAsia" w:cs="Times New Roman"/>
                <w:color w:val="auto"/>
                <w:sz w:val="24"/>
                <w:szCs w:val="24"/>
                <w:highlight w:val="none"/>
                <w:lang w:val="en-US" w:eastAsia="zh-CN"/>
              </w:rPr>
              <w:t>/</w:t>
            </w:r>
          </w:p>
        </w:tc>
      </w:tr>
      <w:tr w14:paraId="06BA87F4">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2FAB4984">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04C36145">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0C8A34">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形式：使用CA数字证书登录</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lang w:eastAsia="zh-CN"/>
              </w:rPr>
              <w:t>答疑澄清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菜单以书面形式将提出的问题送达招标人</w:t>
            </w:r>
          </w:p>
        </w:tc>
      </w:tr>
      <w:tr w14:paraId="58DAE83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60A1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1.11.1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200ECE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  包</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321693">
            <w:pPr>
              <w:pageBreakBefore w:val="0"/>
              <w:kinsoku/>
              <w:wordWrap w:val="0"/>
              <w:bidi w:val="0"/>
              <w:spacing w:line="360" w:lineRule="atLeast"/>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rPr>
              <w:t>不允许</w:t>
            </w:r>
          </w:p>
          <w:p w14:paraId="77A82F18">
            <w:pPr>
              <w:pStyle w:val="14"/>
              <w:pageBreakBefore w:val="0"/>
              <w:kinsoku/>
              <w:wordWrap w:val="0"/>
              <w:bidi w:val="0"/>
              <w:spacing w:line="360" w:lineRule="atLeast"/>
              <w:ind w:left="160" w:hanging="120" w:hangingChars="50"/>
              <w:jc w:val="both"/>
              <w:rPr>
                <w:rFonts w:hint="default" w:ascii="Times New Roman" w:hAnsi="Times New Roman" w:cs="Times New Roman"/>
                <w:sz w:val="24"/>
                <w:szCs w:val="24"/>
              </w:rPr>
            </w:pPr>
            <w:r>
              <w:rPr>
                <w:rFonts w:hint="default" w:ascii="Times New Roman" w:hAnsi="Times New Roman" w:cs="Times New Roman"/>
                <w:sz w:val="24"/>
                <w:szCs w:val="24"/>
              </w:rPr>
              <w:t>□允许，允许分包的专项工程（或不允许分包的专项工程）：</w:t>
            </w:r>
            <w:r>
              <w:rPr>
                <w:rFonts w:hint="default" w:ascii="Times New Roman" w:hAnsi="Times New Roman" w:cs="Times New Roman"/>
                <w:sz w:val="24"/>
                <w:szCs w:val="24"/>
                <w:u w:val="single"/>
              </w:rPr>
              <w:t xml:space="preserve">         </w:t>
            </w:r>
          </w:p>
          <w:p w14:paraId="4227F737">
            <w:pPr>
              <w:pStyle w:val="14"/>
              <w:pageBreakBefore w:val="0"/>
              <w:kinsoku/>
              <w:wordWrap w:val="0"/>
              <w:bidi w:val="0"/>
              <w:spacing w:line="360" w:lineRule="atLeast"/>
              <w:ind w:firstLine="120" w:firstLineChars="50"/>
              <w:jc w:val="both"/>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对分包人的资格要求：</w:t>
            </w:r>
            <w:r>
              <w:rPr>
                <w:rFonts w:hint="default" w:ascii="Times New Roman" w:hAnsi="Times New Roman" w:cs="Times New Roman"/>
                <w:sz w:val="24"/>
                <w:szCs w:val="24"/>
                <w:u w:val="single"/>
              </w:rPr>
              <w:t xml:space="preserve">         </w:t>
            </w:r>
          </w:p>
        </w:tc>
      </w:tr>
      <w:tr w14:paraId="50C2EE2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A1FED9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B44E00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构成招标文件的其他资料</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75538F">
            <w:pPr>
              <w:pageBreakBefore w:val="0"/>
              <w:kinsoku/>
              <w:wordWrap w:val="0"/>
              <w:bidi w:val="0"/>
              <w:spacing w:line="360" w:lineRule="atLeast"/>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4314300B">
        <w:tblPrEx>
          <w:tblCellMar>
            <w:top w:w="0" w:type="dxa"/>
            <w:left w:w="108" w:type="dxa"/>
            <w:bottom w:w="0" w:type="dxa"/>
            <w:right w:w="108" w:type="dxa"/>
          </w:tblCellMar>
        </w:tblPrEx>
        <w:trPr>
          <w:trHeight w:val="340" w:hRule="atLeast"/>
        </w:trPr>
        <w:tc>
          <w:tcPr>
            <w:tcW w:w="1036" w:type="dxa"/>
            <w:vMerge w:val="restart"/>
            <w:tcBorders>
              <w:top w:val="single" w:color="auto" w:sz="4" w:space="0"/>
              <w:left w:val="single" w:color="auto" w:sz="4" w:space="0"/>
              <w:right w:val="single" w:color="auto" w:sz="4" w:space="0"/>
            </w:tcBorders>
            <w:noWrap w:val="0"/>
            <w:vAlign w:val="center"/>
          </w:tcPr>
          <w:p w14:paraId="0A27F56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2.2.1</w:t>
            </w:r>
          </w:p>
        </w:tc>
        <w:tc>
          <w:tcPr>
            <w:tcW w:w="3101" w:type="dxa"/>
            <w:vMerge w:val="restart"/>
            <w:tcBorders>
              <w:top w:val="single" w:color="auto" w:sz="4" w:space="0"/>
              <w:left w:val="single" w:color="auto" w:sz="4" w:space="0"/>
              <w:right w:val="single" w:color="auto" w:sz="4" w:space="0"/>
            </w:tcBorders>
            <w:noWrap w:val="0"/>
            <w:vAlign w:val="center"/>
          </w:tcPr>
          <w:p w14:paraId="377CF16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投标人要求澄清招标文件</w:t>
            </w: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A4FC1C">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时间：递交投标文件截止之日</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10</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天前（以发出时间为准）</w:t>
            </w:r>
          </w:p>
        </w:tc>
      </w:tr>
      <w:tr w14:paraId="0FD59EE6">
        <w:tblPrEx>
          <w:tblCellMar>
            <w:top w:w="0" w:type="dxa"/>
            <w:left w:w="108" w:type="dxa"/>
            <w:bottom w:w="0" w:type="dxa"/>
            <w:right w:w="108" w:type="dxa"/>
          </w:tblCellMar>
        </w:tblPrEx>
        <w:trPr>
          <w:trHeight w:val="340" w:hRule="atLeast"/>
        </w:trPr>
        <w:tc>
          <w:tcPr>
            <w:tcW w:w="1036" w:type="dxa"/>
            <w:vMerge w:val="continue"/>
            <w:tcBorders>
              <w:left w:val="single" w:color="auto" w:sz="4" w:space="0"/>
              <w:bottom w:val="single" w:color="auto" w:sz="4" w:space="0"/>
              <w:right w:val="single" w:color="auto" w:sz="4" w:space="0"/>
            </w:tcBorders>
            <w:noWrap w:val="0"/>
            <w:vAlign w:val="center"/>
          </w:tcPr>
          <w:p w14:paraId="6DB1C808">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7187FEAE">
            <w:pPr>
              <w:pageBreakBefore w:val="0"/>
              <w:kinsoku/>
              <w:wordWrap w:val="0"/>
              <w:bidi w:val="0"/>
              <w:spacing w:line="440" w:lineRule="exact"/>
              <w:jc w:val="center"/>
              <w:rPr>
                <w:rFonts w:hint="default" w:ascii="Times New Roman" w:hAnsi="Times New Roman" w:cs="Times New Roman"/>
                <w:color w:val="auto"/>
                <w:sz w:val="24"/>
                <w:szCs w:val="24"/>
                <w:highlight w:val="none"/>
              </w:rPr>
            </w:pPr>
          </w:p>
        </w:tc>
        <w:tc>
          <w:tcPr>
            <w:tcW w:w="48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E60952">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形式：使用CA数字证书登录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eastAsia="zh-CN"/>
              </w:rPr>
              <w:t>答疑澄清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菜单以书面形式将提出的问题送达招标人</w:t>
            </w:r>
          </w:p>
        </w:tc>
      </w:tr>
      <w:tr w14:paraId="6C723EE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2832CB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F89870">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招标文件澄清发出的形式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5FAD505">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发出招标文件澄清</w:t>
            </w:r>
          </w:p>
        </w:tc>
      </w:tr>
      <w:tr w14:paraId="2A5AEFE8">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216ACD2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2.2.3</w:t>
            </w:r>
          </w:p>
        </w:tc>
        <w:tc>
          <w:tcPr>
            <w:tcW w:w="3101" w:type="dxa"/>
            <w:tcBorders>
              <w:top w:val="single" w:color="auto" w:sz="4" w:space="0"/>
              <w:left w:val="single" w:color="auto" w:sz="4" w:space="0"/>
              <w:right w:val="single" w:color="auto" w:sz="4" w:space="0"/>
            </w:tcBorders>
            <w:noWrap w:val="0"/>
            <w:vAlign w:val="center"/>
          </w:tcPr>
          <w:p w14:paraId="7FB2032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投标人确认收到招标文件澄清</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82EE4CF">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澄清</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387C2FF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4CA7C1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5972558">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招标文件修改发出的形式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95ADC98">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发出招标文件</w:t>
            </w:r>
            <w:r>
              <w:rPr>
                <w:rFonts w:hint="default" w:ascii="Times New Roman" w:hAnsi="Times New Roman" w:cs="Times New Roman"/>
                <w:color w:val="auto"/>
                <w:sz w:val="24"/>
                <w:szCs w:val="24"/>
                <w:highlight w:val="none"/>
                <w:lang w:val="en-US" w:eastAsia="zh-CN"/>
              </w:rPr>
              <w:t>修改</w:t>
            </w:r>
          </w:p>
        </w:tc>
      </w:tr>
      <w:tr w14:paraId="3C568692">
        <w:tblPrEx>
          <w:tblCellMar>
            <w:top w:w="0" w:type="dxa"/>
            <w:left w:w="108" w:type="dxa"/>
            <w:bottom w:w="0" w:type="dxa"/>
            <w:right w:w="108" w:type="dxa"/>
          </w:tblCellMar>
        </w:tblPrEx>
        <w:trPr>
          <w:trHeight w:val="720" w:hRule="atLeast"/>
        </w:trPr>
        <w:tc>
          <w:tcPr>
            <w:tcW w:w="1036" w:type="dxa"/>
            <w:tcBorders>
              <w:top w:val="single" w:color="auto" w:sz="4" w:space="0"/>
              <w:left w:val="single" w:color="auto" w:sz="4" w:space="0"/>
              <w:right w:val="single" w:color="auto" w:sz="4" w:space="0"/>
            </w:tcBorders>
            <w:noWrap w:val="0"/>
            <w:vAlign w:val="center"/>
          </w:tcPr>
          <w:p w14:paraId="007C2D2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2.3.2</w:t>
            </w:r>
          </w:p>
        </w:tc>
        <w:tc>
          <w:tcPr>
            <w:tcW w:w="3101" w:type="dxa"/>
            <w:tcBorders>
              <w:top w:val="single" w:color="auto" w:sz="4" w:space="0"/>
              <w:left w:val="single" w:color="auto" w:sz="4" w:space="0"/>
              <w:right w:val="single" w:color="auto" w:sz="4" w:space="0"/>
            </w:tcBorders>
            <w:noWrap w:val="0"/>
            <w:vAlign w:val="center"/>
          </w:tcPr>
          <w:p w14:paraId="2489000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投标人确认收到招标文件修改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47BF4CD">
            <w:pPr>
              <w:pageBreakBefore w:val="0"/>
              <w:kinsoku/>
              <w:wordWrap w:val="0"/>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招标文件</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通过</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发出完成即视为潜在投标人已收悉，无</w:t>
            </w:r>
            <w:r>
              <w:rPr>
                <w:rFonts w:hint="default" w:ascii="Times New Roman" w:hAnsi="Times New Roman" w:cs="Times New Roman"/>
                <w:color w:val="auto"/>
                <w:sz w:val="24"/>
                <w:szCs w:val="24"/>
                <w:highlight w:val="none"/>
                <w:lang w:val="en-US" w:eastAsia="zh-CN"/>
              </w:rPr>
              <w:t>需</w:t>
            </w:r>
            <w:r>
              <w:rPr>
                <w:rFonts w:hint="default" w:ascii="Times New Roman" w:hAnsi="Times New Roman" w:cs="Times New Roman"/>
                <w:color w:val="auto"/>
                <w:sz w:val="24"/>
                <w:szCs w:val="24"/>
                <w:highlight w:val="none"/>
              </w:rPr>
              <w:t>回函确认。</w:t>
            </w:r>
          </w:p>
        </w:tc>
      </w:tr>
      <w:tr w14:paraId="69A14A8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7AD3E8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487532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构成投标文件的其他资料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F853416">
            <w:pPr>
              <w:pageBreakBefore w:val="0"/>
              <w:kinsoku/>
              <w:wordWrap w:val="0"/>
              <w:bidi w:val="0"/>
              <w:spacing w:line="440" w:lineRule="exact"/>
              <w:rPr>
                <w:rFonts w:hint="default" w:ascii="Times New Roman" w:hAnsi="Times New Roman" w:cs="Times New Roman"/>
                <w:color w:val="auto"/>
                <w:sz w:val="24"/>
                <w:szCs w:val="24"/>
                <w:highlight w:val="none"/>
              </w:rPr>
            </w:pPr>
          </w:p>
        </w:tc>
      </w:tr>
      <w:tr w14:paraId="5141EFE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4EE87C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74D6D5B">
            <w:pPr>
              <w:pageBreakBefore w:val="0"/>
              <w:kinsoku/>
              <w:wordWrap w:val="0"/>
              <w:bidi w:val="0"/>
              <w:spacing w:line="440" w:lineRule="exact"/>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yellow"/>
              </w:rPr>
              <w:t>增值税税金的计算方法</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3461EB6">
            <w:pPr>
              <w:spacing w:line="440" w:lineRule="exact"/>
              <w:rPr>
                <w:rFonts w:hint="eastAsia" w:ascii="宋体" w:hAnsi="宋体" w:eastAsia="宋体" w:cs="宋体"/>
                <w:color w:val="auto"/>
                <w:sz w:val="24"/>
                <w:szCs w:val="24"/>
                <w:highlight w:val="yellow"/>
              </w:rPr>
            </w:pPr>
            <w:r>
              <w:rPr>
                <w:rFonts w:hint="eastAsia"/>
                <w:color w:val="auto"/>
                <w:sz w:val="24"/>
                <w:highlight w:val="yellow"/>
                <w:lang w:eastAsia="zh-CN"/>
              </w:rPr>
              <w:t>□</w:t>
            </w:r>
            <w:r>
              <w:rPr>
                <w:rFonts w:hint="eastAsia" w:ascii="宋体" w:hAnsi="宋体" w:eastAsia="宋体" w:cs="宋体"/>
                <w:color w:val="auto"/>
                <w:sz w:val="24"/>
                <w:szCs w:val="24"/>
                <w:highlight w:val="yellow"/>
              </w:rPr>
              <w:t xml:space="preserve"> 一般计税法</w:t>
            </w:r>
          </w:p>
          <w:p w14:paraId="19E99B92">
            <w:pPr>
              <w:spacing w:line="440" w:lineRule="exact"/>
              <w:rPr>
                <w:rFonts w:hint="eastAsia" w:ascii="宋体" w:hAnsi="宋体" w:eastAsia="宋体" w:cs="宋体"/>
                <w:color w:val="auto"/>
                <w:sz w:val="24"/>
                <w:szCs w:val="24"/>
                <w:highlight w:val="yellow"/>
              </w:rPr>
            </w:pPr>
            <w:r>
              <w:rPr>
                <w:rFonts w:hint="eastAsia"/>
                <w:color w:val="auto"/>
                <w:sz w:val="24"/>
                <w:highlight w:val="yellow"/>
                <w:lang w:eastAsia="zh-CN"/>
              </w:rPr>
              <w:t>□</w:t>
            </w:r>
            <w:r>
              <w:rPr>
                <w:rFonts w:hint="eastAsia" w:ascii="宋体" w:hAnsi="宋体" w:eastAsia="宋体" w:cs="宋体"/>
                <w:color w:val="auto"/>
                <w:sz w:val="24"/>
                <w:szCs w:val="24"/>
                <w:highlight w:val="yellow"/>
              </w:rPr>
              <w:t xml:space="preserve"> 简易计税法</w:t>
            </w:r>
          </w:p>
          <w:p w14:paraId="5C4FEE46">
            <w:pPr>
              <w:spacing w:line="440" w:lineRule="exact"/>
              <w:rPr>
                <w:rFonts w:hint="eastAsia" w:ascii="宋体" w:hAnsi="宋体" w:eastAsia="宋体" w:cs="宋体"/>
                <w:color w:val="auto"/>
                <w:sz w:val="24"/>
                <w:szCs w:val="24"/>
                <w:highlight w:val="yellow"/>
              </w:rPr>
            </w:pPr>
            <w:r>
              <w:rPr>
                <w:rFonts w:hint="eastAsia"/>
                <w:color w:val="auto"/>
                <w:sz w:val="24"/>
                <w:highlight w:val="yellow"/>
                <w:lang w:eastAsia="zh-CN"/>
              </w:rPr>
              <w:t>□</w:t>
            </w:r>
            <w:r>
              <w:rPr>
                <w:rFonts w:hint="eastAsia" w:ascii="宋体" w:hAnsi="宋体" w:eastAsia="宋体" w:cs="宋体"/>
                <w:color w:val="auto"/>
                <w:sz w:val="24"/>
                <w:szCs w:val="24"/>
                <w:highlight w:val="yellow"/>
              </w:rPr>
              <w:t xml:space="preserve"> 扣缴计税法</w:t>
            </w:r>
          </w:p>
          <w:p w14:paraId="68F9C27B">
            <w:pPr>
              <w:pageBreakBefore w:val="0"/>
              <w:kinsoku/>
              <w:wordWrap w:val="0"/>
              <w:bidi w:val="0"/>
              <w:spacing w:line="440" w:lineRule="exact"/>
              <w:ind w:left="460" w:hanging="480" w:hangingChars="200"/>
              <w:rPr>
                <w:rFonts w:hint="default" w:ascii="Times New Roman" w:hAnsi="Times New Roman" w:cs="Times New Roman"/>
                <w:color w:val="auto"/>
                <w:spacing w:val="10"/>
                <w:sz w:val="24"/>
                <w:szCs w:val="24"/>
                <w:highlight w:val="yellow"/>
                <w:bdr w:val="single" w:color="auto" w:sz="4" w:space="0"/>
              </w:rPr>
            </w:pPr>
            <w:r>
              <w:rPr>
                <w:rFonts w:hint="eastAsia"/>
                <w:color w:val="auto"/>
                <w:sz w:val="24"/>
                <w:highlight w:val="yellow"/>
                <w:lang w:eastAsia="zh-CN"/>
              </w:rPr>
              <w:t>□</w:t>
            </w:r>
            <w:r>
              <w:rPr>
                <w:rFonts w:hint="eastAsia" w:ascii="宋体" w:hAnsi="宋体" w:eastAsia="宋体" w:cs="宋体"/>
                <w:color w:val="auto"/>
                <w:sz w:val="24"/>
                <w:szCs w:val="24"/>
                <w:highlight w:val="yellow"/>
              </w:rPr>
              <w:t xml:space="preserve"> 其他</w:t>
            </w:r>
            <w:r>
              <w:rPr>
                <w:rFonts w:hint="eastAsia" w:ascii="宋体" w:hAnsi="宋体" w:eastAsia="宋体" w:cs="宋体"/>
                <w:color w:val="auto"/>
                <w:sz w:val="24"/>
                <w:szCs w:val="24"/>
                <w:highlight w:val="yellow"/>
                <w:u w:val="single"/>
              </w:rPr>
              <w:t xml:space="preserve">      </w:t>
            </w:r>
            <w:r>
              <w:rPr>
                <w:rFonts w:hint="eastAsia" w:ascii="宋体" w:hAnsi="宋体" w:eastAsia="宋体" w:cs="宋体"/>
                <w:color w:val="auto"/>
                <w:sz w:val="24"/>
                <w:szCs w:val="24"/>
                <w:highlight w:val="yellow"/>
              </w:rPr>
              <w:t>计税法</w:t>
            </w:r>
          </w:p>
        </w:tc>
      </w:tr>
      <w:tr w14:paraId="42E2F8A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24FDB4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A40335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工程量清单的填写方式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E78D9F7">
            <w:pPr>
              <w:pageBreakBefore w:val="0"/>
              <w:kinsoku/>
              <w:wordWrap w:val="0"/>
              <w:bidi w:val="0"/>
              <w:spacing w:line="440" w:lineRule="exact"/>
              <w:ind w:left="160" w:hanging="120" w:hangingChars="50"/>
              <w:rPr>
                <w:rFonts w:hint="default" w:ascii="Times New Roman" w:hAnsi="Times New Roman" w:cs="Times New Roman"/>
                <w:color w:val="auto"/>
                <w:sz w:val="24"/>
                <w:szCs w:val="24"/>
                <w:highlight w:val="none"/>
                <w:u w:val="single"/>
                <w:lang w:val="en-US"/>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投标人按照招标人提供的工程量清单电子文件填写工程量清单，下载网站：</w:t>
            </w:r>
            <w:r>
              <w:rPr>
                <w:rFonts w:hint="default" w:ascii="Times New Roman" w:hAnsi="Times New Roman" w:cs="Times New Roman"/>
                <w:color w:val="auto"/>
                <w:sz w:val="24"/>
                <w:szCs w:val="24"/>
                <w:highlight w:val="none"/>
                <w:u w:val="single"/>
              </w:rPr>
              <w:t xml:space="preserve"> 通过</w:t>
            </w:r>
            <w:r>
              <w:rPr>
                <w:rFonts w:hint="eastAsia" w:ascii="宋体" w:hAnsi="宋体" w:eastAsia="宋体" w:cs="宋体"/>
                <w:color w:val="auto"/>
                <w:sz w:val="24"/>
                <w:szCs w:val="24"/>
                <w:highlight w:val="none"/>
                <w:u w:val="single"/>
              </w:rPr>
              <w:t>“</w:t>
            </w:r>
            <w:r>
              <w:rPr>
                <w:rFonts w:hint="eastAsia" w:cs="Times New Roman"/>
                <w:color w:val="auto"/>
                <w:sz w:val="24"/>
                <w:szCs w:val="24"/>
                <w:highlight w:val="none"/>
                <w:u w:val="single"/>
                <w:lang w:eastAsia="zh-CN"/>
              </w:rPr>
              <w:t>电子交易平台</w:t>
            </w:r>
            <w:r>
              <w:rPr>
                <w:rFonts w:hint="eastAsia" w:ascii="宋体" w:hAnsi="宋体" w:eastAsia="宋体" w:cs="宋体"/>
                <w:color w:val="auto"/>
                <w:sz w:val="24"/>
                <w:szCs w:val="24"/>
                <w:highlight w:val="none"/>
                <w:u w:val="single"/>
              </w:rPr>
              <w:t>”</w:t>
            </w:r>
            <w:r>
              <w:rPr>
                <w:rFonts w:hint="default" w:ascii="Times New Roman" w:hAnsi="Times New Roman" w:cs="Times New Roman"/>
                <w:color w:val="auto"/>
                <w:sz w:val="24"/>
                <w:szCs w:val="24"/>
                <w:highlight w:val="none"/>
                <w:u w:val="single"/>
              </w:rPr>
              <w:t>发出</w:t>
            </w:r>
          </w:p>
        </w:tc>
      </w:tr>
      <w:tr w14:paraId="2D632EB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154104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3.2.3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C3A4020">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报价方式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9EEC2BF">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单价</w:t>
            </w:r>
          </w:p>
          <w:p w14:paraId="134DCE89">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总价</w:t>
            </w:r>
          </w:p>
        </w:tc>
      </w:tr>
      <w:tr w14:paraId="40EEEFB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F055FBB">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2AD9A98">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最高投标限价</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B58AAA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5BC5303B">
            <w:pPr>
              <w:pageBreakBefore w:val="0"/>
              <w:kinsoku/>
              <w:wordWrap w:val="0"/>
              <w:bidi w:val="0"/>
              <w:spacing w:line="440" w:lineRule="exact"/>
              <w:rPr>
                <w:rFonts w:hint="default" w:ascii="Times New Roman" w:hAnsi="Times New Roman" w:eastAsia="宋体"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w:t>
            </w:r>
            <w:r>
              <w:rPr>
                <w:rFonts w:hint="default" w:ascii="Times New Roman" w:hAnsi="Times New Roman" w:cs="Times New Roman"/>
                <w:color w:val="auto"/>
                <w:sz w:val="24"/>
                <w:szCs w:val="24"/>
                <w:highlight w:val="yellow"/>
              </w:rPr>
              <w:t>最高投标限价：</w:t>
            </w:r>
            <w:r>
              <w:rPr>
                <w:rFonts w:hint="default" w:ascii="Times New Roman" w:hAnsi="Times New Roman" w:cs="Times New Roman"/>
                <w:color w:val="auto"/>
                <w:sz w:val="24"/>
                <w:szCs w:val="24"/>
                <w:highlight w:val="yellow"/>
                <w:lang w:val="en-US" w:eastAsia="zh-CN"/>
              </w:rPr>
              <w:t>818</w:t>
            </w:r>
            <w:r>
              <w:rPr>
                <w:rFonts w:hint="eastAsia" w:cs="Times New Roman"/>
                <w:color w:val="auto"/>
                <w:sz w:val="24"/>
                <w:szCs w:val="24"/>
                <w:highlight w:val="yellow"/>
                <w:lang w:val="en-US" w:eastAsia="zh-CN"/>
              </w:rPr>
              <w:t>.</w:t>
            </w:r>
            <w:r>
              <w:rPr>
                <w:rFonts w:hint="default" w:ascii="Times New Roman" w:hAnsi="Times New Roman" w:cs="Times New Roman"/>
                <w:color w:val="auto"/>
                <w:sz w:val="24"/>
                <w:szCs w:val="24"/>
                <w:highlight w:val="yellow"/>
                <w:lang w:val="en-US" w:eastAsia="zh-CN"/>
              </w:rPr>
              <w:t>4876</w:t>
            </w:r>
            <w:r>
              <w:rPr>
                <w:rFonts w:hint="eastAsia" w:cs="Times New Roman"/>
                <w:color w:val="auto"/>
                <w:sz w:val="24"/>
                <w:szCs w:val="24"/>
                <w:highlight w:val="yellow"/>
                <w:lang w:val="en-US" w:eastAsia="zh-CN"/>
              </w:rPr>
              <w:t>万元（含预留金50万元）</w:t>
            </w:r>
          </w:p>
          <w:p w14:paraId="775B64F8">
            <w:pPr>
              <w:pStyle w:val="15"/>
              <w:pageBreakBefore w:val="0"/>
              <w:kinsoku/>
              <w:wordWrap w:val="0"/>
              <w:overflowPunct/>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有，最高投标限价以补遗书的形式通过</w:t>
            </w:r>
            <w:r>
              <w:rPr>
                <w:rFonts w:hint="eastAsia" w:ascii="宋体" w:hAnsi="宋体" w:eastAsia="宋体" w:cs="宋体"/>
                <w:color w:val="auto"/>
                <w:sz w:val="24"/>
                <w:szCs w:val="24"/>
                <w:highlight w:val="none"/>
              </w:rPr>
              <w:t>“</w:t>
            </w:r>
            <w:r>
              <w:rPr>
                <w:rFonts w:hint="eastAsia" w:ascii="Times New Roman"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发布</w:t>
            </w:r>
          </w:p>
        </w:tc>
      </w:tr>
      <w:tr w14:paraId="754848B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9DE04C0">
            <w:pPr>
              <w:pageBreakBefore w:val="0"/>
              <w:kinsoku/>
              <w:wordWrap w:val="0"/>
              <w:bidi w:val="0"/>
              <w:spacing w:line="44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3.2.</w:t>
            </w:r>
            <w:r>
              <w:rPr>
                <w:rFonts w:hint="eastAsia" w:cs="Times New Roman"/>
                <w:color w:val="auto"/>
                <w:sz w:val="24"/>
                <w:szCs w:val="24"/>
                <w:highlight w:val="none"/>
                <w:lang w:val="en-US" w:eastAsia="zh-CN"/>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3852EB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投标报价的其他要求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0A3025B">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sz w:val="24"/>
                <w:szCs w:val="24"/>
                <w:highlight w:val="none"/>
              </w:rPr>
              <w:t>详见本投标人须知前附表中补充的其他内容及工程量清单编制说明</w:t>
            </w:r>
          </w:p>
        </w:tc>
      </w:tr>
      <w:tr w14:paraId="412CF0A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D2B37B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F13450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投标有效期</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9116EFB">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cs="Times New Roman"/>
                <w:sz w:val="24"/>
                <w:szCs w:val="24"/>
              </w:rPr>
              <w:t>自投标人提交投标文件截止之日起计算</w:t>
            </w:r>
            <w:r>
              <w:rPr>
                <w:rFonts w:hint="default" w:ascii="Times New Roman" w:hAnsi="Times New Roman" w:cs="Times New Roman"/>
                <w:sz w:val="24"/>
                <w:szCs w:val="24"/>
                <w:u w:val="single"/>
              </w:rPr>
              <w:t xml:space="preserve"> </w:t>
            </w:r>
            <w:r>
              <w:rPr>
                <w:rFonts w:hint="eastAsia" w:cs="Times New Roman"/>
                <w:sz w:val="24"/>
                <w:szCs w:val="24"/>
                <w:u w:val="single"/>
                <w:lang w:val="en-US" w:eastAsia="zh-CN"/>
              </w:rPr>
              <w:t>90</w:t>
            </w:r>
            <w:r>
              <w:rPr>
                <w:rFonts w:hint="default" w:ascii="Times New Roman" w:hAnsi="Times New Roman" w:cs="Times New Roman"/>
                <w:sz w:val="24"/>
                <w:szCs w:val="24"/>
              </w:rPr>
              <w:t>日</w:t>
            </w:r>
          </w:p>
        </w:tc>
      </w:tr>
      <w:tr w14:paraId="33D976F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93DDA2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E673530">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投标保证金</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6CB215D6">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是否要求投标人递交投标保证金：</w:t>
            </w:r>
          </w:p>
          <w:p w14:paraId="1E7F4CFA">
            <w:pPr>
              <w:pStyle w:val="15"/>
              <w:topLinePunct/>
              <w:spacing w:line="440" w:lineRule="exact"/>
              <w:rPr>
                <w:rFonts w:hint="default" w:ascii="Times New Roman" w:hAnsi="Times New Roman" w:cs="Times New Roman"/>
                <w:color w:val="auto"/>
                <w:sz w:val="24"/>
                <w:szCs w:val="24"/>
                <w:highlight w:val="none"/>
                <w:lang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w:t>
            </w:r>
            <w:r>
              <w:rPr>
                <w:rFonts w:hint="default" w:ascii="Times New Roman" w:hAnsi="Times New Roman" w:cs="Times New Roman"/>
                <w:color w:val="auto"/>
                <w:sz w:val="24"/>
                <w:szCs w:val="24"/>
                <w:highlight w:val="none"/>
                <w:lang w:eastAsia="zh-CN"/>
              </w:rPr>
              <w:t>：</w:t>
            </w:r>
          </w:p>
          <w:p w14:paraId="0CE868F4">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投标保证金的金额：</w:t>
            </w:r>
            <w:r>
              <w:rPr>
                <w:rFonts w:hint="eastAsia" w:ascii="Times New Roman" w:cs="Times New Roman"/>
                <w:color w:val="auto"/>
                <w:sz w:val="24"/>
                <w:szCs w:val="24"/>
                <w:highlight w:val="yellow"/>
                <w:u w:val="single"/>
                <w:lang w:val="en-US" w:eastAsia="zh-CN"/>
              </w:rPr>
              <w:t>80000.00元</w:t>
            </w:r>
            <w:r>
              <w:rPr>
                <w:rStyle w:val="47"/>
                <w:rFonts w:hint="default" w:ascii="Times New Roman" w:hAnsi="Times New Roman" w:cs="Times New Roman"/>
                <w:color w:val="auto"/>
                <w:sz w:val="24"/>
                <w:szCs w:val="24"/>
                <w:highlight w:val="none"/>
              </w:rPr>
              <w:footnoteReference w:id="8"/>
            </w:r>
            <w:r>
              <w:rPr>
                <w:rFonts w:hint="default" w:ascii="Times New Roman" w:hAnsi="Times New Roman" w:cs="Times New Roman"/>
                <w:color w:val="auto"/>
                <w:sz w:val="24"/>
                <w:szCs w:val="24"/>
                <w:highlight w:val="none"/>
              </w:rPr>
              <w:t xml:space="preserve"> </w:t>
            </w:r>
          </w:p>
          <w:p w14:paraId="2482C74F">
            <w:pPr>
              <w:pStyle w:val="15"/>
              <w:topLinePunct/>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投标保证金</w:t>
            </w:r>
            <w:r>
              <w:rPr>
                <w:rFonts w:hint="default" w:ascii="Times New Roman" w:hAnsi="Times New Roman" w:cs="Times New Roman"/>
                <w:color w:val="auto"/>
                <w:sz w:val="24"/>
                <w:szCs w:val="24"/>
                <w:highlight w:val="none"/>
                <w:lang w:eastAsia="zh-CN"/>
              </w:rPr>
              <w:t>的</w:t>
            </w:r>
            <w:r>
              <w:rPr>
                <w:rFonts w:hint="default" w:ascii="Times New Roman" w:hAnsi="Times New Roman" w:cs="Times New Roman"/>
                <w:color w:val="auto"/>
                <w:sz w:val="24"/>
                <w:szCs w:val="24"/>
                <w:highlight w:val="none"/>
              </w:rPr>
              <w:t>形式</w:t>
            </w:r>
            <w:r>
              <w:rPr>
                <w:rStyle w:val="47"/>
                <w:rFonts w:hint="default" w:ascii="Times New Roman" w:hAnsi="Times New Roman" w:cs="Times New Roman"/>
                <w:color w:val="auto"/>
                <w:sz w:val="24"/>
                <w:szCs w:val="24"/>
                <w:highlight w:val="none"/>
              </w:rPr>
              <w:footnoteReference w:id="9"/>
            </w:r>
          </w:p>
          <w:p w14:paraId="1A82FE7E">
            <w:pPr>
              <w:keepNext w:val="0"/>
              <w:keepLines w:val="0"/>
              <w:pageBreakBefore w:val="0"/>
              <w:widowControl w:val="0"/>
              <w:kinsoku/>
              <w:wordWrap/>
              <w:overflow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采用现金（银行电汇或网银转账或转账支票）形式：</w:t>
            </w:r>
          </w:p>
          <w:p w14:paraId="663B2717">
            <w:pPr>
              <w:keepNext w:val="0"/>
              <w:keepLines w:val="0"/>
              <w:pageBreakBefore w:val="0"/>
              <w:widowControl w:val="0"/>
              <w:kinsoku/>
              <w:wordWrap/>
              <w:overflowPunct/>
              <w:autoSpaceDE/>
              <w:autoSpaceDN/>
              <w:bidi w:val="0"/>
              <w:adjustRightInd/>
              <w:snapToGrid/>
              <w:spacing w:line="440" w:lineRule="exact"/>
              <w:ind w:firstLine="240" w:firstLineChars="100"/>
              <w:textAlignment w:val="auto"/>
              <w:rPr>
                <w:rFonts w:hint="default" w:ascii="Times New Roman" w:hAnsi="Times New Roman" w:eastAsia="黑体" w:cs="Times New Roman"/>
                <w:bCs/>
                <w:i/>
                <w:iCs/>
                <w:color w:val="auto"/>
                <w:sz w:val="24"/>
                <w:szCs w:val="24"/>
                <w:highlight w:val="none"/>
              </w:rPr>
            </w:pPr>
            <w:r>
              <w:rPr>
                <w:rFonts w:hint="default" w:ascii="Times New Roman" w:hAnsi="Times New Roman" w:cs="Times New Roman"/>
                <w:color w:val="auto"/>
                <w:sz w:val="24"/>
                <w:szCs w:val="24"/>
                <w:highlight w:val="none"/>
              </w:rPr>
              <w:t>招标人指定的开户银行及账号如下：</w:t>
            </w:r>
          </w:p>
          <w:p w14:paraId="70AFFEE5">
            <w:pPr>
              <w:keepNext w:val="0"/>
              <w:keepLines w:val="0"/>
              <w:pageBreakBefore w:val="0"/>
              <w:widowControl w:val="0"/>
              <w:kinsoku/>
              <w:wordWrap/>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开户银行：</w:t>
            </w:r>
            <w:r>
              <w:rPr>
                <w:rFonts w:hint="default" w:ascii="Times New Roman" w:hAnsi="Times New Roman" w:cs="Times New Roman"/>
                <w:color w:val="auto"/>
                <w:sz w:val="24"/>
                <w:szCs w:val="24"/>
                <w:highlight w:val="none"/>
                <w:u w:val="single"/>
                <w:lang w:eastAsia="zh-CN"/>
              </w:rPr>
              <w:t>中国农业银行沈阳建设大路支行</w:t>
            </w:r>
          </w:p>
          <w:p w14:paraId="5758FDEB">
            <w:pPr>
              <w:keepNext w:val="0"/>
              <w:keepLines w:val="0"/>
              <w:pageBreakBefore w:val="0"/>
              <w:widowControl w:val="0"/>
              <w:kinsoku/>
              <w:wordWrap/>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账户名称：</w:t>
            </w:r>
            <w:r>
              <w:rPr>
                <w:rFonts w:hint="default" w:ascii="Times New Roman" w:hAnsi="Times New Roman" w:cs="Times New Roman"/>
                <w:color w:val="auto"/>
                <w:sz w:val="24"/>
                <w:szCs w:val="24"/>
                <w:highlight w:val="none"/>
                <w:u w:val="single"/>
                <w:lang w:eastAsia="zh-CN"/>
              </w:rPr>
              <w:t>辽宁</w:t>
            </w:r>
            <w:r>
              <w:rPr>
                <w:rFonts w:hint="default" w:ascii="Times New Roman" w:hAnsi="Times New Roman" w:cs="Times New Roman"/>
                <w:color w:val="auto"/>
                <w:sz w:val="24"/>
                <w:szCs w:val="24"/>
                <w:highlight w:val="none"/>
                <w:u w:val="single"/>
                <w:lang w:val="en-US" w:eastAsia="zh-CN"/>
              </w:rPr>
              <w:t>润鑫亿鸿</w:t>
            </w:r>
            <w:r>
              <w:rPr>
                <w:rFonts w:hint="default" w:ascii="Times New Roman" w:hAnsi="Times New Roman" w:cs="Times New Roman"/>
                <w:color w:val="auto"/>
                <w:sz w:val="24"/>
                <w:szCs w:val="24"/>
                <w:highlight w:val="none"/>
                <w:u w:val="single"/>
                <w:lang w:eastAsia="zh-CN"/>
              </w:rPr>
              <w:t>项目管理有限公司</w:t>
            </w:r>
          </w:p>
          <w:p w14:paraId="5AF3A010">
            <w:pPr>
              <w:keepNext w:val="0"/>
              <w:keepLines w:val="0"/>
              <w:pageBreakBefore w:val="0"/>
              <w:widowControl w:val="0"/>
              <w:kinsoku/>
              <w:wordWrap/>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single"/>
              </w:rPr>
              <w:t>账    号：</w:t>
            </w:r>
            <w:r>
              <w:rPr>
                <w:rFonts w:hint="default" w:ascii="Times New Roman" w:hAnsi="Times New Roman" w:cs="Times New Roman"/>
                <w:color w:val="auto"/>
                <w:sz w:val="24"/>
                <w:szCs w:val="24"/>
                <w:highlight w:val="none"/>
                <w:u w:val="single"/>
                <w:lang w:val="en-US" w:eastAsia="zh-CN"/>
              </w:rPr>
              <w:t>06136301040000316</w:t>
            </w:r>
          </w:p>
          <w:p w14:paraId="45ECC0DD">
            <w:pPr>
              <w:keepNext w:val="0"/>
              <w:keepLines w:val="0"/>
              <w:pageBreakBefore w:val="0"/>
              <w:widowControl w:val="0"/>
              <w:kinsoku/>
              <w:wordWrap/>
              <w:overflow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为确保在</w:t>
            </w:r>
            <w:r>
              <w:rPr>
                <w:rFonts w:hint="default" w:ascii="Times New Roman" w:hAnsi="Times New Roman" w:cs="Times New Roman"/>
                <w:color w:val="auto"/>
                <w:sz w:val="24"/>
                <w:szCs w:val="24"/>
                <w:highlight w:val="none"/>
                <w:lang w:val="en-US" w:eastAsia="zh-CN"/>
              </w:rPr>
              <w:t>规定</w:t>
            </w:r>
            <w:r>
              <w:rPr>
                <w:rFonts w:hint="default" w:ascii="Times New Roman" w:hAnsi="Times New Roman" w:cs="Times New Roman"/>
                <w:color w:val="auto"/>
                <w:sz w:val="24"/>
                <w:szCs w:val="24"/>
                <w:highlight w:val="none"/>
              </w:rPr>
              <w:t>时间前投标保证金能到达招标人指定账户，投标人在汇款时须充分考虑银行汇款的时间误差风险，否则所造成的后果由投标人自负。</w:t>
            </w:r>
          </w:p>
          <w:p w14:paraId="6D3ED587">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pacing w:val="-8"/>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pacing w:val="-8"/>
                <w:sz w:val="24"/>
                <w:szCs w:val="24"/>
                <w:highlight w:val="none"/>
              </w:rPr>
              <w:t>采用银行保函</w:t>
            </w:r>
            <w:r>
              <w:rPr>
                <w:rFonts w:hint="default" w:ascii="Times New Roman" w:hAnsi="Times New Roman" w:cs="Times New Roman"/>
                <w:color w:val="auto"/>
                <w:spacing w:val="-8"/>
                <w:sz w:val="24"/>
                <w:szCs w:val="24"/>
                <w:highlight w:val="none"/>
                <w:lang w:val="en-US" w:eastAsia="zh-CN"/>
              </w:rPr>
              <w:t>形式：</w:t>
            </w:r>
          </w:p>
          <w:p w14:paraId="301AC671">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sz w:val="24"/>
                <w:szCs w:val="24"/>
                <w:highlight w:val="none"/>
                <w:u w:val="single"/>
              </w:rPr>
            </w:pPr>
            <w:r>
              <w:rPr>
                <w:rFonts w:hint="default" w:ascii="Times New Roman" w:hAnsi="Times New Roman" w:cs="Times New Roman"/>
                <w:color w:val="auto"/>
                <w:sz w:val="24"/>
                <w:szCs w:val="24"/>
                <w:highlight w:val="none"/>
              </w:rPr>
              <w:t>出具保函的银行级别：</w:t>
            </w:r>
            <w:r>
              <w:rPr>
                <w:rFonts w:hint="default" w:ascii="Times New Roman" w:hAnsi="Times New Roman" w:cs="Times New Roman"/>
                <w:sz w:val="24"/>
                <w:szCs w:val="24"/>
                <w:highlight w:val="none"/>
                <w:u w:val="single"/>
              </w:rPr>
              <w:t>1.投标保证金缴纳方式 1.1 采用电汇或支票方式缴纳的，应在投</w:t>
            </w:r>
          </w:p>
          <w:p w14:paraId="6F2747E2">
            <w:pPr>
              <w:pStyle w:val="15"/>
              <w:keepNext w:val="0"/>
              <w:keepLines w:val="0"/>
              <w:pageBreakBefore w:val="0"/>
              <w:widowControl w:val="0"/>
              <w:kinsoku/>
              <w:wordWrap/>
              <w:overflowPunct/>
              <w:topLinePunct/>
              <w:autoSpaceDE/>
              <w:autoSpaceDN/>
              <w:bidi w:val="0"/>
              <w:adjustRightInd/>
              <w:snapToGrid/>
              <w:spacing w:line="360" w:lineRule="atLeast"/>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sz w:val="24"/>
                <w:szCs w:val="24"/>
                <w:highlight w:val="none"/>
                <w:u w:val="single"/>
              </w:rPr>
              <w:t xml:space="preserve">标截止时间前通过企业基本户缴纳至以下账户，并按照招标文件中投标文件格式要求填写缴纳信息和上传缴纳凭证、基本户开户许可证等证明材料，投标保证金截止时间之后递交的投标保证金将被拒绝。 请投标人在汇款时务必注明所投标项目的名称，标段，否则因款项用途不明导致投标无效等后果由投标人自行承担。 投标人请自行将投标保证金银行汇款凭证制作为电子图片，附加在“投标文件格式”指定位置。作为投标文件的重要组成部分，代理机构不再对投标保证金开具收据。 1.2 </w:t>
            </w:r>
            <w:r>
              <w:rPr>
                <w:rFonts w:hint="eastAsia" w:ascii="Times New Roman" w:cs="Times New Roman"/>
                <w:sz w:val="24"/>
                <w:szCs w:val="24"/>
                <w:highlight w:val="none"/>
                <w:u w:val="single"/>
                <w:lang w:val="en-US" w:eastAsia="zh-CN"/>
              </w:rPr>
              <w:t>使用</w:t>
            </w:r>
            <w:r>
              <w:rPr>
                <w:rFonts w:hint="default" w:ascii="Times New Roman" w:hAnsi="Times New Roman" w:cs="Times New Roman"/>
                <w:sz w:val="24"/>
                <w:szCs w:val="24"/>
                <w:highlight w:val="none"/>
                <w:u w:val="single"/>
              </w:rPr>
              <w:t>保函或担保保函形式缴纳投标保证金的投标人应在投标保证金截止时间前（开标现场递交）将保函原件正本递交给代理公司备查，投标保证金截止时间之后递交的将被拒绝。保函需制作为电子图片，附加在“投标文件格式”指定位置。投标人提供的保函需注明所投标项目、标段名称，否则，由此导致投标无效等后果由投标人自行承担。保函的有效期应与投标有效期一致或长于投标有效期。 1.3 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 1.4.投标人应按照招标文件中给定的投标文件格式完整准确填写投标保证金缴纳信息、缴纳凭证等证明材料，否则由此造成的不一致或错误由投标人自行承担。</w:t>
            </w:r>
            <w:r>
              <w:rPr>
                <w:rFonts w:hint="default" w:ascii="Times New Roman" w:hAnsi="Times New Roman" w:cs="Times New Roman"/>
                <w:color w:val="auto"/>
                <w:sz w:val="24"/>
                <w:szCs w:val="24"/>
                <w:highlight w:val="none"/>
                <w:u w:val="single"/>
              </w:rPr>
              <w:t xml:space="preserve"> </w:t>
            </w:r>
          </w:p>
          <w:p w14:paraId="38300250">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u w:val="none"/>
              </w:rPr>
              <w:t>银行保函应采用招标文件提供的格式，若采用银行自有格式，其提交的银行保函内容不得对担保金额、担保范围、担保期限、担保内容作出降低担保效力的实质性修改。</w:t>
            </w:r>
          </w:p>
          <w:p w14:paraId="1F62C2B4">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采用电子保函形式：</w:t>
            </w:r>
          </w:p>
          <w:p w14:paraId="652A6F42">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保函应由投标人自主</w:t>
            </w:r>
            <w:r>
              <w:rPr>
                <w:rFonts w:hint="eastAsia" w:ascii="Times New Roman" w:cs="Times New Roman"/>
                <w:b w:val="0"/>
                <w:bCs w:val="0"/>
                <w:color w:val="auto"/>
                <w:sz w:val="24"/>
                <w:szCs w:val="24"/>
                <w:highlight w:val="none"/>
                <w:lang w:val="en-US" w:eastAsia="zh-CN"/>
              </w:rPr>
              <w:t>选择</w:t>
            </w:r>
            <w:r>
              <w:rPr>
                <w:rFonts w:hint="default" w:ascii="Times New Roman" w:hAnsi="Times New Roman" w:cs="Times New Roman"/>
                <w:b w:val="0"/>
                <w:bCs w:val="0"/>
                <w:color w:val="auto"/>
                <w:sz w:val="24"/>
                <w:szCs w:val="24"/>
                <w:highlight w:val="none"/>
                <w:lang w:val="en-US" w:eastAsia="zh-CN"/>
              </w:rPr>
              <w:t>具有金融服务担保能力的机构出具，保函办理机构应提供电子化保函验真渠道和保函财务费用支付</w:t>
            </w:r>
            <w:r>
              <w:rPr>
                <w:rFonts w:hint="eastAsia" w:ascii="Times New Roman" w:cs="Times New Roman"/>
                <w:b w:val="0"/>
                <w:bCs w:val="0"/>
                <w:color w:val="auto"/>
                <w:sz w:val="24"/>
                <w:szCs w:val="24"/>
                <w:highlight w:val="none"/>
                <w:lang w:val="en-US" w:eastAsia="zh-CN"/>
              </w:rPr>
              <w:t>凭证（保函财务费用应从投标人基本账户支出）</w:t>
            </w:r>
            <w:r>
              <w:rPr>
                <w:rFonts w:hint="default" w:ascii="Times New Roman" w:hAnsi="Times New Roman" w:cs="Times New Roman"/>
                <w:b w:val="0"/>
                <w:bCs w:val="0"/>
                <w:color w:val="auto"/>
                <w:sz w:val="24"/>
                <w:szCs w:val="24"/>
                <w:highlight w:val="none"/>
                <w:lang w:val="en-US" w:eastAsia="zh-CN"/>
              </w:rPr>
              <w:t>。</w:t>
            </w:r>
          </w:p>
          <w:p w14:paraId="26A26685">
            <w:pPr>
              <w:pStyle w:val="15"/>
              <w:keepNext w:val="0"/>
              <w:keepLines w:val="0"/>
              <w:pageBreakBefore w:val="0"/>
              <w:widowControl w:val="0"/>
              <w:kinsoku/>
              <w:wordWrap/>
              <w:overflowPunct/>
              <w:topLinePunct/>
              <w:autoSpaceDE/>
              <w:autoSpaceDN/>
              <w:bidi w:val="0"/>
              <w:adjustRightInd/>
              <w:snapToGrid/>
              <w:spacing w:line="440" w:lineRule="exact"/>
              <w:ind w:firstLine="240" w:firstLineChars="100"/>
              <w:textAlignment w:val="auto"/>
              <w:rPr>
                <w:rFonts w:hint="default" w:ascii="Times New Roman" w:hAnsi="Times New Roman" w:cs="Times New Roman"/>
                <w:color w:val="auto"/>
                <w:sz w:val="24"/>
                <w:szCs w:val="24"/>
                <w:highlight w:val="none"/>
                <w:u w:val="singl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其他</w:t>
            </w:r>
            <w:r>
              <w:rPr>
                <w:rFonts w:hint="eastAsia" w:ascii="Times New Roman"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u w:val="single"/>
                <w:lang w:val="en-US" w:eastAsia="zh-CN"/>
              </w:rPr>
              <w:t xml:space="preserve">        </w:t>
            </w:r>
          </w:p>
          <w:p w14:paraId="7B27CA9A">
            <w:pP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7A5B28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21E7C1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6211757">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eastAsiaTheme="minorEastAsia"/>
                <w:color w:val="auto"/>
                <w:sz w:val="24"/>
                <w:szCs w:val="24"/>
                <w:highlight w:val="none"/>
              </w:rPr>
              <w:t>投标保证金利息计算原则</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43C76A4">
            <w:pPr>
              <w:pStyle w:val="15"/>
              <w:spacing w:line="400" w:lineRule="exact"/>
              <w:rPr>
                <w:rFonts w:hint="eastAsia" w:ascii="宋体" w:hAnsi="宋体" w:eastAsia="宋体" w:cs="宋体"/>
                <w:color w:val="auto"/>
                <w:spacing w:val="-6"/>
                <w:highlight w:val="none"/>
                <w:u w:val="single"/>
              </w:rPr>
            </w:pPr>
            <w:r>
              <w:rPr>
                <w:rFonts w:hint="eastAsia" w:ascii="Times New Roman" w:cs="Times New Roman"/>
                <w:color w:val="auto"/>
                <w:sz w:val="24"/>
                <w:szCs w:val="24"/>
                <w:highlight w:val="none"/>
                <w:u w:val="single"/>
                <w:lang w:val="en-US" w:eastAsia="zh-CN"/>
              </w:rPr>
              <w:t xml:space="preserve"> </w:t>
            </w:r>
            <w:r>
              <w:rPr>
                <w:rFonts w:hint="eastAsia" w:ascii="宋体" w:hAnsi="宋体" w:eastAsia="宋体" w:cs="宋体"/>
                <w:color w:val="auto"/>
                <w:spacing w:val="-6"/>
                <w:highlight w:val="none"/>
                <w:u w:val="single"/>
              </w:rPr>
              <w:t xml:space="preserve">计息标准：人民银行同期活期存款利率。 </w:t>
            </w:r>
          </w:p>
          <w:p w14:paraId="662330B5">
            <w:pPr>
              <w:pStyle w:val="15"/>
              <w:spacing w:line="400" w:lineRule="exact"/>
              <w:rPr>
                <w:rFonts w:hint="eastAsia" w:ascii="宋体" w:hAnsi="宋体" w:eastAsia="宋体" w:cs="宋体"/>
                <w:color w:val="auto"/>
                <w:spacing w:val="-6"/>
                <w:highlight w:val="none"/>
                <w:u w:val="single"/>
              </w:rPr>
            </w:pPr>
            <w:r>
              <w:rPr>
                <w:rFonts w:hint="eastAsia" w:ascii="宋体" w:hAnsi="宋体" w:eastAsia="宋体" w:cs="宋体"/>
                <w:color w:val="auto"/>
                <w:spacing w:val="-6"/>
                <w:highlight w:val="none"/>
                <w:u w:val="single"/>
              </w:rPr>
              <w:t xml:space="preserve">计息时间：投标截止之日至退还的前一日。 </w:t>
            </w:r>
          </w:p>
          <w:p w14:paraId="4A4E5F5B">
            <w:pPr>
              <w:pStyle w:val="15"/>
              <w:spacing w:line="400" w:lineRule="exact"/>
              <w:rPr>
                <w:rFonts w:hint="eastAsia" w:ascii="宋体" w:hAnsi="宋体" w:eastAsia="宋体" w:cs="宋体"/>
                <w:color w:val="auto"/>
                <w:spacing w:val="-6"/>
                <w:highlight w:val="none"/>
                <w:u w:val="single"/>
              </w:rPr>
            </w:pPr>
            <w:r>
              <w:rPr>
                <w:rFonts w:hint="eastAsia" w:ascii="宋体" w:hAnsi="宋体" w:eastAsia="宋体" w:cs="宋体"/>
                <w:color w:val="auto"/>
                <w:spacing w:val="-6"/>
                <w:highlight w:val="none"/>
                <w:u w:val="single"/>
              </w:rPr>
              <w:t>保证金退还方式：电汇或保函</w:t>
            </w:r>
          </w:p>
          <w:p w14:paraId="0B9F1783">
            <w:pPr>
              <w:pStyle w:val="15"/>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spacing w:val="-6"/>
                <w:highlight w:val="none"/>
                <w:u w:val="single"/>
              </w:rPr>
              <w:t>按照《招投标法实施条例》第五十七条规定：保证金退返时间最迟应在书面合同签订后5日内。</w:t>
            </w:r>
            <w:r>
              <w:rPr>
                <w:rFonts w:hint="eastAsia" w:ascii="Times New Roman" w:cs="Times New Roman"/>
                <w:color w:val="auto"/>
                <w:sz w:val="24"/>
                <w:szCs w:val="24"/>
                <w:highlight w:val="none"/>
                <w:u w:val="single"/>
                <w:lang w:val="en-US" w:eastAsia="zh-CN"/>
              </w:rPr>
              <w:t xml:space="preserve"> </w:t>
            </w:r>
          </w:p>
        </w:tc>
      </w:tr>
      <w:tr w14:paraId="0C4DC77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0942D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3.4.4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27A45C">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其他可以不予退还投标保证金的情形</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77FF709">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single"/>
              </w:rPr>
            </w:pPr>
            <w:r>
              <w:rPr>
                <w:rFonts w:hint="eastAsia" w:ascii="宋体" w:hAnsi="宋体" w:eastAsia="宋体" w:cs="宋体"/>
                <w:spacing w:val="2"/>
                <w:sz w:val="23"/>
                <w:szCs w:val="23"/>
              </w:rPr>
              <w:t>有下列情形之一的，投标保证金可不予退还：（1）投标人不接受依据评标办法的规定对其投标文件中细微偏差进行澄清和补正；（2）投标人在规定的投标有效期内撤销或修改其投标文件，包括在收到中标通知书前放弃中标候选人资格的情形；（3）中标人在收到中标通知书后，无正当理由拒签合同协议书；（4）中标人在签订合同时向招标人提出附加条件，或不按照招标文件要求提交履约保证金；（5）投标人提交了虚假资料；（6）投标人有串标、围标、“挂靠”其他单位参与投标，贿赂评标专家或招标工作人员，以及其他违反国家招标投标管理有关规定的行为</w:t>
            </w:r>
          </w:p>
        </w:tc>
      </w:tr>
      <w:tr w14:paraId="3A9994B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4632F6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D232C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资格审查资料的特殊要求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FCD4E41">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无</w:t>
            </w:r>
          </w:p>
          <w:p w14:paraId="07F4B17A">
            <w:pPr>
              <w:pStyle w:val="15"/>
              <w:pageBreakBefore w:val="0"/>
              <w:kinsoku/>
              <w:wordWrap w:val="0"/>
              <w:topLinePunct/>
              <w:bidi w:val="0"/>
              <w:spacing w:line="440" w:lineRule="exact"/>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有，具体要求：</w:t>
            </w:r>
            <w:r>
              <w:rPr>
                <w:rFonts w:hint="default" w:ascii="Times New Roman" w:hAnsi="Times New Roman" w:cs="Times New Roman"/>
                <w:color w:val="auto"/>
                <w:sz w:val="24"/>
                <w:szCs w:val="24"/>
                <w:highlight w:val="none"/>
                <w:u w:val="single"/>
                <w:lang w:val="en-US" w:eastAsia="zh-CN"/>
              </w:rPr>
              <w:t xml:space="preserve"> 投标文件“资格审查资料” 各项表格应提供的证明材料以本附表各附录中的规定为准</w:t>
            </w:r>
            <w:r>
              <w:rPr>
                <w:rFonts w:hint="eastAsia" w:ascii="Times New Roman"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lang w:val="en-US" w:eastAsia="zh-CN"/>
              </w:rPr>
              <w:t xml:space="preserve"> </w:t>
            </w:r>
          </w:p>
        </w:tc>
      </w:tr>
      <w:tr w14:paraId="43F0A140">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CC8574D">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3957D59">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近年财务状况的年份要求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0C7DE6">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年至</w:t>
            </w: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 xml:space="preserve">/ </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年</w:t>
            </w:r>
          </w:p>
        </w:tc>
      </w:tr>
      <w:tr w14:paraId="53AE5D94">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A7020B">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3.5.3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428FB7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近年完成的类似项目情况的时间要求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90396A">
            <w:pPr>
              <w:pageBreakBefore w:val="0"/>
              <w:kinsoku/>
              <w:wordWrap w:val="0"/>
              <w:bidi w:val="0"/>
              <w:spacing w:line="360" w:lineRule="atLeast"/>
              <w:rPr>
                <w:rFonts w:hint="default" w:ascii="Times New Roman" w:hAnsi="Times New Roman" w:cs="Times New Roman"/>
                <w:color w:val="auto"/>
                <w:sz w:val="24"/>
                <w:szCs w:val="24"/>
                <w:highlight w:val="none"/>
              </w:rPr>
            </w:pP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日</w:t>
            </w:r>
            <w:r>
              <w:rPr>
                <w:rFonts w:hint="default" w:ascii="Times New Roman" w:hAnsi="Times New Roman" w:cs="Times New Roman"/>
                <w:color w:val="000000"/>
                <w:sz w:val="24"/>
                <w:szCs w:val="24"/>
              </w:rPr>
              <w:t>至投标文件递交截止日</w:t>
            </w:r>
          </w:p>
        </w:tc>
      </w:tr>
      <w:tr w14:paraId="6FA4687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8BDCAD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81B3AA1">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是否允许递交备选投标方案</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6A64DA6">
            <w:pPr>
              <w:pStyle w:val="15"/>
              <w:pageBreakBefore w:val="0"/>
              <w:kinsoku/>
              <w:wordWrap w:val="0"/>
              <w:topLinePunct/>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不允许</w:t>
            </w:r>
          </w:p>
          <w:p w14:paraId="58FF1E35">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允许</w:t>
            </w:r>
          </w:p>
        </w:tc>
      </w:tr>
      <w:tr w14:paraId="7028200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B3ED631">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br w:type="page"/>
            </w: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413421">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投标文件</w:t>
            </w:r>
            <w:r>
              <w:rPr>
                <w:rFonts w:hint="default" w:ascii="Times New Roman" w:hAnsi="Times New Roman" w:cs="Times New Roman"/>
                <w:color w:val="auto"/>
                <w:sz w:val="24"/>
                <w:szCs w:val="24"/>
                <w:highlight w:val="none"/>
                <w:lang w:val="en-US" w:eastAsia="zh-CN"/>
              </w:rPr>
              <w:t>上传</w:t>
            </w:r>
            <w:r>
              <w:rPr>
                <w:rFonts w:hint="default" w:ascii="Times New Roman" w:hAnsi="Times New Roman" w:cs="Times New Roman"/>
                <w:color w:val="auto"/>
                <w:sz w:val="24"/>
                <w:szCs w:val="24"/>
                <w:highlight w:val="none"/>
              </w:rPr>
              <w:t>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CE6FB7C">
            <w:pPr>
              <w:pStyle w:val="15"/>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投标人应在规定的投标截止时间前，通过互联网</w:t>
            </w:r>
            <w:r>
              <w:rPr>
                <w:rFonts w:hint="eastAsia" w:ascii="Times New Roman"/>
                <w:color w:val="auto"/>
                <w:sz w:val="24"/>
                <w:szCs w:val="32"/>
                <w:highlight w:val="none"/>
                <w:lang w:val="en-US" w:eastAsia="zh-CN"/>
              </w:rPr>
              <w:t>使用</w:t>
            </w:r>
            <w:r>
              <w:rPr>
                <w:rFonts w:hint="default" w:ascii="Times New Roman" w:hAnsi="Times New Roman" w:cs="Times New Roman"/>
                <w:color w:val="auto"/>
                <w:sz w:val="24"/>
                <w:szCs w:val="24"/>
                <w:highlight w:val="none"/>
              </w:rPr>
              <w:t>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tc>
      </w:tr>
      <w:tr w14:paraId="70C638FB">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BD390CA">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E39B399">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投标文件其他要求</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C6BB211">
            <w:pPr>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本项目采用电子招标投标形式，投标期间不需提供纸质投标文件。中标人在合同签订前需向招标人提交资料：</w:t>
            </w:r>
          </w:p>
          <w:p w14:paraId="64BFB142">
            <w:pPr>
              <w:spacing w:line="440" w:lineRule="exact"/>
              <w:jc w:val="lef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 xml:space="preserve"> 纸质版投标文件：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套；</w:t>
            </w:r>
          </w:p>
          <w:p w14:paraId="00C70B82">
            <w:pPr>
              <w:pStyle w:val="15"/>
              <w:pageBreakBefore w:val="0"/>
              <w:kinsoku/>
              <w:wordWrap w:val="0"/>
              <w:topLine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Cs w:val="24"/>
                <w:highlight w:val="none"/>
              </w:rPr>
              <w:t xml:space="preserve"> 电子版投标文件，具体要求为：</w:t>
            </w:r>
            <w:r>
              <w:rPr>
                <w:rFonts w:hint="default" w:ascii="Times New Roman" w:hAnsi="Times New Roman" w:cs="Times New Roman"/>
                <w:color w:val="auto"/>
                <w:szCs w:val="24"/>
                <w:highlight w:val="none"/>
                <w:u w:val="single"/>
              </w:rPr>
              <w:t xml:space="preserve"> 电子投标文件 U 盘2 份(PDF 格式）。本项目采用远程解密、远程直播开标。投标文件需要用实体 CA 数字证书或移动 CA 数字证书生成上传,解密时由投标人自行携带解密工具。解密时限为递交投标文件截止时间起 30 分钟内(因开标系统发生不可抗力产生延误解密时间的，招标人将延长相应的解密时长，其他原因不予延长解密时间)，登录交易系统进入所投开标项目，使用 CA 数字证书解密。未在规定时间内完成解密的投标人，视为放弃本次投标，招标人不再接收。 </w:t>
            </w:r>
          </w:p>
        </w:tc>
      </w:tr>
      <w:tr w14:paraId="00948D81">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809BE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0350A4A">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667D74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p>
          <w:p w14:paraId="78F308F6">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按照第一章</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招标公告</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需要</w:t>
            </w:r>
            <w:r>
              <w:rPr>
                <w:rFonts w:hint="default" w:ascii="Times New Roman" w:hAnsi="Times New Roman" w:eastAsia="宋体" w:cs="Times New Roman"/>
                <w:color w:val="auto"/>
                <w:kern w:val="2"/>
                <w:sz w:val="24"/>
                <w:szCs w:val="24"/>
                <w:highlight w:val="none"/>
                <w:lang w:val="en-US" w:eastAsia="zh-CN" w:bidi="ar-SA"/>
              </w:rPr>
              <w:t>随机确定投标人参与的具体标段号的时间：另行通知</w:t>
            </w:r>
            <w:r>
              <w:rPr>
                <w:rFonts w:hint="eastAsia" w:cs="Times New Roman"/>
                <w:color w:val="auto"/>
                <w:kern w:val="2"/>
                <w:sz w:val="24"/>
                <w:szCs w:val="24"/>
                <w:highlight w:val="none"/>
                <w:lang w:val="en-US" w:eastAsia="zh-CN" w:bidi="ar-SA"/>
              </w:rPr>
              <w:t>（如需）</w:t>
            </w:r>
          </w:p>
          <w:p w14:paraId="75BBAE71">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p>
          <w:p w14:paraId="497E7C28">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地点：</w:t>
            </w:r>
            <w:r>
              <w:rPr>
                <w:rFonts w:hint="default" w:ascii="Times New Roman" w:hAnsi="Times New Roman" w:cs="Times New Roman"/>
                <w:color w:val="auto"/>
                <w:kern w:val="2"/>
                <w:sz w:val="24"/>
                <w:szCs w:val="24"/>
                <w:highlight w:val="none"/>
                <w:u w:val="single"/>
                <w:lang w:val="en-US" w:eastAsia="zh-CN" w:bidi="ar-SA"/>
              </w:rPr>
              <w:t>地点：本项目采用不见面开标，投标人无需至开标现场。</w:t>
            </w:r>
            <w:r>
              <w:rPr>
                <w:rFonts w:hint="default" w:ascii="Times New Roman" w:hAnsi="Times New Roman" w:cs="Times New Roman"/>
                <w:color w:val="auto"/>
                <w:kern w:val="2"/>
                <w:sz w:val="24"/>
                <w:szCs w:val="24"/>
                <w:highlight w:val="none"/>
                <w:lang w:val="en-US" w:eastAsia="zh-CN" w:bidi="ar-SA"/>
              </w:rPr>
              <w:t xml:space="preserve"> </w:t>
            </w:r>
          </w:p>
        </w:tc>
      </w:tr>
      <w:tr w14:paraId="5F7FC97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4C919DA">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54BACAD">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第一个信封（商务及技术文件）开标程序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9FD28A8">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30 </w:t>
            </w:r>
            <w:r>
              <w:rPr>
                <w:rFonts w:hint="eastAsia" w:cs="Times New Roman"/>
                <w:color w:val="auto"/>
                <w:sz w:val="24"/>
                <w:szCs w:val="24"/>
                <w:highlight w:val="none"/>
                <w:u w:val="none"/>
                <w:lang w:val="en-US" w:eastAsia="zh-CN"/>
              </w:rPr>
              <w:t>分钟，当所有上传的电子投标文件均完成解密时，时长相应缩短。</w:t>
            </w:r>
          </w:p>
          <w:p w14:paraId="7650775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tc>
      </w:tr>
      <w:tr w14:paraId="38D70EA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B073DC5">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5.2.1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587ED1B">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投标人参与详细评审的具体标段号的随机确定程序</w:t>
            </w:r>
            <w:r>
              <w:rPr>
                <w:rStyle w:val="47"/>
                <w:rFonts w:hint="default" w:ascii="Times New Roman" w:hAnsi="Times New Roman" w:cs="Times New Roman"/>
                <w:color w:val="auto"/>
                <w:sz w:val="24"/>
                <w:szCs w:val="24"/>
                <w:highlight w:val="none"/>
              </w:rPr>
              <w:footnoteReference w:id="10"/>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6A89715">
            <w:pPr>
              <w:pageBreakBefore w:val="0"/>
              <w:kinsoku/>
              <w:wordWrap w:val="0"/>
              <w:bidi w:val="0"/>
              <w:spacing w:line="440" w:lineRule="exact"/>
              <w:ind w:firstLine="0" w:firstLineChars="0"/>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按系统要求操作</w:t>
            </w:r>
          </w:p>
        </w:tc>
      </w:tr>
      <w:tr w14:paraId="5842EA2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A8F0FC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21DB37B">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第二个信封（报价文件）开标程序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177BDC2">
            <w:pPr>
              <w:wordWrap w:val="0"/>
              <w:spacing w:line="440" w:lineRule="exact"/>
              <w:rPr>
                <w:color w:val="auto"/>
                <w:sz w:val="24"/>
                <w:highlight w:val="none"/>
                <w:lang w:eastAsia="zh"/>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rPr>
              <w:t>第二个信封（报价文件）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 xml:space="preserve">30 </w:t>
            </w:r>
            <w:r>
              <w:rPr>
                <w:rFonts w:hint="eastAsia"/>
                <w:color w:val="auto"/>
                <w:sz w:val="24"/>
                <w:highlight w:val="none"/>
                <w:u w:val="single"/>
              </w:rPr>
              <w:t xml:space="preserve"> </w:t>
            </w:r>
            <w:r>
              <w:rPr>
                <w:rFonts w:hint="eastAsia"/>
                <w:color w:val="auto"/>
                <w:sz w:val="24"/>
                <w:highlight w:val="none"/>
                <w:u w:val="none"/>
                <w:lang w:eastAsia="zh"/>
              </w:rPr>
              <w:t>分钟，当所有参与第二个信封评审的电子投标文件均完成解密时，时长相应缩短。</w:t>
            </w:r>
          </w:p>
          <w:p w14:paraId="58BFE5A1">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magenta"/>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p w14:paraId="61571D77">
            <w:pPr>
              <w:pageBreakBefore w:val="0"/>
              <w:kinsoku/>
              <w:wordWrap w:val="0"/>
              <w:bidi w:val="0"/>
              <w:spacing w:line="440" w:lineRule="exact"/>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投标人应确保“电子交易平台”所留项目联系方式正确且开评标期间全程畅通。如若投标人未解密文件或投标人电话未接通或投标人所留联系方式不正确，导致未在规定时间内解密，投标视为无效</w:t>
            </w:r>
            <w:r>
              <w:rPr>
                <w:rFonts w:hint="default" w:ascii="Times New Roman" w:hAnsi="Times New Roman" w:cs="Times New Roman"/>
                <w:color w:val="auto"/>
                <w:sz w:val="24"/>
                <w:szCs w:val="24"/>
                <w:highlight w:val="none"/>
                <w:lang w:eastAsia="zh-CN"/>
              </w:rPr>
              <w:t>。</w:t>
            </w:r>
          </w:p>
        </w:tc>
      </w:tr>
      <w:tr w14:paraId="2E9E3063">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37D7FBC">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5.3.1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B549FD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开标补救措施</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082F8B3">
            <w:pPr>
              <w:pageBreakBefore w:val="0"/>
              <w:kinsoku/>
              <w:wordWrap w:val="0"/>
              <w:bidi w:val="0"/>
              <w:spacing w:line="440" w:lineRule="exact"/>
              <w:rPr>
                <w:rFonts w:hint="default" w:ascii="Times New Roman" w:hAnsi="Times New Roman" w:cs="Times New Roman"/>
                <w:color w:val="auto"/>
                <w:sz w:val="24"/>
                <w:szCs w:val="24"/>
                <w:highlight w:val="none"/>
              </w:rPr>
            </w:pPr>
          </w:p>
        </w:tc>
      </w:tr>
      <w:tr w14:paraId="086A64A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C94406E">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6.1.1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6F386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评标委员会的组建</w:t>
            </w:r>
            <w:r>
              <w:rPr>
                <w:rStyle w:val="47"/>
                <w:rFonts w:hint="default" w:ascii="Times New Roman" w:hAnsi="Times New Roman" w:cs="Times New Roman"/>
                <w:color w:val="auto"/>
                <w:sz w:val="24"/>
                <w:szCs w:val="24"/>
                <w:highlight w:val="none"/>
              </w:rPr>
              <w:footnoteReference w:id="11"/>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8998106">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评标委员会构成：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人，其中招标人代表</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0</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人，专家</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人；</w:t>
            </w:r>
          </w:p>
          <w:p w14:paraId="46303E64">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评标专家确定方式：</w:t>
            </w:r>
            <w:r>
              <w:rPr>
                <w:rFonts w:hint="default" w:ascii="Times New Roman" w:hAnsi="Times New Roman" w:cs="Times New Roman"/>
                <w:sz w:val="24"/>
                <w:szCs w:val="24"/>
                <w:u w:val="single"/>
              </w:rPr>
              <w:t>依法从相应评标专家库中随机抽取</w:t>
            </w:r>
          </w:p>
        </w:tc>
      </w:tr>
      <w:tr w14:paraId="03BDDAD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4D52C7C7">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B5F56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评标委员会推荐中标候选人的人数</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13A0AAB">
            <w:pPr>
              <w:pageBreakBefore w:val="0"/>
              <w:kinsoku/>
              <w:wordWrap w:val="0"/>
              <w:bidi w:val="0"/>
              <w:spacing w:line="440" w:lineRule="exact"/>
              <w:rPr>
                <w:rFonts w:hint="default" w:ascii="Times New Roman" w:hAnsi="Times New Roman" w:cs="Times New Roman"/>
                <w:color w:val="auto"/>
                <w:spacing w:val="10"/>
                <w:sz w:val="24"/>
                <w:szCs w:val="24"/>
                <w:highlight w:val="none"/>
                <w:bdr w:val="single" w:color="auto" w:sz="4" w:space="0"/>
              </w:rPr>
            </w:pPr>
            <w:r>
              <w:rPr>
                <w:rFonts w:hint="eastAsia" w:cs="Times New Roman"/>
                <w:sz w:val="24"/>
                <w:szCs w:val="24"/>
                <w:lang w:val="en-US" w:eastAsia="zh-CN"/>
              </w:rPr>
              <w:t>3名</w:t>
            </w:r>
          </w:p>
        </w:tc>
      </w:tr>
      <w:tr w14:paraId="0ABCEBD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745E8A4">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3E1E01A">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中标候选人公示媒介及期限</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公示媒介：同发布招标公告媒介</w:t>
            </w:r>
          </w:p>
          <w:p w14:paraId="51ED97CC">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公示期限：</w:t>
            </w:r>
            <w:r>
              <w:rPr>
                <w:rFonts w:hint="default" w:ascii="Times New Roman" w:hAnsi="Times New Roman" w:cs="Times New Roman"/>
                <w:sz w:val="24"/>
                <w:szCs w:val="24"/>
                <w:highlight w:val="none"/>
                <w:u w:val="single"/>
              </w:rPr>
              <w:t xml:space="preserve">  </w:t>
            </w:r>
            <w:r>
              <w:rPr>
                <w:rFonts w:hint="eastAsia"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rPr>
              <w:t xml:space="preserve">不少于 3    </w:t>
            </w:r>
            <w:r>
              <w:rPr>
                <w:rFonts w:hint="default" w:ascii="Times New Roman" w:hAnsi="Times New Roman" w:cs="Times New Roman"/>
                <w:sz w:val="24"/>
                <w:szCs w:val="24"/>
                <w:highlight w:val="none"/>
              </w:rPr>
              <w:t>日</w:t>
            </w:r>
          </w:p>
          <w:p w14:paraId="0AFBAAEE">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公示的其他内容：</w:t>
            </w:r>
          </w:p>
          <w:p w14:paraId="3781BBDA">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sz w:val="24"/>
                <w:szCs w:val="24"/>
                <w:highlight w:val="none"/>
                <w:u w:val="single"/>
              </w:rPr>
              <w:t>第一个信封和第二个信封开标记录</w:t>
            </w:r>
          </w:p>
          <w:p w14:paraId="2D894D8E">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szCs w:val="24"/>
                <w:highlight w:val="none"/>
                <w:u w:val="single"/>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详细评审的评标委员会成员打分</w:t>
            </w:r>
          </w:p>
          <w:p w14:paraId="45CE8789">
            <w:pPr>
              <w:pStyle w:val="16"/>
              <w:keepNext w:val="0"/>
              <w:keepLines w:val="0"/>
              <w:pageBreakBefore w:val="0"/>
              <w:widowControl w:val="0"/>
              <w:kinsoku/>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u w:val="single"/>
              </w:rPr>
              <w:t xml:space="preserve">         </w:t>
            </w:r>
          </w:p>
          <w:p w14:paraId="65BCCD46">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u w:val="none"/>
              </w:rPr>
              <w:t>如发现投标人存在弄虚作假行为，招标人将取消其中标候选人资格，并上报省级交通主管部门，作为不良记录纳入</w:t>
            </w:r>
            <w:r>
              <w:rPr>
                <w:rFonts w:hint="eastAsia" w:cs="Times New Roman"/>
                <w:color w:val="auto"/>
                <w:sz w:val="24"/>
                <w:szCs w:val="24"/>
                <w:highlight w:val="none"/>
                <w:u w:val="none"/>
                <w:lang w:eastAsia="zh-CN"/>
              </w:rPr>
              <w:t>全国公路建设市场监督管理系统</w:t>
            </w:r>
            <w:r>
              <w:rPr>
                <w:rFonts w:hint="default" w:ascii="Times New Roman" w:hAnsi="Times New Roman" w:cs="Times New Roman"/>
                <w:color w:val="auto"/>
                <w:sz w:val="24"/>
                <w:szCs w:val="24"/>
                <w:highlight w:val="none"/>
                <w:u w:val="none"/>
              </w:rPr>
              <w:t>。</w:t>
            </w:r>
          </w:p>
        </w:tc>
      </w:tr>
      <w:tr w14:paraId="68F6C32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2420E92">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7.4</w:t>
            </w:r>
            <w:r>
              <w:rPr>
                <w:rFonts w:hint="eastAsia" w:cs="Times New Roman"/>
                <w:color w:val="auto"/>
                <w:sz w:val="24"/>
                <w:szCs w:val="24"/>
                <w:highlight w:val="none"/>
                <w:lang w:val="en-US" w:eastAsia="zh-CN"/>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D01A706">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是否授权评标委员会确定中标人</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0461DE1B">
            <w:pPr>
              <w:pageBreakBefore w:val="0"/>
              <w:kinsoku/>
              <w:wordWrap w:val="0"/>
              <w:bidi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是</w:t>
            </w:r>
          </w:p>
          <w:p w14:paraId="65690AA5">
            <w:pPr>
              <w:pageBreakBefore w:val="0"/>
              <w:kinsoku/>
              <w:wordWrap w:val="0"/>
              <w:bidi w:val="0"/>
              <w:snapToGrid w:val="0"/>
              <w:spacing w:line="440" w:lineRule="exact"/>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否</w:t>
            </w:r>
          </w:p>
        </w:tc>
      </w:tr>
      <w:tr w14:paraId="6A0BC3F6">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21C2546">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7.4.2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A18B24E">
            <w:pPr>
              <w:pageBreakBefore w:val="0"/>
              <w:kinsoku/>
              <w:wordWrap w:val="0"/>
              <w:bidi w:val="0"/>
              <w:spacing w:line="44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定标规则</w:t>
            </w:r>
            <w:r>
              <w:rPr>
                <w:rStyle w:val="47"/>
                <w:rFonts w:hint="eastAsia" w:cs="Times New Roman"/>
                <w:color w:val="auto"/>
                <w:sz w:val="24"/>
                <w:szCs w:val="24"/>
                <w:highlight w:val="none"/>
                <w:lang w:val="en-US" w:eastAsia="zh-CN"/>
              </w:rPr>
              <w:footnoteReference w:id="12"/>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49C25DDD">
            <w:pPr>
              <w:pageBreakBefore w:val="0"/>
              <w:kinsoku/>
              <w:wordWrap w:val="0"/>
              <w:bidi w:val="0"/>
              <w:snapToGrid w:val="0"/>
              <w:spacing w:line="440" w:lineRule="exact"/>
              <w:rPr>
                <w:rFonts w:hint="default"/>
                <w:color w:val="auto"/>
                <w:sz w:val="24"/>
                <w:highlight w:val="none"/>
                <w:lang w:val="en-US" w:eastAsia="zh-CN"/>
              </w:rPr>
            </w:pPr>
          </w:p>
        </w:tc>
      </w:tr>
      <w:tr w14:paraId="6E90C3FC">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0AAA3B8">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31F10A0">
            <w:pPr>
              <w:pageBreakBefore w:val="0"/>
              <w:kinsoku/>
              <w:wordWrap w:val="0"/>
              <w:overflowPunct/>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中标通知书的形式</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20D94815">
            <w:pPr>
              <w:pageBreakBefore w:val="0"/>
              <w:kinsoku/>
              <w:wordWrap w:val="0"/>
              <w:bidi w:val="0"/>
              <w:spacing w:line="440" w:lineRule="exact"/>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书面形式</w:t>
            </w:r>
          </w:p>
          <w:p w14:paraId="61F5B63E">
            <w:pPr>
              <w:pageBreakBefore w:val="0"/>
              <w:kinsoku/>
              <w:wordWrap w:val="0"/>
              <w:overflowPunct/>
              <w:bidi w:val="0"/>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lang w:val="en-US" w:eastAsia="zh-CN"/>
              </w:rPr>
              <w:t>电子形式：</w:t>
            </w:r>
            <w:r>
              <w:rPr>
                <w:rFonts w:hint="eastAsia" w:cs="Times New Roman"/>
                <w:color w:val="auto"/>
                <w:sz w:val="24"/>
                <w:szCs w:val="24"/>
                <w:highlight w:val="none"/>
                <w:lang w:val="en-US" w:eastAsia="zh-CN"/>
              </w:rPr>
              <w:t xml:space="preserve">            </w:t>
            </w:r>
          </w:p>
        </w:tc>
      </w:tr>
      <w:tr w14:paraId="6A22294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5E0CB2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B2F0853">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中标结果公告媒介及期限</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1BE70171">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公告媒介：同发布招标公告媒介</w:t>
            </w:r>
          </w:p>
          <w:p w14:paraId="7BCC0869">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公告期限：</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tc>
      </w:tr>
      <w:tr w14:paraId="58943427">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10C2CEBF">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7.7.1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7F904F">
            <w:pP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履约保证金</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5EE28A3F">
            <w:pPr>
              <w:pStyle w:val="15"/>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是否要求中标人提交履约保证金：</w:t>
            </w:r>
          </w:p>
          <w:p w14:paraId="0B674437">
            <w:pPr>
              <w:pStyle w:val="15"/>
              <w:keepNext w:val="0"/>
              <w:keepLines w:val="0"/>
              <w:pageBreakBefore w:val="0"/>
              <w:widowControl w:val="0"/>
              <w:kinsoku/>
              <w:wordWrap w:val="0"/>
              <w:overflowPunct/>
              <w:topLinePunct/>
              <w:autoSpaceDE/>
              <w:autoSpaceDN/>
              <w:bidi w:val="0"/>
              <w:adjustRightInd/>
              <w:snapToGrid/>
              <w:spacing w:line="440" w:lineRule="exact"/>
              <w:textAlignment w:val="auto"/>
              <w:rPr>
                <w:rFonts w:hint="default" w:ascii="Times New Roman" w:hAnsi="Times New Roman" w:cs="Times New Roman"/>
                <w:color w:val="auto"/>
                <w:sz w:val="24"/>
                <w:szCs w:val="24"/>
                <w:highlight w:val="none"/>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要求，履约保证金的形式：</w:t>
            </w:r>
            <w:r>
              <w:rPr>
                <w:rFonts w:hint="default" w:ascii="Times New Roman" w:hAnsi="Times New Roman" w:cs="Times New Roman"/>
                <w:sz w:val="24"/>
                <w:szCs w:val="24"/>
                <w:u w:val="single"/>
              </w:rPr>
              <w:t>由中标人自主选择银行保函或者现金、支票 等招标人可接受的支付形式。</w:t>
            </w:r>
            <w:r>
              <w:rPr>
                <w:rFonts w:hint="default" w:ascii="Times New Roman" w:hAnsi="Times New Roman" w:cs="Times New Roman"/>
                <w:color w:val="auto"/>
                <w:sz w:val="24"/>
                <w:szCs w:val="24"/>
                <w:highlight w:val="none"/>
                <w:u w:val="single"/>
                <w:lang w:val="en-US" w:eastAsia="zh-CN"/>
              </w:rPr>
              <w:t xml:space="preserve"> </w:t>
            </w:r>
            <w:r>
              <w:rPr>
                <w:rStyle w:val="47"/>
                <w:rFonts w:hint="default" w:ascii="Times New Roman" w:hAnsi="Times New Roman" w:cs="Times New Roman"/>
                <w:color w:val="auto"/>
                <w:sz w:val="24"/>
                <w:szCs w:val="24"/>
                <w:highlight w:val="none"/>
              </w:rPr>
              <w:footnoteReference w:id="13"/>
            </w:r>
          </w:p>
          <w:p w14:paraId="76695955">
            <w:pPr>
              <w:wordWrap w:val="0"/>
              <w:spacing w:line="440" w:lineRule="exact"/>
              <w:ind w:firstLine="480" w:firstLineChars="200"/>
              <w:rPr>
                <w:color w:val="auto"/>
                <w:sz w:val="24"/>
                <w:highlight w:val="none"/>
              </w:rPr>
            </w:pPr>
            <w:r>
              <w:rPr>
                <w:color w:val="auto"/>
                <w:sz w:val="24"/>
                <w:highlight w:val="none"/>
              </w:rPr>
              <w:t>履约保证金的金额：</w:t>
            </w:r>
            <w:r>
              <w:rPr>
                <w:rFonts w:hint="eastAsia" w:ascii="宋体" w:hAnsi="宋体" w:eastAsia="宋体" w:cs="宋体"/>
                <w:b/>
                <w:bCs/>
                <w:sz w:val="24"/>
                <w:szCs w:val="24"/>
                <w:u w:val="single"/>
              </w:rPr>
              <w:t xml:space="preserve"> </w:t>
            </w:r>
            <w:r>
              <w:rPr>
                <w:rFonts w:hint="eastAsia" w:ascii="宋体" w:hAnsi="宋体" w:eastAsia="宋体" w:cs="宋体"/>
                <w:b w:val="0"/>
                <w:bCs w:val="0"/>
                <w:sz w:val="24"/>
                <w:szCs w:val="24"/>
                <w:u w:val="single"/>
              </w:rPr>
              <w:t xml:space="preserve"> 5％</w:t>
            </w:r>
            <w:r>
              <w:rPr>
                <w:rFonts w:hint="default" w:ascii="Times New Roman" w:hAnsi="Times New Roman" w:cs="Times New Roman"/>
                <w:sz w:val="24"/>
                <w:szCs w:val="24"/>
              </w:rPr>
              <w:t>签约合同价</w:t>
            </w:r>
            <w:r>
              <w:rPr>
                <w:rStyle w:val="47"/>
                <w:rFonts w:hint="default" w:ascii="Times New Roman" w:hAnsi="Times New Roman" w:cs="Times New Roman"/>
                <w:color w:val="auto"/>
                <w:sz w:val="24"/>
                <w:szCs w:val="24"/>
                <w:highlight w:val="none"/>
              </w:rPr>
              <w:footnoteReference w:id="14"/>
            </w:r>
          </w:p>
          <w:p w14:paraId="25A58CE8">
            <w:pPr>
              <w:wordWrap w:val="0"/>
              <w:spacing w:line="440" w:lineRule="exact"/>
              <w:ind w:firstLine="448" w:firstLineChars="200"/>
              <w:rPr>
                <w:color w:val="auto"/>
                <w:sz w:val="24"/>
                <w:highlight w:val="none"/>
                <w:u w:val="single"/>
              </w:rPr>
            </w:pPr>
            <w:r>
              <w:rPr>
                <w:color w:val="auto"/>
                <w:spacing w:val="-8"/>
                <w:sz w:val="24"/>
                <w:highlight w:val="none"/>
              </w:rPr>
              <w:t>采用银行保函时，出具保函的银行级别</w:t>
            </w:r>
            <w:r>
              <w:rPr>
                <w:color w:val="auto"/>
                <w:sz w:val="24"/>
                <w:highlight w:val="none"/>
              </w:rPr>
              <w:t>：</w:t>
            </w:r>
            <w:r>
              <w:rPr>
                <w:color w:val="auto"/>
                <w:sz w:val="24"/>
                <w:highlight w:val="none"/>
                <w:u w:val="single"/>
              </w:rPr>
              <w:t xml:space="preserve">  </w:t>
            </w:r>
          </w:p>
          <w:p w14:paraId="7FFB59DC">
            <w:pPr>
              <w:wordWrap w:val="0"/>
              <w:spacing w:line="440" w:lineRule="exact"/>
              <w:ind w:firstLine="480" w:firstLineChars="200"/>
              <w:rPr>
                <w:rFonts w:hint="eastAsia"/>
                <w:color w:val="auto"/>
                <w:sz w:val="24"/>
                <w:highlight w:val="none"/>
                <w:u w:val="single"/>
                <w:lang w:val="en-US" w:eastAsia="zh-CN"/>
              </w:rPr>
            </w:pPr>
            <w:r>
              <w:rPr>
                <w:rFonts w:hint="eastAsia"/>
                <w:color w:val="auto"/>
                <w:sz w:val="24"/>
                <w:highlight w:val="none"/>
                <w:u w:val="none"/>
                <w:lang w:val="en-US" w:eastAsia="zh-CN"/>
              </w:rPr>
              <w:t>采用电子保函：</w:t>
            </w:r>
            <w:r>
              <w:rPr>
                <w:rFonts w:hint="eastAsia"/>
                <w:color w:val="auto"/>
                <w:sz w:val="24"/>
                <w:highlight w:val="none"/>
                <w:u w:val="single"/>
                <w:lang w:val="en-US" w:eastAsia="zh-CN"/>
              </w:rPr>
              <w:t xml:space="preserve">                 </w:t>
            </w:r>
          </w:p>
          <w:p w14:paraId="7BF1848F">
            <w:pPr>
              <w:keepNext w:val="0"/>
              <w:keepLines w:val="0"/>
              <w:pageBreakBefore w:val="0"/>
              <w:widowControl w:val="0"/>
              <w:kinsoku/>
              <w:wordWrap w:val="0"/>
              <w:overflowPunct/>
              <w:autoSpaceDE/>
              <w:autoSpaceDN/>
              <w:bidi w:val="0"/>
              <w:adjustRightInd/>
              <w:snapToGrid/>
              <w:spacing w:line="440" w:lineRule="exac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eastAsia="zh-CN"/>
              </w:rPr>
              <w:t>□</w:t>
            </w:r>
            <w:r>
              <w:rPr>
                <w:rFonts w:hint="default" w:ascii="Times New Roman" w:hAnsi="Times New Roman" w:cs="Times New Roman"/>
                <w:color w:val="auto"/>
                <w:sz w:val="24"/>
                <w:szCs w:val="24"/>
                <w:highlight w:val="none"/>
              </w:rPr>
              <w:t>不要求</w:t>
            </w:r>
          </w:p>
        </w:tc>
      </w:tr>
      <w:tr w14:paraId="29BC03A2">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5D27AD5">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8.5.1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F129A52">
            <w:pPr>
              <w:pageBreakBefore w:val="0"/>
              <w:kinsoku/>
              <w:wordWrap w:val="0"/>
              <w:bidi w:val="0"/>
              <w:spacing w:line="440" w:lineRule="exact"/>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监督部门</w:t>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77BFC95F">
            <w:pPr>
              <w:pageBreakBefore w:val="0"/>
              <w:kinsoku/>
              <w:wordWrap w:val="0"/>
              <w:bidi w:val="0"/>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监督部门：</w:t>
            </w:r>
            <w:r>
              <w:rPr>
                <w:rFonts w:hint="default" w:ascii="Times New Roman" w:hAnsi="Times New Roman" w:cs="Times New Roman"/>
                <w:color w:val="auto"/>
                <w:sz w:val="24"/>
                <w:szCs w:val="24"/>
                <w:highlight w:val="none"/>
                <w:u w:val="single"/>
              </w:rPr>
              <w:t>大石桥市交通运输局</w:t>
            </w:r>
          </w:p>
          <w:p w14:paraId="14E87CA8">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    址：</w:t>
            </w:r>
            <w:r>
              <w:rPr>
                <w:rFonts w:hint="default" w:ascii="Times New Roman" w:hAnsi="Times New Roman" w:cs="Times New Roman"/>
                <w:color w:val="auto"/>
                <w:sz w:val="24"/>
                <w:szCs w:val="24"/>
                <w:highlight w:val="none"/>
                <w:u w:val="single"/>
              </w:rPr>
              <w:t xml:space="preserve">  大石桥市  </w:t>
            </w:r>
          </w:p>
          <w:p w14:paraId="58764E7E">
            <w:pPr>
              <w:pageBreakBefore w:val="0"/>
              <w:kinsoku/>
              <w:wordWrap w:val="0"/>
              <w:bidi w:val="0"/>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电    话：</w:t>
            </w:r>
            <w:r>
              <w:rPr>
                <w:rFonts w:hint="default" w:ascii="Times New Roman" w:hAnsi="Times New Roman" w:cs="Times New Roman"/>
                <w:color w:val="auto"/>
                <w:sz w:val="24"/>
                <w:szCs w:val="24"/>
                <w:highlight w:val="none"/>
                <w:u w:val="single"/>
              </w:rPr>
              <w:t>0417-5836231</w:t>
            </w:r>
          </w:p>
          <w:p w14:paraId="16C2A3E3">
            <w:pPr>
              <w:pageBreakBefore w:val="0"/>
              <w:kinsoku/>
              <w:wordWrap w:val="0"/>
              <w:bidi w:val="0"/>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传    真：</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rPr>
              <w:t xml:space="preserve">        </w:t>
            </w:r>
          </w:p>
          <w:p w14:paraId="5A70CC13">
            <w:pPr>
              <w:pageBreakBefore w:val="0"/>
              <w:kinsoku/>
              <w:wordWrap w:val="0"/>
              <w:bidi w:val="0"/>
              <w:spacing w:line="440" w:lineRule="exact"/>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邮政编码：</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w:t>
            </w:r>
            <w:r>
              <w:rPr>
                <w:rFonts w:hint="default" w:ascii="Times New Roman" w:hAnsi="Times New Roman" w:cs="Times New Roman"/>
                <w:color w:val="auto"/>
                <w:sz w:val="24"/>
                <w:szCs w:val="24"/>
                <w:highlight w:val="none"/>
                <w:u w:val="single"/>
              </w:rPr>
              <w:t xml:space="preserve">        </w:t>
            </w:r>
          </w:p>
          <w:p w14:paraId="5BFFDBFF">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补充：</w:t>
            </w:r>
          </w:p>
          <w:p w14:paraId="664D27E7">
            <w:pPr>
              <w:widowControl w:val="0"/>
              <w:spacing w:line="440" w:lineRule="exact"/>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none"/>
                <w:u w:val="none"/>
                <w:lang w:val="en-US" w:eastAsia="zh-CN" w:bidi="ar-SA"/>
              </w:rPr>
              <w:fldChar w:fldCharType="end"/>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发改法规〔2021〕240号）、交通运输部</w:t>
            </w:r>
            <w:r>
              <w:rPr>
                <w:rFonts w:hint="default" w:ascii="Times New Roman" w:hAnsi="Times New Roman" w:eastAsia="宋体" w:cs="Times New Roman"/>
                <w:color w:val="auto"/>
                <w:kern w:val="2"/>
                <w:sz w:val="24"/>
                <w:szCs w:val="24"/>
                <w:highlight w:val="none"/>
                <w:lang w:val="en-US" w:eastAsia="zh-CN" w:bidi="ar-SA"/>
              </w:rPr>
              <w:t>《公路工程建设项目招标投标管理办法》等相关规定，接受针对公示内容的投诉。投诉材料要求、投诉受理条件及查处按照上述规定执行。</w:t>
            </w:r>
          </w:p>
          <w:p w14:paraId="4FAECA85">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（1）如果投标人或其他利害关系人就招标文件、开标及评标结果等事项投诉的，应当按法律、法规有关异议的规定先向招标人提出异议，对招标人的答复不满意或招标人未答复的，可向有关行政监督部门投诉。</w:t>
            </w:r>
          </w:p>
          <w:p w14:paraId="1CE84880">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（2）对于按法律法规规定需要先提出异议的投诉，行政监督部门在受理投诉时另</w:t>
            </w:r>
            <w:r>
              <w:rPr>
                <w:rFonts w:hint="eastAsia" w:cs="Times New Roman"/>
                <w:color w:val="auto"/>
                <w:sz w:val="24"/>
                <w:szCs w:val="24"/>
                <w:highlight w:val="none"/>
                <w:lang w:val="en-US" w:eastAsia="zh-CN"/>
              </w:rPr>
              <w:t>行</w:t>
            </w:r>
            <w:r>
              <w:rPr>
                <w:rFonts w:hint="default" w:ascii="Times New Roman" w:hAnsi="Times New Roman" w:eastAsia="宋体" w:cs="Times New Roman"/>
                <w:color w:val="auto"/>
                <w:sz w:val="24"/>
                <w:szCs w:val="24"/>
                <w:highlight w:val="none"/>
              </w:rPr>
              <w:t>要求投诉人递交提出异议的证明文件，已向其他有关行政监督部门投诉的，应当一并说明。未按规定提出异议或者未提交已提出异议的证明文件的投诉，不予受理。</w:t>
            </w:r>
          </w:p>
          <w:p w14:paraId="33662B8E">
            <w:pPr>
              <w:spacing w:line="440" w:lineRule="exact"/>
              <w:ind w:left="525" w:hanging="600" w:hangingChars="25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7F27174A">
            <w:pPr>
              <w:pageBreakBefore w:val="0"/>
              <w:kinsoku/>
              <w:wordWrap w:val="0"/>
              <w:bidi w:val="0"/>
              <w:spacing w:line="440" w:lineRule="exact"/>
              <w:ind w:left="636" w:leftChars="0" w:hanging="636" w:hangingChars="265"/>
              <w:rPr>
                <w:rFonts w:hint="default" w:ascii="Times New Roman" w:hAnsi="Times New Roman" w:cs="Times New Roman"/>
                <w:color w:val="auto"/>
                <w:sz w:val="24"/>
                <w:szCs w:val="24"/>
                <w:highlight w:val="none"/>
                <w:u w:val="single"/>
              </w:rPr>
            </w:pPr>
            <w:r>
              <w:rPr>
                <w:rFonts w:hint="default" w:ascii="Times New Roman" w:hAnsi="Times New Roman" w:eastAsia="宋体" w:cs="Times New Roman"/>
                <w:color w:val="auto"/>
                <w:sz w:val="24"/>
                <w:szCs w:val="24"/>
                <w:highlight w:val="none"/>
              </w:rPr>
              <w:t>（4）行政监督部门对投诉事项作出的处理决定，在对该项目具有招标监督职责的部门网站上进行公告，包括投诉的事由、调查结果、处理决定、处罚依据以及处罚意见等内容。</w:t>
            </w:r>
          </w:p>
        </w:tc>
      </w:tr>
      <w:tr w14:paraId="47D92974">
        <w:tblPrEx>
          <w:tblCellMar>
            <w:top w:w="0" w:type="dxa"/>
            <w:left w:w="108" w:type="dxa"/>
            <w:bottom w:w="0" w:type="dxa"/>
            <w:right w:w="108" w:type="dxa"/>
          </w:tblCellMar>
        </w:tblPrEx>
        <w:trPr>
          <w:trHeight w:val="340" w:hRule="atLeast"/>
        </w:trPr>
        <w:tc>
          <w:tcPr>
            <w:tcW w:w="9004" w:type="dxa"/>
            <w:gridSpan w:val="3"/>
            <w:tcBorders>
              <w:top w:val="single" w:color="auto" w:sz="4" w:space="0"/>
              <w:left w:val="single" w:color="auto" w:sz="4" w:space="0"/>
              <w:bottom w:val="single" w:color="auto" w:sz="4" w:space="0"/>
              <w:right w:val="single" w:color="auto" w:sz="4" w:space="0"/>
            </w:tcBorders>
            <w:noWrap w:val="0"/>
            <w:vAlign w:val="center"/>
          </w:tcPr>
          <w:p w14:paraId="2FEE0998">
            <w:pPr>
              <w:pageBreakBefore w:val="0"/>
              <w:kinsoku/>
              <w:wordWrap w:val="0"/>
              <w:bidi w:val="0"/>
              <w:spacing w:line="44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需要补充的其他内容</w:t>
            </w:r>
          </w:p>
        </w:tc>
      </w:tr>
      <w:tr w14:paraId="7A14FBAE">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DCFEE14">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9.1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A0D562">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施工组织设计的编制要求</w:t>
            </w:r>
            <w:r>
              <w:rPr>
                <w:rStyle w:val="47"/>
                <w:rFonts w:hint="default" w:ascii="Times New Roman" w:hAnsi="Times New Roman" w:cs="Times New Roman"/>
                <w:color w:val="auto"/>
                <w:sz w:val="24"/>
                <w:szCs w:val="24"/>
                <w:highlight w:val="none"/>
                <w:lang w:val="en-US" w:eastAsia="zh-CN"/>
              </w:rPr>
              <w:footnoteReference w:id="15"/>
            </w:r>
          </w:p>
        </w:tc>
        <w:tc>
          <w:tcPr>
            <w:tcW w:w="4867" w:type="dxa"/>
            <w:tcBorders>
              <w:top w:val="single" w:color="auto" w:sz="4" w:space="0"/>
              <w:left w:val="single" w:color="auto" w:sz="4" w:space="0"/>
              <w:bottom w:val="single" w:color="auto" w:sz="4" w:space="0"/>
              <w:right w:val="single" w:color="auto" w:sz="4" w:space="0"/>
            </w:tcBorders>
            <w:noWrap w:val="0"/>
            <w:vAlign w:val="center"/>
          </w:tcPr>
          <w:p w14:paraId="377B2D16">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投标文件</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val="en-US" w:eastAsia="zh-CN"/>
              </w:rPr>
              <w:t>施工组织设计</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编制要求：</w:t>
            </w:r>
          </w:p>
          <w:p w14:paraId="2B04CD50">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采用暗标形式，必须按下列格式编制，否则视为未对招标文件作出实质性响应，按否决投标处理。</w:t>
            </w:r>
          </w:p>
          <w:p w14:paraId="7BA3A07C">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（1）采用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（大小）</w:t>
            </w:r>
            <w:r>
              <w:rPr>
                <w:rFonts w:hint="default" w:ascii="Times New Roman" w:hAnsi="Times New Roman" w:cs="Times New Roman"/>
                <w:color w:val="000000"/>
                <w:sz w:val="24"/>
                <w:szCs w:val="24"/>
                <w:highlight w:val="none"/>
              </w:rPr>
              <w:t>纸张。页边距：</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w:t>
            </w:r>
          </w:p>
          <w:p w14:paraId="5CA036B8">
            <w:pPr>
              <w:pageBreakBefore w:val="0"/>
              <w:kinsoku/>
              <w:wordWrap w:val="0"/>
              <w:bidi w:val="0"/>
              <w:spacing w:line="440" w:lineRule="exact"/>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（2）除图纸、图表外所用文字采用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（字体、字号、颜色要求）</w:t>
            </w:r>
            <w:r>
              <w:rPr>
                <w:rFonts w:hint="default" w:ascii="Times New Roman" w:hAnsi="Times New Roman" w:cs="Times New Roman"/>
                <w:color w:val="000000"/>
                <w:sz w:val="24"/>
                <w:szCs w:val="24"/>
                <w:highlight w:val="none"/>
              </w:rPr>
              <w:t>，图纸、图表中所有文字采用</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（字体、字号、颜色要求）</w:t>
            </w:r>
            <w:r>
              <w:rPr>
                <w:rFonts w:hint="default" w:ascii="Times New Roman" w:hAnsi="Times New Roman" w:cs="Times New Roman"/>
                <w:color w:val="000000"/>
                <w:sz w:val="24"/>
                <w:szCs w:val="24"/>
                <w:highlight w:val="none"/>
              </w:rPr>
              <w:t>；不得有任何加粗、斜体、下划线、边框、底纹、阴影等标记。不得设置目录、页码、页眉、页脚；段落设置：</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u w:val="none"/>
                <w:lang w:val="en-US" w:eastAsia="zh-CN"/>
              </w:rPr>
              <w:t>（行距要求）</w:t>
            </w:r>
            <w:r>
              <w:rPr>
                <w:rFonts w:hint="default" w:ascii="Times New Roman" w:hAnsi="Times New Roman" w:cs="Times New Roman"/>
                <w:color w:val="000000"/>
                <w:sz w:val="24"/>
                <w:szCs w:val="24"/>
                <w:highlight w:val="none"/>
              </w:rPr>
              <w:t>，段落设置中</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如果定义了文档网格，则自动调整右缩进</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不打勾，</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如果定义了文档网格，则对齐到网格</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要打勾。</w:t>
            </w:r>
          </w:p>
          <w:p w14:paraId="223D2D29">
            <w:pPr>
              <w:pageBreakBefore w:val="0"/>
              <w:kinsoku/>
              <w:wordWrap w:val="0"/>
              <w:bidi w:val="0"/>
              <w:spacing w:line="440" w:lineRule="exact"/>
              <w:jc w:val="both"/>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000000"/>
                <w:sz w:val="24"/>
                <w:szCs w:val="24"/>
                <w:highlight w:val="none"/>
                <w:lang w:val="en-US" w:eastAsia="zh-CN"/>
              </w:rPr>
              <w:t>投标人</w:t>
            </w:r>
            <w:r>
              <w:rPr>
                <w:rFonts w:hint="default" w:ascii="Times New Roman" w:hAnsi="Times New Roman" w:cs="Times New Roman"/>
                <w:color w:val="000000"/>
                <w:sz w:val="24"/>
                <w:szCs w:val="24"/>
                <w:highlight w:val="none"/>
              </w:rPr>
              <w:t>或人员电子签章，不得出现其他不符合暗标要求的内容</w:t>
            </w:r>
            <w:r>
              <w:rPr>
                <w:rFonts w:hint="default" w:ascii="Times New Roman" w:hAnsi="Times New Roman" w:cs="Times New Roman"/>
                <w:color w:val="000000"/>
                <w:sz w:val="24"/>
                <w:szCs w:val="24"/>
                <w:highlight w:val="none"/>
                <w:lang w:eastAsia="zh-CN"/>
              </w:rPr>
              <w:t>。</w:t>
            </w:r>
          </w:p>
          <w:p w14:paraId="6E05A15D">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4</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其他要求：</w:t>
            </w:r>
            <w:r>
              <w:rPr>
                <w:rFonts w:hint="default" w:ascii="Times New Roman" w:hAnsi="Times New Roman" w:cs="Times New Roman"/>
                <w:color w:val="000000"/>
                <w:sz w:val="24"/>
                <w:szCs w:val="24"/>
                <w:highlight w:val="none"/>
                <w:u w:val="single"/>
                <w:lang w:val="en-US" w:eastAsia="zh-CN"/>
              </w:rPr>
              <w:t xml:space="preserve">  </w:t>
            </w:r>
            <w:r>
              <w:rPr>
                <w:rFonts w:hint="eastAsia" w:cs="Times New Roman"/>
                <w:color w:val="000000"/>
                <w:sz w:val="24"/>
                <w:szCs w:val="24"/>
                <w:highlight w:val="none"/>
                <w:u w:val="single"/>
                <w:lang w:val="en-US" w:eastAsia="zh-CN"/>
              </w:rPr>
              <w:t>本项目不采用暗标</w:t>
            </w:r>
            <w:r>
              <w:rPr>
                <w:rFonts w:hint="default" w:ascii="Times New Roman" w:hAnsi="Times New Roman" w:cs="Times New Roman"/>
                <w:color w:val="000000"/>
                <w:sz w:val="24"/>
                <w:szCs w:val="24"/>
                <w:highlight w:val="none"/>
                <w:u w:val="single"/>
              </w:rPr>
              <w:t>形式</w:t>
            </w:r>
            <w:r>
              <w:rPr>
                <w:rFonts w:hint="default" w:ascii="Times New Roman" w:hAnsi="Times New Roman" w:cs="Times New Roman"/>
                <w:color w:val="000000"/>
                <w:sz w:val="24"/>
                <w:szCs w:val="24"/>
                <w:highlight w:val="none"/>
                <w:u w:val="single"/>
                <w:lang w:val="en-US" w:eastAsia="zh-CN"/>
              </w:rPr>
              <w:t xml:space="preserve">  </w:t>
            </w:r>
            <w:r>
              <w:rPr>
                <w:rFonts w:hint="default" w:ascii="Times New Roman" w:hAnsi="Times New Roman" w:cs="Times New Roman"/>
                <w:color w:val="000000"/>
                <w:sz w:val="24"/>
                <w:szCs w:val="24"/>
                <w:highlight w:val="none"/>
              </w:rPr>
              <w:t>。</w:t>
            </w:r>
          </w:p>
        </w:tc>
      </w:tr>
      <w:tr w14:paraId="6B226EAA">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DD8403D">
            <w:pPr>
              <w:pageBreakBefore w:val="0"/>
              <w:kinsoku/>
              <w:wordWrap w:val="0"/>
              <w:bidi w:val="0"/>
              <w:spacing w:line="440" w:lineRule="exact"/>
              <w:jc w:val="center"/>
              <w:rPr>
                <w:rFonts w:hint="eastAsia" w:eastAsia="宋体" w:cs="Times New Roman"/>
                <w:color w:val="auto"/>
                <w:sz w:val="24"/>
                <w:szCs w:val="24"/>
                <w:highlight w:val="none"/>
                <w:lang w:val="en-US" w:eastAsia="zh-CN"/>
              </w:rPr>
            </w:pP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2</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76993E09">
            <w:pPr>
              <w:spacing w:line="44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投标人须知正文补充第</w:t>
            </w:r>
            <w:r>
              <w:rPr>
                <w:rFonts w:hint="eastAsia" w:cs="Times New Roman"/>
                <w:color w:val="auto"/>
                <w:sz w:val="24"/>
                <w:szCs w:val="24"/>
                <w:highlight w:val="none"/>
                <w:lang w:eastAsia="zh-CN"/>
              </w:rPr>
              <w:t>9</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2款</w:t>
            </w:r>
            <w:r>
              <w:rPr>
                <w:rFonts w:hint="default" w:ascii="Times New Roman" w:hAnsi="Times New Roman" w:eastAsia="宋体" w:cs="Times New Roman"/>
                <w:color w:val="auto"/>
                <w:sz w:val="24"/>
                <w:szCs w:val="24"/>
                <w:highlight w:val="none"/>
                <w:vertAlign w:val="superscript"/>
              </w:rPr>
              <w:footnoteReference w:id="16"/>
            </w:r>
            <w:r>
              <w:rPr>
                <w:rFonts w:hint="default" w:ascii="Times New Roman" w:hAnsi="Times New Roman" w:eastAsia="宋体" w:cs="Times New Roman"/>
                <w:color w:val="auto"/>
                <w:sz w:val="24"/>
                <w:szCs w:val="24"/>
                <w:highlight w:val="none"/>
              </w:rPr>
              <w:t>：</w:t>
            </w:r>
          </w:p>
          <w:p w14:paraId="15A556EB">
            <w:pPr>
              <w:pageBreakBefore w:val="0"/>
              <w:kinsoku/>
              <w:wordWrap w:val="0"/>
              <w:bidi w:val="0"/>
              <w:spacing w:line="440" w:lineRule="exact"/>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6CBFFA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570925A">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yellow"/>
                <w:lang w:val="en-US" w:eastAsia="zh-CN" w:bidi="ar-SA"/>
              </w:rPr>
            </w:pPr>
            <w:r>
              <w:rPr>
                <w:rFonts w:hint="eastAsia" w:cs="Times New Roman"/>
                <w:color w:val="auto"/>
                <w:kern w:val="2"/>
                <w:sz w:val="24"/>
                <w:szCs w:val="24"/>
                <w:highlight w:val="none"/>
                <w:lang w:val="en-US" w:eastAsia="zh-CN" w:bidi="ar-SA"/>
              </w:rPr>
              <w:t>补充</w:t>
            </w:r>
          </w:p>
        </w:tc>
        <w:tc>
          <w:tcPr>
            <w:tcW w:w="7968" w:type="dxa"/>
            <w:gridSpan w:val="2"/>
            <w:tcBorders>
              <w:top w:val="single" w:color="auto" w:sz="4" w:space="0"/>
              <w:left w:val="single" w:color="auto" w:sz="4" w:space="0"/>
              <w:bottom w:val="single" w:color="auto" w:sz="4" w:space="0"/>
              <w:right w:val="single" w:color="auto" w:sz="4" w:space="0"/>
            </w:tcBorders>
            <w:noWrap w:val="0"/>
            <w:vAlign w:val="center"/>
          </w:tcPr>
          <w:p w14:paraId="59806794">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yellow"/>
                <w:lang w:val="en-US" w:eastAsia="zh-CN" w:bidi="ar-SA"/>
              </w:rPr>
            </w:pPr>
            <w:r>
              <w:rPr>
                <w:rFonts w:hint="eastAsia" w:cs="Times New Roman"/>
                <w:color w:val="000000"/>
                <w:sz w:val="24"/>
                <w:szCs w:val="24"/>
                <w:lang w:val="en-US" w:eastAsia="zh-CN"/>
              </w:rPr>
              <w:t>澄清和修改内容将以编号的补遗书形式发布给投标人。补遗书作为招标文件的组成部分，对所有投标人均具有约束力。当招标文件、补遗书在同一内容的表述上不一致时，以最后发出的书面文件为准。</w:t>
            </w:r>
          </w:p>
        </w:tc>
      </w:tr>
      <w:tr w14:paraId="50A588A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54AE6A4A">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4ABD5D6">
            <w:pPr>
              <w:spacing w:before="69" w:line="328" w:lineRule="auto"/>
              <w:ind w:right="96"/>
              <w:jc w:val="left"/>
              <w:rPr>
                <w:rFonts w:hint="eastAsia" w:ascii="宋体" w:hAnsi="宋体" w:eastAsia="宋体" w:cs="宋体"/>
                <w:sz w:val="24"/>
                <w:szCs w:val="24"/>
              </w:rPr>
            </w:pPr>
            <w:r>
              <w:rPr>
                <w:rFonts w:hint="eastAsia" w:ascii="宋体" w:hAnsi="宋体" w:eastAsia="宋体" w:cs="宋体"/>
                <w:spacing w:val="14"/>
                <w:sz w:val="24"/>
                <w:szCs w:val="24"/>
              </w:rPr>
              <w:t>投标</w:t>
            </w:r>
            <w:r>
              <w:rPr>
                <w:rFonts w:hint="eastAsia" w:ascii="宋体" w:hAnsi="宋体" w:eastAsia="宋体" w:cs="宋体"/>
                <w:spacing w:val="7"/>
                <w:sz w:val="24"/>
                <w:szCs w:val="24"/>
              </w:rPr>
              <w:t>人应根据《公路水运工程安全生产监督管理办法》 以及《关于印发&lt;</w:t>
            </w:r>
            <w:r>
              <w:rPr>
                <w:rFonts w:hint="eastAsia" w:ascii="宋体" w:hAnsi="宋体" w:eastAsia="宋体" w:cs="宋体"/>
                <w:sz w:val="24"/>
                <w:szCs w:val="24"/>
              </w:rPr>
              <w:t xml:space="preserve"> </w:t>
            </w:r>
            <w:r>
              <w:rPr>
                <w:rFonts w:hint="eastAsia" w:ascii="宋体" w:hAnsi="宋体" w:eastAsia="宋体" w:cs="宋体"/>
                <w:spacing w:val="7"/>
                <w:sz w:val="24"/>
                <w:szCs w:val="24"/>
              </w:rPr>
              <w:t>企</w:t>
            </w:r>
            <w:r>
              <w:rPr>
                <w:rFonts w:hint="eastAsia" w:ascii="宋体" w:hAnsi="宋体" w:eastAsia="宋体" w:cs="宋体"/>
                <w:spacing w:val="5"/>
                <w:sz w:val="24"/>
                <w:szCs w:val="24"/>
              </w:rPr>
              <w:t>业安全生产费用提取和使用管理办法&gt;的通知》  (财企〔2012〕16 号) 的规</w:t>
            </w:r>
            <w:r>
              <w:rPr>
                <w:rFonts w:hint="eastAsia" w:ascii="宋体" w:hAnsi="宋体" w:eastAsia="宋体" w:cs="宋体"/>
                <w:spacing w:val="15"/>
                <w:sz w:val="24"/>
                <w:szCs w:val="24"/>
              </w:rPr>
              <w:t>定</w:t>
            </w:r>
            <w:r>
              <w:rPr>
                <w:rFonts w:hint="eastAsia" w:ascii="宋体" w:hAnsi="宋体" w:eastAsia="宋体" w:cs="宋体"/>
                <w:spacing w:val="8"/>
                <w:sz w:val="24"/>
                <w:szCs w:val="24"/>
              </w:rPr>
              <w:t>，在投标总价中计入安全生产费用，</w:t>
            </w:r>
            <w:r>
              <w:rPr>
                <w:rFonts w:hint="eastAsia" w:ascii="宋体" w:hAnsi="宋体" w:eastAsia="宋体" w:cs="宋体"/>
                <w:b/>
                <w:bCs/>
                <w:spacing w:val="8"/>
                <w:sz w:val="24"/>
                <w:szCs w:val="24"/>
              </w:rPr>
              <w:t>安全生产费用以固定金额形式计入工程</w:t>
            </w:r>
            <w:r>
              <w:rPr>
                <w:rFonts w:hint="eastAsia" w:ascii="宋体" w:hAnsi="宋体" w:eastAsia="宋体" w:cs="宋体"/>
                <w:b/>
                <w:bCs/>
                <w:sz w:val="24"/>
                <w:szCs w:val="24"/>
              </w:rPr>
              <w:t xml:space="preserve"> </w:t>
            </w:r>
            <w:r>
              <w:rPr>
                <w:rFonts w:hint="eastAsia" w:ascii="宋体" w:hAnsi="宋体" w:eastAsia="宋体" w:cs="宋体"/>
                <w:b/>
                <w:bCs/>
                <w:spacing w:val="7"/>
                <w:sz w:val="24"/>
                <w:szCs w:val="24"/>
              </w:rPr>
              <w:t xml:space="preserve">量清单第 100 章中 </w:t>
            </w:r>
            <w:r>
              <w:rPr>
                <w:rFonts w:hint="eastAsia" w:ascii="宋体" w:hAnsi="宋体" w:eastAsia="宋体" w:cs="宋体"/>
                <w:b/>
                <w:bCs/>
                <w:spacing w:val="7"/>
                <w:sz w:val="24"/>
                <w:szCs w:val="24"/>
                <w:highlight w:val="yellow"/>
              </w:rPr>
              <w:t>(安全生产费用为招标人公布的最高投标限价的 1.5％</w:t>
            </w:r>
            <w:r>
              <w:rPr>
                <w:rFonts w:hint="eastAsia" w:ascii="宋体" w:hAnsi="宋体" w:eastAsia="宋体" w:cs="宋体"/>
                <w:b/>
                <w:bCs/>
                <w:spacing w:val="7"/>
                <w:sz w:val="24"/>
                <w:szCs w:val="24"/>
                <w:highlight w:val="yellow"/>
                <w:lang w:eastAsia="zh-CN"/>
              </w:rPr>
              <w:t>，</w:t>
            </w:r>
            <w:r>
              <w:rPr>
                <w:rFonts w:hint="eastAsia" w:ascii="宋体" w:hAnsi="宋体" w:eastAsia="宋体" w:cs="宋体"/>
                <w:b/>
                <w:bCs/>
                <w:spacing w:val="7"/>
                <w:sz w:val="24"/>
                <w:szCs w:val="24"/>
                <w:highlight w:val="yellow"/>
              </w:rPr>
              <w:t>安全生产费用</w:t>
            </w:r>
            <w:r>
              <w:rPr>
                <w:rFonts w:hint="eastAsia" w:ascii="宋体" w:hAnsi="宋体" w:eastAsia="宋体" w:cs="宋体"/>
                <w:b/>
                <w:bCs/>
                <w:spacing w:val="7"/>
                <w:sz w:val="24"/>
                <w:szCs w:val="24"/>
                <w:highlight w:val="yellow"/>
                <w:lang w:eastAsia="zh-CN"/>
              </w:rPr>
              <w:t>：</w:t>
            </w:r>
            <w:r>
              <w:rPr>
                <w:rFonts w:hint="eastAsia" w:ascii="宋体" w:hAnsi="宋体" w:eastAsia="宋体" w:cs="宋体"/>
                <w:b/>
                <w:bCs/>
                <w:spacing w:val="7"/>
                <w:sz w:val="24"/>
                <w:szCs w:val="24"/>
                <w:highlight w:val="yellow"/>
                <w:lang w:val="en-US" w:eastAsia="zh-CN"/>
              </w:rPr>
              <w:t xml:space="preserve">     元 </w:t>
            </w:r>
            <w:r>
              <w:rPr>
                <w:rFonts w:hint="eastAsia" w:ascii="宋体" w:hAnsi="宋体" w:eastAsia="宋体" w:cs="宋体"/>
                <w:b/>
                <w:bCs/>
                <w:spacing w:val="7"/>
                <w:sz w:val="24"/>
                <w:szCs w:val="24"/>
                <w:highlight w:val="yellow"/>
              </w:rPr>
              <w:t xml:space="preserve">) </w:t>
            </w:r>
            <w:r>
              <w:rPr>
                <w:rFonts w:hint="eastAsia" w:ascii="宋体" w:hAnsi="宋体" w:eastAsia="宋体" w:cs="宋体"/>
                <w:b/>
                <w:bCs/>
                <w:sz w:val="24"/>
                <w:szCs w:val="24"/>
                <w:highlight w:val="yellow"/>
              </w:rPr>
              <w:t xml:space="preserve">， </w:t>
            </w:r>
            <w:r>
              <w:rPr>
                <w:rFonts w:hint="eastAsia" w:ascii="宋体" w:hAnsi="宋体" w:eastAsia="宋体" w:cs="宋体"/>
                <w:spacing w:val="15"/>
                <w:sz w:val="24"/>
                <w:szCs w:val="24"/>
              </w:rPr>
              <w:t>投</w:t>
            </w:r>
            <w:r>
              <w:rPr>
                <w:rFonts w:hint="eastAsia" w:ascii="宋体" w:hAnsi="宋体" w:eastAsia="宋体" w:cs="宋体"/>
                <w:spacing w:val="8"/>
                <w:sz w:val="24"/>
                <w:szCs w:val="24"/>
              </w:rPr>
              <w:t>标人在投标报价时不得对该固定金额进行调整。如投标人须在此基础上增加</w:t>
            </w:r>
            <w:r>
              <w:rPr>
                <w:rFonts w:hint="eastAsia" w:ascii="宋体" w:hAnsi="宋体" w:eastAsia="宋体" w:cs="宋体"/>
                <w:spacing w:val="13"/>
                <w:sz w:val="24"/>
                <w:szCs w:val="24"/>
              </w:rPr>
              <w:t>安</w:t>
            </w:r>
            <w:r>
              <w:rPr>
                <w:rFonts w:hint="eastAsia" w:ascii="宋体" w:hAnsi="宋体" w:eastAsia="宋体" w:cs="宋体"/>
                <w:spacing w:val="8"/>
                <w:sz w:val="24"/>
                <w:szCs w:val="24"/>
              </w:rPr>
              <w:t>全生产费用以满足项目施工需要，则投标人应在本项目工程量清单其它相关</w:t>
            </w:r>
            <w:r>
              <w:rPr>
                <w:rFonts w:hint="eastAsia" w:ascii="宋体" w:hAnsi="宋体" w:eastAsia="宋体" w:cs="宋体"/>
                <w:sz w:val="24"/>
                <w:szCs w:val="24"/>
              </w:rPr>
              <w:t xml:space="preserve"> </w:t>
            </w:r>
            <w:r>
              <w:rPr>
                <w:rFonts w:hint="eastAsia" w:ascii="宋体" w:hAnsi="宋体" w:eastAsia="宋体" w:cs="宋体"/>
                <w:spacing w:val="13"/>
                <w:sz w:val="24"/>
                <w:szCs w:val="24"/>
              </w:rPr>
              <w:t>子</w:t>
            </w:r>
            <w:r>
              <w:rPr>
                <w:rFonts w:hint="eastAsia" w:ascii="宋体" w:hAnsi="宋体" w:eastAsia="宋体" w:cs="宋体"/>
                <w:spacing w:val="9"/>
                <w:sz w:val="24"/>
                <w:szCs w:val="24"/>
              </w:rPr>
              <w:t>目的单价或总额价中予以考虑，发包人不再单独支付。</w:t>
            </w:r>
          </w:p>
          <w:p w14:paraId="1128D005">
            <w:pPr>
              <w:pageBreakBefore w:val="0"/>
              <w:kinsoku/>
              <w:wordWrap w:val="0"/>
              <w:bidi w:val="0"/>
              <w:spacing w:line="440" w:lineRule="exact"/>
              <w:jc w:val="left"/>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spacing w:val="18"/>
                <w:sz w:val="24"/>
                <w:szCs w:val="24"/>
              </w:rPr>
              <w:t>承包</w:t>
            </w:r>
            <w:r>
              <w:rPr>
                <w:rFonts w:hint="eastAsia" w:ascii="宋体" w:hAnsi="宋体" w:eastAsia="宋体" w:cs="宋体"/>
                <w:spacing w:val="13"/>
                <w:sz w:val="24"/>
                <w:szCs w:val="24"/>
              </w:rPr>
              <w:t>人</w:t>
            </w:r>
            <w:r>
              <w:rPr>
                <w:rFonts w:hint="eastAsia" w:ascii="宋体" w:hAnsi="宋体" w:eastAsia="宋体" w:cs="宋体"/>
                <w:spacing w:val="9"/>
                <w:sz w:val="24"/>
                <w:szCs w:val="24"/>
              </w:rPr>
              <w:t>的施工安全生产费用，应当用于施工安全防护用具及设施的采购和</w:t>
            </w:r>
            <w:r>
              <w:rPr>
                <w:rFonts w:hint="eastAsia" w:ascii="宋体" w:hAnsi="宋体" w:eastAsia="宋体" w:cs="宋体"/>
                <w:sz w:val="24"/>
                <w:szCs w:val="24"/>
              </w:rPr>
              <w:t xml:space="preserve"> </w:t>
            </w:r>
            <w:r>
              <w:rPr>
                <w:rFonts w:hint="eastAsia" w:ascii="宋体" w:hAnsi="宋体" w:eastAsia="宋体" w:cs="宋体"/>
                <w:spacing w:val="16"/>
                <w:sz w:val="24"/>
                <w:szCs w:val="24"/>
              </w:rPr>
              <w:t>更</w:t>
            </w:r>
            <w:r>
              <w:rPr>
                <w:rFonts w:hint="eastAsia" w:ascii="宋体" w:hAnsi="宋体" w:eastAsia="宋体" w:cs="宋体"/>
                <w:spacing w:val="9"/>
                <w:sz w:val="24"/>
                <w:szCs w:val="24"/>
              </w:rPr>
              <w:t>新、安全施工措施的落实、安全生产条件的改善，不得挪作他用。</w:t>
            </w:r>
          </w:p>
        </w:tc>
      </w:tr>
      <w:tr w14:paraId="0416FB8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B77CCAD">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B5BE193">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0FBFE63D">
            <w:pPr>
              <w:pageBreakBefore w:val="0"/>
              <w:kinsoku/>
              <w:wordWrap w:val="0"/>
              <w:bidi w:val="0"/>
              <w:spacing w:line="440" w:lineRule="exact"/>
              <w:jc w:val="left"/>
              <w:rPr>
                <w:rFonts w:hint="eastAsia" w:ascii="宋体" w:hAnsi="宋体" w:eastAsia="宋体" w:cs="宋体"/>
                <w:b/>
                <w:bCs/>
                <w:spacing w:val="18"/>
                <w:sz w:val="24"/>
                <w:szCs w:val="24"/>
                <w:highlight w:val="yellow"/>
              </w:rPr>
            </w:pPr>
            <w:r>
              <w:rPr>
                <w:rFonts w:hint="eastAsia" w:ascii="宋体" w:hAnsi="宋体" w:eastAsia="宋体" w:cs="宋体"/>
                <w:b/>
                <w:bCs/>
                <w:spacing w:val="18"/>
                <w:sz w:val="24"/>
                <w:szCs w:val="24"/>
                <w:highlight w:val="yellow"/>
              </w:rPr>
              <w:t>本项目最高投标限价</w:t>
            </w:r>
            <w:r>
              <w:rPr>
                <w:rFonts w:hint="eastAsia" w:ascii="宋体" w:hAnsi="宋体" w:eastAsia="宋体" w:cs="宋体"/>
                <w:b/>
                <w:bCs/>
                <w:spacing w:val="18"/>
                <w:sz w:val="24"/>
                <w:szCs w:val="24"/>
                <w:highlight w:val="yellow"/>
                <w:lang w:val="en-US" w:eastAsia="zh-CN"/>
              </w:rPr>
              <w:t xml:space="preserve">        元</w:t>
            </w:r>
            <w:r>
              <w:rPr>
                <w:rFonts w:hint="eastAsia" w:ascii="宋体" w:hAnsi="宋体" w:eastAsia="宋体" w:cs="宋体"/>
                <w:b/>
                <w:bCs/>
                <w:spacing w:val="18"/>
                <w:sz w:val="24"/>
                <w:szCs w:val="24"/>
                <w:highlight w:val="yellow"/>
              </w:rPr>
              <w:t>，其中含</w:t>
            </w:r>
            <w:r>
              <w:rPr>
                <w:rFonts w:hint="eastAsia" w:ascii="宋体" w:hAnsi="宋体" w:eastAsia="宋体" w:cs="宋体"/>
                <w:b/>
                <w:bCs/>
                <w:spacing w:val="18"/>
                <w:sz w:val="24"/>
                <w:szCs w:val="24"/>
                <w:highlight w:val="yellow"/>
                <w:lang w:val="en-US" w:eastAsia="zh-CN"/>
              </w:rPr>
              <w:t>暂列金额</w:t>
            </w:r>
            <w:r>
              <w:rPr>
                <w:rFonts w:hint="eastAsia" w:ascii="宋体" w:hAnsi="宋体" w:eastAsia="宋体" w:cs="宋体"/>
                <w:b/>
                <w:bCs/>
                <w:spacing w:val="18"/>
                <w:sz w:val="24"/>
                <w:szCs w:val="24"/>
                <w:highlight w:val="yellow"/>
              </w:rPr>
              <w:t xml:space="preserve"> </w:t>
            </w:r>
            <w:r>
              <w:rPr>
                <w:rFonts w:hint="eastAsia" w:ascii="宋体" w:hAnsi="宋体" w:eastAsia="宋体" w:cs="宋体"/>
                <w:b/>
                <w:bCs/>
                <w:spacing w:val="18"/>
                <w:sz w:val="24"/>
                <w:szCs w:val="24"/>
                <w:highlight w:val="yellow"/>
                <w:lang w:val="en-US" w:eastAsia="zh-CN"/>
              </w:rPr>
              <w:t xml:space="preserve">     </w:t>
            </w:r>
            <w:r>
              <w:rPr>
                <w:rFonts w:hint="eastAsia" w:ascii="宋体" w:hAnsi="宋体" w:eastAsia="宋体" w:cs="宋体"/>
                <w:b/>
                <w:bCs/>
                <w:spacing w:val="18"/>
                <w:sz w:val="24"/>
                <w:szCs w:val="24"/>
                <w:highlight w:val="yellow"/>
              </w:rPr>
              <w:t>元</w:t>
            </w:r>
            <w:r>
              <w:rPr>
                <w:rFonts w:hint="eastAsia" w:ascii="宋体" w:hAnsi="宋体" w:eastAsia="宋体" w:cs="宋体"/>
                <w:b/>
                <w:bCs/>
                <w:spacing w:val="18"/>
                <w:sz w:val="24"/>
                <w:szCs w:val="24"/>
                <w:highlight w:val="yellow"/>
                <w:lang w:val="en-US" w:eastAsia="zh-CN"/>
              </w:rPr>
              <w:t>(含税)，</w:t>
            </w:r>
            <w:r>
              <w:rPr>
                <w:rFonts w:hint="eastAsia" w:ascii="宋体" w:hAnsi="宋体" w:eastAsia="宋体" w:cs="宋体"/>
                <w:b/>
                <w:bCs/>
                <w:spacing w:val="18"/>
                <w:sz w:val="24"/>
                <w:szCs w:val="24"/>
                <w:highlight w:val="yellow"/>
              </w:rPr>
              <w:t>安全生</w:t>
            </w:r>
            <w:r>
              <w:rPr>
                <w:rFonts w:hint="eastAsia" w:ascii="宋体" w:hAnsi="宋体" w:eastAsia="宋体" w:cs="宋体"/>
                <w:b/>
                <w:bCs/>
                <w:spacing w:val="7"/>
                <w:sz w:val="24"/>
                <w:szCs w:val="24"/>
                <w:highlight w:val="yellow"/>
              </w:rPr>
              <w:t>产费用</w:t>
            </w:r>
            <w:r>
              <w:rPr>
                <w:rFonts w:hint="eastAsia" w:ascii="宋体" w:hAnsi="宋体" w:eastAsia="宋体" w:cs="宋体"/>
                <w:b/>
                <w:bCs/>
                <w:spacing w:val="7"/>
                <w:sz w:val="24"/>
                <w:szCs w:val="24"/>
                <w:highlight w:val="yellow"/>
                <w:lang w:eastAsia="zh-CN"/>
              </w:rPr>
              <w:t>：</w:t>
            </w:r>
            <w:r>
              <w:rPr>
                <w:rFonts w:hint="eastAsia" w:ascii="宋体" w:hAnsi="宋体" w:eastAsia="宋体" w:cs="宋体"/>
                <w:b/>
                <w:bCs/>
                <w:spacing w:val="7"/>
                <w:sz w:val="24"/>
                <w:szCs w:val="24"/>
                <w:highlight w:val="yellow"/>
                <w:lang w:val="en-US" w:eastAsia="zh-CN"/>
              </w:rPr>
              <w:t xml:space="preserve">      元 </w:t>
            </w:r>
            <w:r>
              <w:rPr>
                <w:rFonts w:hint="eastAsia" w:ascii="宋体" w:hAnsi="宋体" w:eastAsia="宋体" w:cs="宋体"/>
                <w:b/>
                <w:bCs/>
                <w:spacing w:val="18"/>
                <w:sz w:val="24"/>
                <w:szCs w:val="24"/>
                <w:highlight w:val="yellow"/>
              </w:rPr>
              <w:t>。</w:t>
            </w:r>
          </w:p>
          <w:p w14:paraId="1141F608">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3.2.9 投标报价的其他要求：</w:t>
            </w:r>
          </w:p>
          <w:p w14:paraId="7A507303">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(1) 施工用电和水应由投标人自行调查解决，所需费用均应已含入工程 量清单各支付子目的单价或总额价中，并计入签约合同价，招标人将不另行支付。</w:t>
            </w:r>
          </w:p>
          <w:p w14:paraId="61212FF9">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(2) 中标人应根据工程实际情况确定临时占地最长使用期限，临时占地 的租地费用由投标人在投标阶段综合考虑并计入相关清单子目报价中，招标人将不另行支付。</w:t>
            </w:r>
          </w:p>
          <w:p w14:paraId="20C4524D">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(3) 投标人的投标报价中应含各类保险费。各类保险费均应已含入工程 量清单各支付子目的单价中，并计入签约合同价，招标人将不另行支付。</w:t>
            </w:r>
          </w:p>
          <w:p w14:paraId="3D8F4432">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(4) 投标人的投标价应包括投标人完成本招标项目施工、缺陷修复工作 的全部费用。投标人应依据相应的工程量计算规则和定额等计价依据计算报 价。</w:t>
            </w:r>
          </w:p>
          <w:p w14:paraId="4459EFB3">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(5) 投标人应自行踏勘现场以充分了解工地位置、情况、道路、储存空 间、装卸限制及任何其他足以影响投标报价的情况，任何因忽视或误解工地情 况而导致的索赔或工期延长申请将不被批准。</w:t>
            </w:r>
          </w:p>
          <w:p w14:paraId="058DD1CB">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(6) 施工期间承包人必须严格执行国家、地方政府有关施工安全管理方 面的法律、法规及规章制度，同时严格执行发包人制订的本项目安全生产管理 方面的规章制度、安全检查程序及施工安全管理要求，所需费用均已含入工程 量清单各支付子目的单价或总额价中，并计入签约合同价，招标人将不另行支 付。</w:t>
            </w:r>
          </w:p>
          <w:p w14:paraId="30D68A8E">
            <w:pPr>
              <w:pageBreakBefore w:val="0"/>
              <w:kinsoku/>
              <w:wordWrap w:val="0"/>
              <w:bidi w:val="0"/>
              <w:spacing w:line="440" w:lineRule="exact"/>
              <w:jc w:val="left"/>
              <w:rPr>
                <w:rFonts w:hint="eastAsia" w:ascii="宋体" w:hAnsi="宋体" w:eastAsia="宋体" w:cs="宋体"/>
                <w:spacing w:val="18"/>
                <w:sz w:val="24"/>
                <w:szCs w:val="24"/>
                <w:highlight w:val="none"/>
              </w:rPr>
            </w:pPr>
            <w:r>
              <w:rPr>
                <w:rFonts w:hint="eastAsia" w:ascii="宋体" w:hAnsi="宋体" w:eastAsia="宋体" w:cs="宋体"/>
                <w:spacing w:val="18"/>
                <w:sz w:val="24"/>
                <w:szCs w:val="24"/>
              </w:rPr>
              <w:t>(7) 投标人应充分考虑采购</w:t>
            </w:r>
            <w:r>
              <w:rPr>
                <w:rFonts w:hint="eastAsia" w:ascii="宋体" w:hAnsi="宋体" w:eastAsia="宋体" w:cs="宋体"/>
                <w:spacing w:val="18"/>
                <w:sz w:val="24"/>
                <w:szCs w:val="24"/>
                <w:highlight w:val="none"/>
              </w:rPr>
              <w:t>满足招标人要求的材料所需的一切费用，所 需费用均应已含入工程量清单各支付子目的单价或总额价中，并计入签约合同 价，招标人将不另行支付。</w:t>
            </w:r>
          </w:p>
          <w:p w14:paraId="6BF753FC">
            <w:pPr>
              <w:pageBreakBefore w:val="0"/>
              <w:kinsoku/>
              <w:wordWrap w:val="0"/>
              <w:bidi w:val="0"/>
              <w:spacing w:line="440" w:lineRule="exact"/>
              <w:jc w:val="left"/>
              <w:rPr>
                <w:rFonts w:hint="eastAsia" w:ascii="宋体" w:hAnsi="宋体" w:eastAsia="宋体" w:cs="宋体"/>
                <w:spacing w:val="18"/>
                <w:sz w:val="24"/>
                <w:szCs w:val="24"/>
                <w:highlight w:val="none"/>
              </w:rPr>
            </w:pPr>
            <w:r>
              <w:rPr>
                <w:rFonts w:hint="eastAsia" w:ascii="宋体" w:hAnsi="宋体" w:eastAsia="宋体" w:cs="宋体"/>
                <w:spacing w:val="18"/>
                <w:sz w:val="24"/>
                <w:szCs w:val="24"/>
                <w:highlight w:val="none"/>
              </w:rPr>
              <w:t>(8) 投标人应充分考虑将本项目旧钢护栏、旧标志标牌等原有设施 (如 有) 运送到招标人指定地点以及对已有的里程碑、百米桩进行维护所需的一切 费用，上述材料及设施归招标人所有，所需运输费用均已含入工程量清单各支 付子目的单价或总额价中，并计入签约合同价，招标人将不另行支付。投标人在投标报价时无需单独考虑该部分费用。</w:t>
            </w:r>
          </w:p>
          <w:p w14:paraId="017429A6">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highlight w:val="none"/>
              </w:rPr>
              <w:t>(9) 投标人应充分考虑本项目施工过程中为保证道路通行所采取的各项 必要措施，所需费用均已含入工程量清单各支付子目的单价或总额价中，并计 入签约合同价，</w:t>
            </w:r>
            <w:r>
              <w:rPr>
                <w:rFonts w:hint="eastAsia" w:ascii="宋体" w:hAnsi="宋体" w:eastAsia="宋体" w:cs="宋体"/>
                <w:spacing w:val="18"/>
                <w:sz w:val="24"/>
                <w:szCs w:val="24"/>
              </w:rPr>
              <w:t>招标人将不另行支付。</w:t>
            </w:r>
          </w:p>
          <w:p w14:paraId="4CAAAFFF">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(10) 投标人应充分考虑不间断施工所需的生产生活相关费用，所需费用 均已含入工程量清单各支付子目的单价或总额价中，并计入签约合同价，招标 人将不另行支付。</w:t>
            </w:r>
          </w:p>
          <w:p w14:paraId="2A7CDD89">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(11) 本项目承包人的临时用地选址应由投标人自行调查解决，各投标人 应对临时用地位置和面积合理设置施工所需的生产生活设施，所需费用均已含 入工程量清单各支付子目的单价或总额价中，并计入签约合同价，招标人将不 另行支付。</w:t>
            </w:r>
          </w:p>
          <w:p w14:paraId="2ADD0C81">
            <w:pPr>
              <w:pageBreakBefore w:val="0"/>
              <w:kinsoku/>
              <w:wordWrap w:val="0"/>
              <w:bidi w:val="0"/>
              <w:spacing w:line="440" w:lineRule="exact"/>
              <w:jc w:val="left"/>
              <w:rPr>
                <w:rFonts w:hint="eastAsia" w:ascii="宋体" w:hAnsi="宋体" w:eastAsia="宋体" w:cs="宋体"/>
                <w:spacing w:val="18"/>
                <w:sz w:val="24"/>
                <w:szCs w:val="24"/>
              </w:rPr>
            </w:pPr>
            <w:r>
              <w:rPr>
                <w:rFonts w:hint="eastAsia" w:ascii="宋体" w:hAnsi="宋体" w:eastAsia="宋体" w:cs="宋体"/>
                <w:spacing w:val="18"/>
                <w:sz w:val="24"/>
                <w:szCs w:val="24"/>
              </w:rPr>
              <w:t>(12) 投标人应充分考虑本项目施工可能与其他工程等发生的干扰与交 叉，并将因此带来的费用含入工程量清单各支付子目的单价或总额价中，并计 入签约合同价，招标人将不另行支付。</w:t>
            </w:r>
          </w:p>
          <w:p w14:paraId="27F222F9">
            <w:pPr>
              <w:pageBreakBefore w:val="0"/>
              <w:kinsoku/>
              <w:wordWrap w:val="0"/>
              <w:bidi w:val="0"/>
              <w:spacing w:line="440" w:lineRule="exact"/>
              <w:jc w:val="left"/>
              <w:rPr>
                <w:rFonts w:hint="eastAsia" w:ascii="宋体" w:hAnsi="宋体" w:eastAsia="宋体" w:cs="宋体"/>
                <w:spacing w:val="18"/>
                <w:kern w:val="2"/>
                <w:sz w:val="24"/>
                <w:szCs w:val="24"/>
                <w:lang w:val="en-US" w:eastAsia="zh-CN" w:bidi="ar-SA"/>
              </w:rPr>
            </w:pPr>
            <w:r>
              <w:rPr>
                <w:rFonts w:hint="eastAsia" w:ascii="宋体" w:hAnsi="宋体" w:eastAsia="宋体" w:cs="宋体"/>
                <w:spacing w:val="18"/>
                <w:sz w:val="24"/>
                <w:szCs w:val="24"/>
              </w:rPr>
              <w:t>(13) 除招标文件另有规定外，根据国家和辽宁省有关的法律、法规的规 定，以投标人作为征收对象的所有税费，包括因国家实行营业税改增值税征收 税费而引起的费用的变化，均包含在投标人的工程量清单各子目的综合单价 中，并计入签约合同价，招标人不另行支付 (增加或扣减) ，中标人按照国家 相关税收法律、法规出具各支付款项的增值税专用 (或普通) 发票。</w:t>
            </w:r>
          </w:p>
        </w:tc>
      </w:tr>
      <w:tr w14:paraId="04712D3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745C4C0D">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1637152">
            <w:pPr>
              <w:pageBreakBefore w:val="0"/>
              <w:kinsoku/>
              <w:wordWrap w:val="0"/>
              <w:bidi w:val="0"/>
              <w:spacing w:line="440" w:lineRule="exact"/>
              <w:jc w:val="left"/>
              <w:rPr>
                <w:rFonts w:hint="eastAsia" w:ascii="宋体" w:hAnsi="宋体" w:eastAsia="宋体" w:cs="宋体"/>
                <w:spacing w:val="18"/>
                <w:kern w:val="2"/>
                <w:sz w:val="24"/>
                <w:szCs w:val="24"/>
                <w:lang w:val="en-US" w:eastAsia="zh-CN" w:bidi="ar-SA"/>
              </w:rPr>
            </w:pPr>
            <w:r>
              <w:rPr>
                <w:rFonts w:hint="eastAsia" w:ascii="宋体" w:hAnsi="宋体" w:eastAsia="宋体" w:cs="宋体"/>
                <w:spacing w:val="2"/>
                <w:sz w:val="24"/>
                <w:szCs w:val="24"/>
              </w:rPr>
              <w:t>投标文件第一个信封(商务及技术文件)不</w:t>
            </w:r>
            <w:r>
              <w:rPr>
                <w:rFonts w:hint="eastAsia" w:ascii="宋体" w:hAnsi="宋体" w:eastAsia="宋体" w:cs="宋体"/>
                <w:spacing w:val="1"/>
                <w:sz w:val="24"/>
                <w:szCs w:val="24"/>
              </w:rPr>
              <w:t>应出现有关投标报价的内容</w:t>
            </w:r>
          </w:p>
        </w:tc>
      </w:tr>
      <w:tr w14:paraId="66EE4FEF">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27F3854F">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19278F8">
            <w:pPr>
              <w:pageBreakBefore w:val="0"/>
              <w:kinsoku/>
              <w:wordWrap w:val="0"/>
              <w:bidi w:val="0"/>
              <w:spacing w:line="440" w:lineRule="exact"/>
              <w:jc w:val="left"/>
              <w:rPr>
                <w:rFonts w:hint="eastAsia" w:ascii="宋体" w:hAnsi="宋体" w:eastAsia="宋体" w:cs="宋体"/>
                <w:strike/>
                <w:dstrike w:val="0"/>
                <w:spacing w:val="18"/>
                <w:kern w:val="2"/>
                <w:sz w:val="24"/>
                <w:szCs w:val="24"/>
                <w:highlight w:val="magenta"/>
                <w:lang w:val="en-US" w:eastAsia="zh-CN" w:bidi="ar-SA"/>
              </w:rPr>
            </w:pPr>
            <w:r>
              <w:rPr>
                <w:rFonts w:hint="eastAsia" w:ascii="宋体" w:hAnsi="宋体" w:eastAsia="宋体" w:cs="宋体"/>
                <w:spacing w:val="2"/>
                <w:sz w:val="24"/>
                <w:szCs w:val="24"/>
              </w:rPr>
              <w:t>如遇投标工程量清单或平台操作等问题可与新点软件王工联系13019466009</w:t>
            </w:r>
          </w:p>
        </w:tc>
      </w:tr>
      <w:tr w14:paraId="705C5175">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322D2302">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246AF23">
            <w:pPr>
              <w:spacing w:before="112" w:line="231" w:lineRule="auto"/>
              <w:ind w:left="105"/>
              <w:rPr>
                <w:rFonts w:ascii="黑体" w:hAnsi="黑体" w:eastAsia="黑体" w:cs="黑体"/>
                <w:sz w:val="23"/>
                <w:szCs w:val="23"/>
              </w:rPr>
            </w:pP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pacing w:val="8"/>
                <w:sz w:val="23"/>
                <w:szCs w:val="23"/>
              </w:rPr>
              <w:t>7</w:t>
            </w:r>
            <w:r>
              <w:rPr>
                <w:rFonts w:ascii="Times New Roman" w:hAnsi="Times New Roman" w:eastAsia="Times New Roman" w:cs="Times New Roman"/>
                <w:spacing w:val="5"/>
                <w:sz w:val="23"/>
                <w:szCs w:val="23"/>
              </w:rPr>
              <w:t xml:space="preserve">.8  </w:t>
            </w:r>
            <w:r>
              <w:rPr>
                <w:rFonts w:ascii="黑体" w:hAnsi="黑体" w:eastAsia="黑体" w:cs="黑体"/>
                <w:spacing w:val="5"/>
                <w:sz w:val="23"/>
                <w:szCs w:val="23"/>
              </w:rPr>
              <w:t>签订合同</w:t>
            </w:r>
          </w:p>
          <w:p w14:paraId="1FD1D230">
            <w:pPr>
              <w:spacing w:before="113" w:line="227" w:lineRule="auto"/>
              <w:ind w:left="585"/>
              <w:rPr>
                <w:rFonts w:ascii="宋体" w:hAnsi="宋体" w:eastAsia="宋体" w:cs="宋体"/>
                <w:sz w:val="23"/>
                <w:szCs w:val="23"/>
              </w:rPr>
            </w:pPr>
            <w:r>
              <w:rPr>
                <w:rFonts w:ascii="宋体" w:hAnsi="宋体" w:eastAsia="宋体" w:cs="宋体"/>
                <w:spacing w:val="-1"/>
                <w:sz w:val="23"/>
                <w:szCs w:val="23"/>
              </w:rPr>
              <w:t>补充</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7.8.6 </w:t>
            </w:r>
            <w:r>
              <w:rPr>
                <w:rFonts w:ascii="宋体" w:hAnsi="宋体" w:eastAsia="宋体" w:cs="宋体"/>
                <w:sz w:val="23"/>
                <w:szCs w:val="23"/>
              </w:rPr>
              <w:t>项：</w:t>
            </w:r>
          </w:p>
          <w:p w14:paraId="40AC4047">
            <w:pPr>
              <w:spacing w:before="115" w:line="229" w:lineRule="auto"/>
              <w:ind w:left="585"/>
              <w:rPr>
                <w:rFonts w:ascii="黑体" w:hAnsi="黑体" w:eastAsia="黑体" w:cs="黑体"/>
                <w:sz w:val="23"/>
                <w:szCs w:val="23"/>
              </w:rPr>
            </w:pPr>
            <w:r>
              <w:rPr>
                <w:rFonts w:ascii="Times New Roman" w:hAnsi="Times New Roman" w:eastAsia="Times New Roman" w:cs="Times New Roman"/>
                <w:spacing w:val="7"/>
                <w:sz w:val="23"/>
                <w:szCs w:val="23"/>
              </w:rPr>
              <w:t>7</w:t>
            </w:r>
            <w:r>
              <w:rPr>
                <w:rFonts w:ascii="Times New Roman" w:hAnsi="Times New Roman" w:eastAsia="Times New Roman" w:cs="Times New Roman"/>
                <w:spacing w:val="6"/>
                <w:sz w:val="23"/>
                <w:szCs w:val="23"/>
              </w:rPr>
              <w:t xml:space="preserve">.8.6 </w:t>
            </w:r>
            <w:r>
              <w:rPr>
                <w:rFonts w:ascii="黑体" w:hAnsi="黑体" w:eastAsia="黑体" w:cs="黑体"/>
                <w:spacing w:val="6"/>
                <w:sz w:val="23"/>
                <w:szCs w:val="23"/>
              </w:rPr>
              <w:t>人员履约要求</w:t>
            </w:r>
          </w:p>
          <w:p w14:paraId="0935444C">
            <w:pPr>
              <w:spacing w:before="116" w:line="321" w:lineRule="auto"/>
              <w:ind w:left="108" w:right="97" w:firstLine="499"/>
              <w:rPr>
                <w:rFonts w:ascii="宋体" w:hAnsi="宋体" w:eastAsia="宋体" w:cs="宋体"/>
                <w:sz w:val="23"/>
                <w:szCs w:val="23"/>
              </w:rPr>
            </w:pPr>
            <w:r>
              <w:rPr>
                <w:rFonts w:ascii="宋体" w:hAnsi="宋体" w:eastAsia="宋体" w:cs="宋体"/>
                <w:spacing w:val="14"/>
                <w:sz w:val="23"/>
                <w:szCs w:val="23"/>
              </w:rPr>
              <w:t>中标</w:t>
            </w:r>
            <w:r>
              <w:rPr>
                <w:rFonts w:ascii="宋体" w:hAnsi="宋体" w:eastAsia="宋体" w:cs="宋体"/>
                <w:spacing w:val="9"/>
                <w:sz w:val="23"/>
                <w:szCs w:val="23"/>
              </w:rPr>
              <w:t>人</w:t>
            </w:r>
            <w:r>
              <w:rPr>
                <w:rFonts w:ascii="宋体" w:hAnsi="宋体" w:eastAsia="宋体" w:cs="宋体"/>
                <w:spacing w:val="7"/>
                <w:sz w:val="23"/>
                <w:szCs w:val="23"/>
              </w:rPr>
              <w:t>在收到中标通知书后，应及时向招标人报送满足要求的其他管理人</w:t>
            </w:r>
            <w:r>
              <w:rPr>
                <w:rFonts w:ascii="宋体" w:hAnsi="宋体" w:eastAsia="宋体" w:cs="宋体"/>
                <w:sz w:val="23"/>
                <w:szCs w:val="23"/>
              </w:rPr>
              <w:t xml:space="preserve"> </w:t>
            </w:r>
            <w:r>
              <w:rPr>
                <w:rFonts w:ascii="宋体" w:hAnsi="宋体" w:eastAsia="宋体" w:cs="宋体"/>
                <w:spacing w:val="8"/>
                <w:sz w:val="23"/>
                <w:szCs w:val="23"/>
              </w:rPr>
              <w:t>员、其他设备的详细资料【详见合同附件格式《附件四  其他管理和技术人</w:t>
            </w:r>
            <w:r>
              <w:rPr>
                <w:rFonts w:ascii="宋体" w:hAnsi="宋体" w:eastAsia="宋体" w:cs="宋体"/>
                <w:spacing w:val="7"/>
                <w:sz w:val="23"/>
                <w:szCs w:val="23"/>
              </w:rPr>
              <w:t>员</w:t>
            </w:r>
            <w:r>
              <w:rPr>
                <w:rFonts w:ascii="宋体" w:hAnsi="宋体" w:eastAsia="宋体" w:cs="宋体"/>
                <w:sz w:val="23"/>
                <w:szCs w:val="23"/>
              </w:rPr>
              <w:t xml:space="preserve"> </w:t>
            </w:r>
            <w:r>
              <w:rPr>
                <w:rFonts w:ascii="宋体" w:hAnsi="宋体" w:eastAsia="宋体" w:cs="宋体"/>
                <w:spacing w:val="15"/>
                <w:sz w:val="23"/>
                <w:szCs w:val="23"/>
              </w:rPr>
              <w:t>最</w:t>
            </w:r>
            <w:r>
              <w:rPr>
                <w:rFonts w:ascii="宋体" w:hAnsi="宋体" w:eastAsia="宋体" w:cs="宋体"/>
                <w:spacing w:val="8"/>
                <w:sz w:val="23"/>
                <w:szCs w:val="23"/>
              </w:rPr>
              <w:t>低要求》】，如中标人报送的人员不满足招标文件要求，招标人有权取消其</w:t>
            </w:r>
            <w:r>
              <w:rPr>
                <w:rFonts w:ascii="宋体" w:hAnsi="宋体" w:eastAsia="宋体" w:cs="宋体"/>
                <w:sz w:val="23"/>
                <w:szCs w:val="23"/>
              </w:rPr>
              <w:t xml:space="preserve"> </w:t>
            </w:r>
            <w:r>
              <w:rPr>
                <w:rFonts w:ascii="宋体" w:hAnsi="宋体" w:eastAsia="宋体" w:cs="宋体"/>
                <w:spacing w:val="7"/>
                <w:sz w:val="23"/>
                <w:szCs w:val="23"/>
              </w:rPr>
              <w:t>中</w:t>
            </w:r>
            <w:r>
              <w:rPr>
                <w:rFonts w:ascii="宋体" w:hAnsi="宋体" w:eastAsia="宋体" w:cs="宋体"/>
                <w:spacing w:val="5"/>
                <w:sz w:val="23"/>
                <w:szCs w:val="23"/>
              </w:rPr>
              <w:t>标资格。</w:t>
            </w:r>
          </w:p>
          <w:p w14:paraId="3F84BA8F">
            <w:pPr>
              <w:spacing w:line="328" w:lineRule="auto"/>
              <w:ind w:left="105" w:right="97" w:firstLine="502"/>
              <w:rPr>
                <w:rFonts w:ascii="宋体" w:hAnsi="宋体" w:eastAsia="宋体" w:cs="宋体"/>
                <w:sz w:val="23"/>
                <w:szCs w:val="23"/>
              </w:rPr>
            </w:pPr>
            <w:r>
              <w:rPr>
                <w:rFonts w:ascii="宋体" w:hAnsi="宋体" w:eastAsia="宋体" w:cs="宋体"/>
                <w:spacing w:val="14"/>
                <w:sz w:val="23"/>
                <w:szCs w:val="23"/>
              </w:rPr>
              <w:t>中标</w:t>
            </w:r>
            <w:r>
              <w:rPr>
                <w:rFonts w:ascii="宋体" w:hAnsi="宋体" w:eastAsia="宋体" w:cs="宋体"/>
                <w:spacing w:val="9"/>
                <w:sz w:val="23"/>
                <w:szCs w:val="23"/>
              </w:rPr>
              <w:t>人</w:t>
            </w:r>
            <w:r>
              <w:rPr>
                <w:rFonts w:ascii="宋体" w:hAnsi="宋体" w:eastAsia="宋体" w:cs="宋体"/>
                <w:spacing w:val="7"/>
                <w:sz w:val="23"/>
                <w:szCs w:val="23"/>
              </w:rPr>
              <w:t>进场时，如果所提供的人员低于投标阶段以及中标后合同谈判阶段</w:t>
            </w:r>
            <w:r>
              <w:rPr>
                <w:rFonts w:ascii="宋体" w:hAnsi="宋体" w:eastAsia="宋体" w:cs="宋体"/>
                <w:sz w:val="23"/>
                <w:szCs w:val="23"/>
              </w:rPr>
              <w:t xml:space="preserve"> </w:t>
            </w:r>
            <w:r>
              <w:rPr>
                <w:rFonts w:ascii="宋体" w:hAnsi="宋体" w:eastAsia="宋体" w:cs="宋体"/>
                <w:spacing w:val="16"/>
                <w:sz w:val="23"/>
                <w:szCs w:val="23"/>
              </w:rPr>
              <w:t>所</w:t>
            </w:r>
            <w:r>
              <w:rPr>
                <w:rFonts w:ascii="宋体" w:hAnsi="宋体" w:eastAsia="宋体" w:cs="宋体"/>
                <w:spacing w:val="10"/>
                <w:sz w:val="23"/>
                <w:szCs w:val="23"/>
              </w:rPr>
              <w:t>承</w:t>
            </w:r>
            <w:r>
              <w:rPr>
                <w:rFonts w:ascii="宋体" w:hAnsi="宋体" w:eastAsia="宋体" w:cs="宋体"/>
                <w:spacing w:val="8"/>
                <w:sz w:val="23"/>
                <w:szCs w:val="23"/>
              </w:rPr>
              <w:t>诺的人员最低标准，即被认为未按合同文件规定履约，发包人将有权与中</w:t>
            </w:r>
            <w:r>
              <w:rPr>
                <w:rFonts w:ascii="宋体" w:hAnsi="宋体" w:eastAsia="宋体" w:cs="宋体"/>
                <w:sz w:val="23"/>
                <w:szCs w:val="23"/>
              </w:rPr>
              <w:t xml:space="preserve"> </w:t>
            </w:r>
            <w:r>
              <w:rPr>
                <w:rFonts w:ascii="宋体" w:hAnsi="宋体" w:eastAsia="宋体" w:cs="宋体"/>
                <w:spacing w:val="9"/>
                <w:sz w:val="23"/>
                <w:szCs w:val="23"/>
              </w:rPr>
              <w:t>标人解除合同，另行安排其他单位进行施工。</w:t>
            </w:r>
          </w:p>
          <w:p w14:paraId="2BF1D3C4">
            <w:pPr>
              <w:spacing w:line="295" w:lineRule="auto"/>
              <w:rPr>
                <w:rFonts w:ascii="Arial"/>
                <w:sz w:val="21"/>
              </w:rPr>
            </w:pPr>
          </w:p>
          <w:p w14:paraId="3F930046">
            <w:pPr>
              <w:spacing w:before="75" w:line="227" w:lineRule="auto"/>
              <w:ind w:left="585"/>
              <w:rPr>
                <w:rFonts w:ascii="宋体" w:hAnsi="宋体" w:eastAsia="宋体" w:cs="宋体"/>
                <w:sz w:val="23"/>
                <w:szCs w:val="23"/>
              </w:rPr>
            </w:pPr>
            <w:r>
              <w:rPr>
                <w:rFonts w:ascii="宋体" w:hAnsi="宋体" w:eastAsia="宋体" w:cs="宋体"/>
                <w:spacing w:val="-1"/>
                <w:sz w:val="23"/>
                <w:szCs w:val="23"/>
              </w:rPr>
              <w:t>补充</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7.8.7 </w:t>
            </w:r>
            <w:r>
              <w:rPr>
                <w:rFonts w:ascii="宋体" w:hAnsi="宋体" w:eastAsia="宋体" w:cs="宋体"/>
                <w:sz w:val="23"/>
                <w:szCs w:val="23"/>
              </w:rPr>
              <w:t>项：</w:t>
            </w:r>
          </w:p>
          <w:p w14:paraId="5D10C936">
            <w:pPr>
              <w:spacing w:before="117" w:line="324" w:lineRule="auto"/>
              <w:ind w:left="104" w:right="36" w:firstLine="480"/>
              <w:rPr>
                <w:rFonts w:ascii="宋体" w:hAnsi="宋体" w:eastAsia="宋体" w:cs="宋体"/>
                <w:sz w:val="23"/>
                <w:szCs w:val="23"/>
              </w:rPr>
            </w:pPr>
            <w:r>
              <w:rPr>
                <w:rFonts w:ascii="Times New Roman" w:hAnsi="Times New Roman" w:eastAsia="Times New Roman" w:cs="Times New Roman"/>
                <w:spacing w:val="20"/>
                <w:sz w:val="23"/>
                <w:szCs w:val="23"/>
              </w:rPr>
              <w:t>7</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10"/>
                <w:sz w:val="23"/>
                <w:szCs w:val="23"/>
              </w:rPr>
              <w:t xml:space="preserve">8.7  </w:t>
            </w:r>
            <w:r>
              <w:rPr>
                <w:rFonts w:ascii="宋体" w:hAnsi="宋体" w:eastAsia="宋体" w:cs="宋体"/>
                <w:spacing w:val="10"/>
                <w:sz w:val="23"/>
                <w:szCs w:val="23"/>
              </w:rPr>
              <w:t xml:space="preserve">如果根据投标人须知第 </w:t>
            </w:r>
            <w:r>
              <w:rPr>
                <w:rFonts w:ascii="Times New Roman" w:hAnsi="Times New Roman" w:eastAsia="Times New Roman" w:cs="Times New Roman"/>
                <w:spacing w:val="10"/>
                <w:sz w:val="23"/>
                <w:szCs w:val="23"/>
              </w:rPr>
              <w:t xml:space="preserve">3.5.3 </w:t>
            </w:r>
            <w:r>
              <w:rPr>
                <w:rFonts w:ascii="宋体" w:hAnsi="宋体" w:eastAsia="宋体" w:cs="宋体"/>
                <w:spacing w:val="10"/>
                <w:sz w:val="23"/>
                <w:szCs w:val="23"/>
              </w:rPr>
              <w:t>项 (适用于已进行资格预审的) 、第</w:t>
            </w:r>
            <w:r>
              <w:rPr>
                <w:rFonts w:ascii="宋体" w:hAnsi="宋体" w:eastAsia="宋体" w:cs="宋体"/>
                <w:sz w:val="23"/>
                <w:szCs w:val="23"/>
              </w:rPr>
              <w:t xml:space="preserve"> </w:t>
            </w:r>
            <w:r>
              <w:rPr>
                <w:rFonts w:ascii="Times New Roman" w:hAnsi="Times New Roman" w:eastAsia="Times New Roman" w:cs="Times New Roman"/>
                <w:spacing w:val="4"/>
                <w:sz w:val="23"/>
                <w:szCs w:val="23"/>
              </w:rPr>
              <w:t xml:space="preserve">3.5. 11 </w:t>
            </w:r>
            <w:r>
              <w:rPr>
                <w:rFonts w:ascii="宋体" w:hAnsi="宋体" w:eastAsia="宋体" w:cs="宋体"/>
                <w:spacing w:val="4"/>
                <w:sz w:val="23"/>
                <w:szCs w:val="23"/>
              </w:rPr>
              <w:t>项 (适用于未</w:t>
            </w:r>
            <w:r>
              <w:rPr>
                <w:rFonts w:ascii="宋体" w:hAnsi="宋体" w:eastAsia="宋体" w:cs="宋体"/>
                <w:spacing w:val="3"/>
                <w:sz w:val="23"/>
                <w:szCs w:val="23"/>
              </w:rPr>
              <w:t>进</w:t>
            </w:r>
            <w:r>
              <w:rPr>
                <w:rFonts w:ascii="宋体" w:hAnsi="宋体" w:eastAsia="宋体" w:cs="宋体"/>
                <w:spacing w:val="2"/>
                <w:sz w:val="23"/>
                <w:szCs w:val="23"/>
              </w:rPr>
              <w:t>行资格预审的) 规定，招标人取消了中标人的中标资格，</w:t>
            </w:r>
            <w:r>
              <w:rPr>
                <w:rFonts w:ascii="宋体" w:hAnsi="宋体" w:eastAsia="宋体" w:cs="宋体"/>
                <w:sz w:val="23"/>
                <w:szCs w:val="23"/>
              </w:rPr>
              <w:t xml:space="preserve"> </w:t>
            </w:r>
            <w:r>
              <w:rPr>
                <w:rFonts w:ascii="宋体" w:hAnsi="宋体" w:eastAsia="宋体" w:cs="宋体"/>
                <w:spacing w:val="16"/>
                <w:sz w:val="23"/>
                <w:szCs w:val="23"/>
              </w:rPr>
              <w:t>招</w:t>
            </w:r>
            <w:r>
              <w:rPr>
                <w:rFonts w:ascii="宋体" w:hAnsi="宋体" w:eastAsia="宋体" w:cs="宋体"/>
                <w:spacing w:val="11"/>
                <w:sz w:val="23"/>
                <w:szCs w:val="23"/>
              </w:rPr>
              <w:t>标</w:t>
            </w:r>
            <w:r>
              <w:rPr>
                <w:rFonts w:ascii="宋体" w:hAnsi="宋体" w:eastAsia="宋体" w:cs="宋体"/>
                <w:spacing w:val="8"/>
                <w:sz w:val="23"/>
                <w:szCs w:val="23"/>
              </w:rPr>
              <w:t>人将以《中华人民共和国招标投标法》、《中华人民共和国招标投标法实</w:t>
            </w:r>
            <w:r>
              <w:rPr>
                <w:rFonts w:ascii="宋体" w:hAnsi="宋体" w:eastAsia="宋体" w:cs="宋体"/>
                <w:sz w:val="23"/>
                <w:szCs w:val="23"/>
              </w:rPr>
              <w:t xml:space="preserve"> </w:t>
            </w:r>
            <w:r>
              <w:rPr>
                <w:rFonts w:ascii="宋体" w:hAnsi="宋体" w:eastAsia="宋体" w:cs="宋体"/>
                <w:spacing w:val="6"/>
                <w:sz w:val="23"/>
                <w:szCs w:val="23"/>
              </w:rPr>
              <w:t>施条例</w:t>
            </w:r>
            <w:r>
              <w:rPr>
                <w:rFonts w:ascii="宋体" w:hAnsi="宋体" w:eastAsia="宋体" w:cs="宋体"/>
                <w:spacing w:val="4"/>
                <w:sz w:val="23"/>
                <w:szCs w:val="23"/>
              </w:rPr>
              <w:t>》</w:t>
            </w:r>
            <w:r>
              <w:rPr>
                <w:rFonts w:ascii="宋体" w:hAnsi="宋体" w:eastAsia="宋体" w:cs="宋体"/>
                <w:spacing w:val="3"/>
                <w:sz w:val="23"/>
                <w:szCs w:val="23"/>
              </w:rPr>
              <w:t>为依据，参照《公路工程建设项目招标投标管理办法》重新组织招标；</w:t>
            </w:r>
            <w:r>
              <w:rPr>
                <w:rFonts w:ascii="宋体" w:hAnsi="宋体" w:eastAsia="宋体" w:cs="宋体"/>
                <w:sz w:val="23"/>
                <w:szCs w:val="23"/>
              </w:rPr>
              <w:t xml:space="preserve"> </w:t>
            </w:r>
            <w:r>
              <w:rPr>
                <w:rFonts w:ascii="宋体" w:hAnsi="宋体" w:eastAsia="宋体" w:cs="宋体"/>
                <w:spacing w:val="4"/>
                <w:sz w:val="23"/>
                <w:szCs w:val="23"/>
              </w:rPr>
              <w:t xml:space="preserve">如果根据投标人须知第 </w:t>
            </w:r>
            <w:r>
              <w:rPr>
                <w:rFonts w:ascii="Times New Roman" w:hAnsi="Times New Roman" w:eastAsia="Times New Roman" w:cs="Times New Roman"/>
                <w:spacing w:val="3"/>
                <w:sz w:val="23"/>
                <w:szCs w:val="23"/>
              </w:rPr>
              <w:t>7</w:t>
            </w:r>
            <w:r>
              <w:rPr>
                <w:rFonts w:ascii="Times New Roman" w:hAnsi="Times New Roman" w:eastAsia="Times New Roman" w:cs="Times New Roman"/>
                <w:spacing w:val="2"/>
                <w:sz w:val="23"/>
                <w:szCs w:val="23"/>
              </w:rPr>
              <w:t xml:space="preserve">.7.2 </w:t>
            </w:r>
            <w:r>
              <w:rPr>
                <w:rFonts w:ascii="宋体" w:hAnsi="宋体" w:eastAsia="宋体" w:cs="宋体"/>
                <w:spacing w:val="2"/>
                <w:sz w:val="23"/>
                <w:szCs w:val="23"/>
              </w:rPr>
              <w:t xml:space="preserve">项或第 </w:t>
            </w:r>
            <w:r>
              <w:rPr>
                <w:rFonts w:ascii="Times New Roman" w:hAnsi="Times New Roman" w:eastAsia="Times New Roman" w:cs="Times New Roman"/>
                <w:spacing w:val="2"/>
                <w:sz w:val="23"/>
                <w:szCs w:val="23"/>
              </w:rPr>
              <w:t xml:space="preserve">7.8. 1 </w:t>
            </w:r>
            <w:r>
              <w:rPr>
                <w:rFonts w:ascii="宋体" w:hAnsi="宋体" w:eastAsia="宋体" w:cs="宋体"/>
                <w:spacing w:val="2"/>
                <w:sz w:val="23"/>
                <w:szCs w:val="23"/>
              </w:rPr>
              <w:t>项规定，招标人取消了中标人的中标</w:t>
            </w:r>
            <w:r>
              <w:rPr>
                <w:rFonts w:ascii="宋体" w:hAnsi="宋体" w:eastAsia="宋体" w:cs="宋体"/>
                <w:sz w:val="23"/>
                <w:szCs w:val="23"/>
              </w:rPr>
              <w:t xml:space="preserve"> </w:t>
            </w:r>
            <w:r>
              <w:rPr>
                <w:rFonts w:ascii="宋体" w:hAnsi="宋体" w:eastAsia="宋体" w:cs="宋体"/>
                <w:spacing w:val="16"/>
                <w:sz w:val="23"/>
                <w:szCs w:val="23"/>
              </w:rPr>
              <w:t>资</w:t>
            </w:r>
            <w:r>
              <w:rPr>
                <w:rFonts w:ascii="宋体" w:hAnsi="宋体" w:eastAsia="宋体" w:cs="宋体"/>
                <w:spacing w:val="11"/>
                <w:sz w:val="23"/>
                <w:szCs w:val="23"/>
              </w:rPr>
              <w:t>格</w:t>
            </w:r>
            <w:r>
              <w:rPr>
                <w:rFonts w:ascii="宋体" w:hAnsi="宋体" w:eastAsia="宋体" w:cs="宋体"/>
                <w:spacing w:val="8"/>
                <w:sz w:val="23"/>
                <w:szCs w:val="23"/>
              </w:rPr>
              <w:t>，招标人可将合同授予下一个中标候选人，或者以《中华人民共和国招标</w:t>
            </w:r>
            <w:r>
              <w:rPr>
                <w:rFonts w:ascii="宋体" w:hAnsi="宋体" w:eastAsia="宋体" w:cs="宋体"/>
                <w:sz w:val="23"/>
                <w:szCs w:val="23"/>
              </w:rPr>
              <w:t xml:space="preserve"> </w:t>
            </w:r>
            <w:r>
              <w:rPr>
                <w:rFonts w:ascii="宋体" w:hAnsi="宋体" w:eastAsia="宋体" w:cs="宋体"/>
                <w:spacing w:val="16"/>
                <w:sz w:val="23"/>
                <w:szCs w:val="23"/>
              </w:rPr>
              <w:t>投</w:t>
            </w:r>
            <w:r>
              <w:rPr>
                <w:rFonts w:ascii="宋体" w:hAnsi="宋体" w:eastAsia="宋体" w:cs="宋体"/>
                <w:spacing w:val="11"/>
                <w:sz w:val="23"/>
                <w:szCs w:val="23"/>
              </w:rPr>
              <w:t>标</w:t>
            </w:r>
            <w:r>
              <w:rPr>
                <w:rFonts w:ascii="宋体" w:hAnsi="宋体" w:eastAsia="宋体" w:cs="宋体"/>
                <w:spacing w:val="8"/>
                <w:sz w:val="23"/>
                <w:szCs w:val="23"/>
              </w:rPr>
              <w:t>法》、《中华人民共和国招标投标法实施条例》为依据，参照《公路工程</w:t>
            </w:r>
            <w:r>
              <w:rPr>
                <w:rFonts w:ascii="宋体" w:hAnsi="宋体" w:eastAsia="宋体" w:cs="宋体"/>
                <w:sz w:val="23"/>
                <w:szCs w:val="23"/>
              </w:rPr>
              <w:t xml:space="preserve"> </w:t>
            </w:r>
            <w:r>
              <w:rPr>
                <w:rFonts w:ascii="宋体" w:hAnsi="宋体" w:eastAsia="宋体" w:cs="宋体"/>
                <w:spacing w:val="10"/>
                <w:sz w:val="23"/>
                <w:szCs w:val="23"/>
              </w:rPr>
              <w:t>建</w:t>
            </w:r>
            <w:r>
              <w:rPr>
                <w:rFonts w:ascii="宋体" w:hAnsi="宋体" w:eastAsia="宋体" w:cs="宋体"/>
                <w:spacing w:val="9"/>
                <w:sz w:val="23"/>
                <w:szCs w:val="23"/>
              </w:rPr>
              <w:t>设项目招标投标管理办法》重新组织招标。</w:t>
            </w:r>
          </w:p>
          <w:p w14:paraId="27EE2234">
            <w:pPr>
              <w:spacing w:line="295" w:lineRule="auto"/>
              <w:rPr>
                <w:rFonts w:ascii="Arial"/>
                <w:sz w:val="21"/>
              </w:rPr>
            </w:pPr>
          </w:p>
          <w:p w14:paraId="734AC149">
            <w:pPr>
              <w:spacing w:before="75" w:line="227" w:lineRule="auto"/>
              <w:ind w:left="585"/>
              <w:rPr>
                <w:rFonts w:ascii="宋体" w:hAnsi="宋体" w:eastAsia="宋体" w:cs="宋体"/>
                <w:sz w:val="23"/>
                <w:szCs w:val="23"/>
              </w:rPr>
            </w:pPr>
            <w:r>
              <w:rPr>
                <w:rFonts w:ascii="宋体" w:hAnsi="宋体" w:eastAsia="宋体" w:cs="宋体"/>
                <w:spacing w:val="-1"/>
                <w:sz w:val="23"/>
                <w:szCs w:val="23"/>
              </w:rPr>
              <w:t>补充</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7.8.8 </w:t>
            </w:r>
            <w:r>
              <w:rPr>
                <w:rFonts w:ascii="宋体" w:hAnsi="宋体" w:eastAsia="宋体" w:cs="宋体"/>
                <w:sz w:val="23"/>
                <w:szCs w:val="23"/>
              </w:rPr>
              <w:t>项：</w:t>
            </w:r>
          </w:p>
          <w:p w14:paraId="1963AFA5">
            <w:pPr>
              <w:spacing w:before="117" w:line="230" w:lineRule="auto"/>
              <w:ind w:left="585"/>
              <w:rPr>
                <w:rFonts w:ascii="黑体" w:hAnsi="黑体" w:eastAsia="黑体" w:cs="黑体"/>
                <w:sz w:val="23"/>
                <w:szCs w:val="23"/>
              </w:rPr>
            </w:pPr>
            <w:r>
              <w:rPr>
                <w:rFonts w:ascii="Times New Roman" w:hAnsi="Times New Roman" w:eastAsia="Times New Roman" w:cs="Times New Roman"/>
                <w:spacing w:val="12"/>
                <w:sz w:val="23"/>
                <w:szCs w:val="23"/>
              </w:rPr>
              <w:t>7</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8.8 </w:t>
            </w:r>
            <w:r>
              <w:rPr>
                <w:rFonts w:ascii="黑体" w:hAnsi="黑体" w:eastAsia="黑体" w:cs="黑体"/>
                <w:spacing w:val="6"/>
                <w:sz w:val="23"/>
                <w:szCs w:val="23"/>
              </w:rPr>
              <w:t>不平衡单价的调整</w:t>
            </w:r>
          </w:p>
          <w:p w14:paraId="3322E947">
            <w:pPr>
              <w:spacing w:before="114" w:line="321" w:lineRule="auto"/>
              <w:ind w:left="106" w:right="97" w:firstLine="482"/>
              <w:rPr>
                <w:rFonts w:ascii="宋体" w:hAnsi="宋体" w:eastAsia="宋体" w:cs="宋体"/>
                <w:sz w:val="23"/>
                <w:szCs w:val="23"/>
              </w:rPr>
            </w:pPr>
            <w:r>
              <w:rPr>
                <w:rFonts w:ascii="宋体" w:hAnsi="宋体" w:eastAsia="宋体" w:cs="宋体"/>
                <w:spacing w:val="30"/>
                <w:sz w:val="23"/>
                <w:szCs w:val="23"/>
              </w:rPr>
              <w:t>如</w:t>
            </w:r>
            <w:r>
              <w:rPr>
                <w:rFonts w:ascii="宋体" w:hAnsi="宋体" w:eastAsia="宋体" w:cs="宋体"/>
                <w:spacing w:val="23"/>
                <w:sz w:val="23"/>
                <w:szCs w:val="23"/>
              </w:rPr>
              <w:t>果</w:t>
            </w:r>
            <w:r>
              <w:rPr>
                <w:rFonts w:ascii="宋体" w:hAnsi="宋体" w:eastAsia="宋体" w:cs="宋体"/>
                <w:spacing w:val="15"/>
                <w:sz w:val="23"/>
                <w:szCs w:val="23"/>
              </w:rPr>
              <w:t>招标人在评标结束后发现并认为中标人工程量清单中某些子目的单</w:t>
            </w:r>
            <w:r>
              <w:rPr>
                <w:rFonts w:ascii="宋体" w:hAnsi="宋体" w:eastAsia="宋体" w:cs="宋体"/>
                <w:sz w:val="23"/>
                <w:szCs w:val="23"/>
              </w:rPr>
              <w:t xml:space="preserve"> </w:t>
            </w:r>
            <w:r>
              <w:rPr>
                <w:rFonts w:ascii="宋体" w:hAnsi="宋体" w:eastAsia="宋体" w:cs="宋体"/>
                <w:spacing w:val="16"/>
                <w:sz w:val="23"/>
                <w:szCs w:val="23"/>
              </w:rPr>
              <w:t>价</w:t>
            </w:r>
            <w:r>
              <w:rPr>
                <w:rFonts w:ascii="宋体" w:hAnsi="宋体" w:eastAsia="宋体" w:cs="宋体"/>
                <w:spacing w:val="9"/>
                <w:sz w:val="23"/>
                <w:szCs w:val="23"/>
              </w:rPr>
              <w:t>不</w:t>
            </w:r>
            <w:r>
              <w:rPr>
                <w:rFonts w:ascii="宋体" w:hAnsi="宋体" w:eastAsia="宋体" w:cs="宋体"/>
                <w:spacing w:val="8"/>
                <w:sz w:val="23"/>
                <w:szCs w:val="23"/>
              </w:rPr>
              <w:t>合理，则招标人可以要求中标人就该类子目的报价进行澄清，或提供详细</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9"/>
                <w:sz w:val="23"/>
                <w:szCs w:val="23"/>
              </w:rPr>
              <w:t>价</w:t>
            </w:r>
            <w:r>
              <w:rPr>
                <w:rFonts w:ascii="宋体" w:hAnsi="宋体" w:eastAsia="宋体" w:cs="宋体"/>
                <w:spacing w:val="8"/>
                <w:sz w:val="23"/>
                <w:szCs w:val="23"/>
              </w:rPr>
              <w:t>格分析以证明这些价格在建议的施工方法和计划的条件下具有合理性。如</w:t>
            </w:r>
            <w:r>
              <w:rPr>
                <w:rFonts w:ascii="宋体" w:hAnsi="宋体" w:eastAsia="宋体" w:cs="宋体"/>
                <w:sz w:val="23"/>
                <w:szCs w:val="23"/>
              </w:rPr>
              <w:t xml:space="preserve"> </w:t>
            </w:r>
            <w:r>
              <w:rPr>
                <w:rFonts w:ascii="宋体" w:hAnsi="宋体" w:eastAsia="宋体" w:cs="宋体"/>
                <w:spacing w:val="16"/>
                <w:sz w:val="23"/>
                <w:szCs w:val="23"/>
              </w:rPr>
              <w:t>不</w:t>
            </w:r>
            <w:r>
              <w:rPr>
                <w:rFonts w:ascii="宋体" w:hAnsi="宋体" w:eastAsia="宋体" w:cs="宋体"/>
                <w:spacing w:val="9"/>
                <w:sz w:val="23"/>
                <w:szCs w:val="23"/>
              </w:rPr>
              <w:t>能</w:t>
            </w:r>
            <w:r>
              <w:rPr>
                <w:rFonts w:ascii="宋体" w:hAnsi="宋体" w:eastAsia="宋体" w:cs="宋体"/>
                <w:spacing w:val="8"/>
                <w:sz w:val="23"/>
                <w:szCs w:val="23"/>
              </w:rPr>
              <w:t>证明其合理性，则在签订合同前进行澄清谈判时，招标人将有权按照总价</w:t>
            </w:r>
          </w:p>
          <w:p w14:paraId="5006F490">
            <w:pPr>
              <w:spacing w:before="112" w:line="231" w:lineRule="auto"/>
              <w:ind w:left="105"/>
              <w:rPr>
                <w:rFonts w:ascii="黑体" w:hAnsi="黑体" w:eastAsia="黑体" w:cs="黑体"/>
                <w:sz w:val="23"/>
                <w:szCs w:val="23"/>
              </w:rPr>
            </w:pPr>
            <w:r>
              <w:rPr>
                <w:rFonts w:ascii="宋体" w:hAnsi="宋体" w:eastAsia="宋体" w:cs="宋体"/>
                <w:spacing w:val="14"/>
                <w:sz w:val="23"/>
                <w:szCs w:val="23"/>
              </w:rPr>
              <w:t>不</w:t>
            </w:r>
            <w:r>
              <w:rPr>
                <w:rFonts w:ascii="宋体" w:hAnsi="宋体" w:eastAsia="宋体" w:cs="宋体"/>
                <w:spacing w:val="8"/>
                <w:sz w:val="23"/>
                <w:szCs w:val="23"/>
              </w:rPr>
              <w:t>变的原则对有关单价进行调整。</w:t>
            </w:r>
          </w:p>
          <w:p w14:paraId="3D2038A7">
            <w:pPr>
              <w:pageBreakBefore w:val="0"/>
              <w:kinsoku/>
              <w:wordWrap w:val="0"/>
              <w:bidi w:val="0"/>
              <w:spacing w:line="440" w:lineRule="exact"/>
              <w:jc w:val="left"/>
              <w:rPr>
                <w:rFonts w:hint="default" w:ascii="宋体" w:hAnsi="宋体" w:eastAsia="宋体" w:cs="宋体"/>
                <w:spacing w:val="18"/>
                <w:kern w:val="2"/>
                <w:sz w:val="23"/>
                <w:szCs w:val="23"/>
                <w:lang w:val="en-US" w:eastAsia="zh-CN" w:bidi="ar-SA"/>
              </w:rPr>
            </w:pPr>
          </w:p>
        </w:tc>
      </w:tr>
      <w:tr w14:paraId="7B803428">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ED236F9">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E068872">
            <w:pPr>
              <w:spacing w:before="116" w:line="230" w:lineRule="auto"/>
              <w:ind w:left="103"/>
              <w:rPr>
                <w:rFonts w:ascii="黑体" w:hAnsi="黑体" w:eastAsia="黑体" w:cs="黑体"/>
                <w:sz w:val="23"/>
                <w:szCs w:val="23"/>
                <w:highlight w:val="none"/>
              </w:rPr>
            </w:pPr>
            <w:r>
              <w:rPr>
                <w:rFonts w:ascii="黑体" w:hAnsi="黑体" w:eastAsia="黑体" w:cs="黑体"/>
                <w:spacing w:val="-1"/>
                <w:sz w:val="23"/>
                <w:szCs w:val="23"/>
                <w:highlight w:val="none"/>
              </w:rPr>
              <w:t>补充第</w:t>
            </w:r>
            <w:r>
              <w:rPr>
                <w:rFonts w:ascii="黑体" w:hAnsi="黑体" w:eastAsia="黑体" w:cs="黑体"/>
                <w:sz w:val="23"/>
                <w:szCs w:val="23"/>
                <w:highlight w:val="none"/>
              </w:rPr>
              <w:t xml:space="preserve"> </w:t>
            </w:r>
            <w:r>
              <w:rPr>
                <w:rFonts w:hint="eastAsia" w:eastAsia="宋体" w:cs="Times New Roman"/>
                <w:sz w:val="23"/>
                <w:szCs w:val="23"/>
                <w:highlight w:val="none"/>
                <w:lang w:val="en-US" w:eastAsia="zh-CN"/>
              </w:rPr>
              <w:t>9.1</w:t>
            </w:r>
            <w:r>
              <w:rPr>
                <w:rFonts w:ascii="Times New Roman" w:hAnsi="Times New Roman" w:eastAsia="Times New Roman" w:cs="Times New Roman"/>
                <w:sz w:val="23"/>
                <w:szCs w:val="23"/>
                <w:highlight w:val="none"/>
              </w:rPr>
              <w:t xml:space="preserve"> </w:t>
            </w:r>
            <w:r>
              <w:rPr>
                <w:rFonts w:ascii="黑体" w:hAnsi="黑体" w:eastAsia="黑体" w:cs="黑体"/>
                <w:sz w:val="23"/>
                <w:szCs w:val="23"/>
                <w:highlight w:val="none"/>
              </w:rPr>
              <w:t>款：</w:t>
            </w:r>
          </w:p>
          <w:p w14:paraId="28DBDBA4">
            <w:pPr>
              <w:spacing w:before="114" w:line="231" w:lineRule="auto"/>
              <w:ind w:left="584"/>
              <w:rPr>
                <w:rFonts w:ascii="黑体" w:hAnsi="黑体" w:eastAsia="黑体" w:cs="黑体"/>
                <w:sz w:val="23"/>
                <w:szCs w:val="23"/>
              </w:rPr>
            </w:pPr>
            <w:r>
              <w:rPr>
                <w:rFonts w:ascii="黑体" w:hAnsi="黑体" w:eastAsia="黑体" w:cs="黑体"/>
                <w:spacing w:val="18"/>
                <w:sz w:val="23"/>
                <w:szCs w:val="23"/>
              </w:rPr>
              <w:t>任</w:t>
            </w:r>
            <w:r>
              <w:rPr>
                <w:rFonts w:hint="eastAsia" w:ascii="黑体" w:hAnsi="黑体" w:eastAsia="黑体" w:cs="黑体"/>
                <w:spacing w:val="18"/>
                <w:sz w:val="23"/>
                <w:szCs w:val="23"/>
                <w:lang w:val="en-US" w:eastAsia="zh-CN"/>
              </w:rPr>
              <w:t>一</w:t>
            </w:r>
            <w:r>
              <w:rPr>
                <w:rFonts w:hint="eastAsia" w:ascii="黑体" w:hAnsi="黑体" w:eastAsia="黑体" w:cs="黑体"/>
                <w:spacing w:val="9"/>
                <w:sz w:val="23"/>
                <w:szCs w:val="23"/>
                <w:lang w:eastAsia="zh-CN"/>
              </w:rPr>
              <w:t>标段</w:t>
            </w:r>
            <w:r>
              <w:rPr>
                <w:rFonts w:ascii="黑体" w:hAnsi="黑体" w:eastAsia="黑体" w:cs="黑体"/>
                <w:spacing w:val="9"/>
                <w:sz w:val="23"/>
                <w:szCs w:val="23"/>
              </w:rPr>
              <w:t>存在下列情形之一的，招标人将对应标段重新招标：</w:t>
            </w:r>
          </w:p>
          <w:p w14:paraId="6C8C4608">
            <w:pPr>
              <w:spacing w:before="110" w:line="221" w:lineRule="auto"/>
              <w:ind w:left="486"/>
              <w:rPr>
                <w:rFonts w:ascii="黑体" w:hAnsi="黑体" w:eastAsia="黑体" w:cs="黑体"/>
                <w:sz w:val="23"/>
                <w:szCs w:val="23"/>
              </w:rPr>
            </w:pPr>
            <w:r>
              <w:rPr>
                <w:rFonts w:ascii="黑体" w:hAnsi="黑体" w:eastAsia="黑体" w:cs="黑体"/>
                <w:spacing w:val="18"/>
                <w:sz w:val="23"/>
                <w:szCs w:val="23"/>
              </w:rPr>
              <w:t>(</w:t>
            </w:r>
            <w:r>
              <w:rPr>
                <w:rFonts w:ascii="Times New Roman" w:hAnsi="Times New Roman" w:eastAsia="Times New Roman" w:cs="Times New Roman"/>
                <w:spacing w:val="18"/>
                <w:sz w:val="23"/>
                <w:szCs w:val="23"/>
              </w:rPr>
              <w:t>1</w:t>
            </w:r>
            <w:r>
              <w:rPr>
                <w:rFonts w:ascii="黑体" w:hAnsi="黑体" w:eastAsia="黑体" w:cs="黑体"/>
                <w:spacing w:val="9"/>
                <w:sz w:val="23"/>
                <w:szCs w:val="23"/>
              </w:rPr>
              <w:t xml:space="preserve">) 投标截止时间止，递交投标文件或投标保证金的投标人少于 </w:t>
            </w:r>
            <w:r>
              <w:rPr>
                <w:rFonts w:ascii="Times New Roman" w:hAnsi="Times New Roman" w:eastAsia="Times New Roman" w:cs="Times New Roman"/>
                <w:spacing w:val="9"/>
                <w:sz w:val="23"/>
                <w:szCs w:val="23"/>
              </w:rPr>
              <w:t xml:space="preserve">3 </w:t>
            </w:r>
            <w:r>
              <w:rPr>
                <w:rFonts w:ascii="黑体" w:hAnsi="黑体" w:eastAsia="黑体" w:cs="黑体"/>
                <w:spacing w:val="9"/>
                <w:sz w:val="23"/>
                <w:szCs w:val="23"/>
              </w:rPr>
              <w:t>个的；</w:t>
            </w:r>
          </w:p>
          <w:p w14:paraId="6584E561">
            <w:pPr>
              <w:pageBreakBefore w:val="0"/>
              <w:kinsoku/>
              <w:wordWrap w:val="0"/>
              <w:bidi w:val="0"/>
              <w:spacing w:line="440" w:lineRule="exact"/>
              <w:ind w:firstLine="512" w:firstLineChars="200"/>
              <w:jc w:val="left"/>
              <w:rPr>
                <w:rFonts w:ascii="黑体" w:hAnsi="黑体" w:eastAsia="黑体" w:cs="黑体"/>
                <w:spacing w:val="9"/>
                <w:sz w:val="23"/>
                <w:szCs w:val="23"/>
              </w:rPr>
            </w:pPr>
            <w:r>
              <w:rPr>
                <w:rFonts w:ascii="黑体" w:hAnsi="黑体" w:eastAsia="黑体" w:cs="黑体"/>
                <w:spacing w:val="13"/>
                <w:sz w:val="23"/>
                <w:szCs w:val="23"/>
              </w:rPr>
              <w:t>(</w:t>
            </w:r>
            <w:r>
              <w:rPr>
                <w:rFonts w:ascii="Times New Roman" w:hAnsi="Times New Roman" w:eastAsia="Times New Roman" w:cs="Times New Roman"/>
                <w:spacing w:val="13"/>
                <w:sz w:val="23"/>
                <w:szCs w:val="23"/>
              </w:rPr>
              <w:t>2</w:t>
            </w:r>
            <w:r>
              <w:rPr>
                <w:rFonts w:ascii="黑体" w:hAnsi="黑体" w:eastAsia="黑体" w:cs="黑体"/>
                <w:spacing w:val="13"/>
                <w:sz w:val="23"/>
                <w:szCs w:val="23"/>
              </w:rPr>
              <w:t>) 经评标委员会评审后否决所有投标的</w:t>
            </w:r>
            <w:r>
              <w:rPr>
                <w:rFonts w:ascii="黑体" w:hAnsi="黑体" w:eastAsia="黑体" w:cs="黑体"/>
                <w:spacing w:val="9"/>
                <w:sz w:val="23"/>
                <w:szCs w:val="23"/>
              </w:rPr>
              <w:t>；</w:t>
            </w:r>
          </w:p>
          <w:p w14:paraId="43820C85">
            <w:pPr>
              <w:spacing w:before="111" w:line="221" w:lineRule="auto"/>
              <w:ind w:left="486"/>
              <w:rPr>
                <w:rFonts w:ascii="黑体" w:hAnsi="黑体" w:eastAsia="黑体" w:cs="黑体"/>
                <w:sz w:val="23"/>
                <w:szCs w:val="23"/>
              </w:rPr>
            </w:pPr>
            <w:r>
              <w:rPr>
                <w:rFonts w:ascii="黑体" w:hAnsi="黑体" w:eastAsia="黑体" w:cs="黑体"/>
                <w:spacing w:val="24"/>
                <w:sz w:val="23"/>
                <w:szCs w:val="23"/>
              </w:rPr>
              <w:t>(</w:t>
            </w:r>
            <w:r>
              <w:rPr>
                <w:rFonts w:ascii="Times New Roman" w:hAnsi="Times New Roman" w:eastAsia="Times New Roman" w:cs="Times New Roman"/>
                <w:spacing w:val="13"/>
                <w:sz w:val="23"/>
                <w:szCs w:val="23"/>
              </w:rPr>
              <w:t>3</w:t>
            </w:r>
            <w:r>
              <w:rPr>
                <w:rFonts w:ascii="黑体" w:hAnsi="黑体" w:eastAsia="黑体" w:cs="黑体"/>
                <w:spacing w:val="12"/>
                <w:sz w:val="23"/>
                <w:szCs w:val="23"/>
              </w:rPr>
              <w:t>) 经评标委员会评审后未推荐中标候选人的；</w:t>
            </w:r>
          </w:p>
          <w:p w14:paraId="152A2243">
            <w:pPr>
              <w:spacing w:before="125" w:line="221" w:lineRule="auto"/>
              <w:ind w:left="486"/>
              <w:rPr>
                <w:rFonts w:ascii="黑体" w:hAnsi="黑体" w:eastAsia="黑体" w:cs="黑体"/>
                <w:sz w:val="23"/>
                <w:szCs w:val="23"/>
              </w:rPr>
            </w:pPr>
            <w:r>
              <w:rPr>
                <w:rFonts w:ascii="黑体" w:hAnsi="黑体" w:eastAsia="黑体" w:cs="黑体"/>
                <w:spacing w:val="13"/>
                <w:sz w:val="23"/>
                <w:szCs w:val="23"/>
              </w:rPr>
              <w:t>(</w:t>
            </w:r>
            <w:r>
              <w:rPr>
                <w:rFonts w:ascii="Times New Roman" w:hAnsi="Times New Roman" w:eastAsia="Times New Roman" w:cs="Times New Roman"/>
                <w:spacing w:val="13"/>
                <w:sz w:val="23"/>
                <w:szCs w:val="23"/>
              </w:rPr>
              <w:t>4</w:t>
            </w:r>
            <w:r>
              <w:rPr>
                <w:rFonts w:ascii="黑体" w:hAnsi="黑体" w:eastAsia="黑体" w:cs="黑体"/>
                <w:spacing w:val="13"/>
                <w:sz w:val="23"/>
                <w:szCs w:val="23"/>
              </w:rPr>
              <w:t>) 中标候选人均未与招标人签订合同的</w:t>
            </w:r>
            <w:r>
              <w:rPr>
                <w:rFonts w:ascii="黑体" w:hAnsi="黑体" w:eastAsia="黑体" w:cs="黑体"/>
                <w:spacing w:val="9"/>
                <w:sz w:val="23"/>
                <w:szCs w:val="23"/>
              </w:rPr>
              <w:t>；</w:t>
            </w:r>
          </w:p>
          <w:p w14:paraId="2A36E7D7">
            <w:pPr>
              <w:pageBreakBefore w:val="0"/>
              <w:kinsoku/>
              <w:wordWrap w:val="0"/>
              <w:bidi w:val="0"/>
              <w:spacing w:line="440" w:lineRule="exact"/>
              <w:ind w:firstLine="528" w:firstLineChars="200"/>
              <w:jc w:val="left"/>
              <w:rPr>
                <w:rFonts w:hint="default" w:ascii="黑体" w:hAnsi="黑体" w:eastAsia="黑体" w:cs="黑体"/>
                <w:spacing w:val="9"/>
                <w:kern w:val="2"/>
                <w:sz w:val="23"/>
                <w:szCs w:val="23"/>
                <w:lang w:val="en-US" w:eastAsia="zh-CN" w:bidi="ar-SA"/>
              </w:rPr>
            </w:pPr>
            <w:r>
              <w:rPr>
                <w:rFonts w:ascii="黑体" w:hAnsi="黑体" w:eastAsia="黑体" w:cs="黑体"/>
                <w:spacing w:val="17"/>
                <w:sz w:val="23"/>
                <w:szCs w:val="23"/>
              </w:rPr>
              <w:t>(</w:t>
            </w:r>
            <w:r>
              <w:rPr>
                <w:rFonts w:ascii="Times New Roman" w:hAnsi="Times New Roman" w:eastAsia="Times New Roman" w:cs="Times New Roman"/>
                <w:spacing w:val="14"/>
                <w:sz w:val="23"/>
                <w:szCs w:val="23"/>
              </w:rPr>
              <w:t>5</w:t>
            </w:r>
            <w:r>
              <w:rPr>
                <w:rFonts w:ascii="黑体" w:hAnsi="黑体" w:eastAsia="黑体" w:cs="黑体"/>
                <w:spacing w:val="14"/>
                <w:sz w:val="23"/>
                <w:szCs w:val="23"/>
              </w:rPr>
              <w:t>) 法律规定的其他情形。</w:t>
            </w:r>
          </w:p>
        </w:tc>
      </w:tr>
      <w:tr w14:paraId="0F57F1B9">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6ABF0DCF">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7B442FBF">
            <w:pPr>
              <w:spacing w:before="112"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ascii="黑体" w:hAnsi="黑体" w:eastAsia="黑体" w:cs="黑体"/>
                <w:sz w:val="23"/>
                <w:szCs w:val="23"/>
              </w:rPr>
              <w:t xml:space="preserve"> </w:t>
            </w:r>
            <w:r>
              <w:rPr>
                <w:rFonts w:hint="eastAsia" w:eastAsia="宋体" w:cs="Times New Roman"/>
                <w:sz w:val="23"/>
                <w:szCs w:val="23"/>
                <w:lang w:val="en-US" w:eastAsia="zh-CN"/>
              </w:rPr>
              <w:t>9.2</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6946AC8B">
            <w:pPr>
              <w:spacing w:before="114" w:line="275" w:lineRule="auto"/>
              <w:ind w:left="104" w:leftChars="0" w:right="97" w:rightChars="0" w:firstLine="478" w:firstLineChars="0"/>
              <w:rPr>
                <w:rFonts w:hint="default" w:ascii="黑体" w:hAnsi="黑体" w:eastAsia="黑体" w:cs="黑体"/>
                <w:spacing w:val="17"/>
                <w:kern w:val="2"/>
                <w:sz w:val="23"/>
                <w:szCs w:val="23"/>
                <w:lang w:val="en-US" w:eastAsia="zh-CN" w:bidi="ar-SA"/>
              </w:rPr>
            </w:pPr>
            <w:r>
              <w:rPr>
                <w:rFonts w:ascii="黑体" w:hAnsi="黑体" w:eastAsia="黑体" w:cs="黑体"/>
                <w:spacing w:val="16"/>
                <w:sz w:val="23"/>
                <w:szCs w:val="23"/>
              </w:rPr>
              <w:t>构</w:t>
            </w:r>
            <w:r>
              <w:rPr>
                <w:rFonts w:ascii="黑体" w:hAnsi="黑体" w:eastAsia="黑体" w:cs="黑体"/>
                <w:spacing w:val="9"/>
                <w:sz w:val="23"/>
                <w:szCs w:val="23"/>
              </w:rPr>
              <w:t>成</w:t>
            </w:r>
            <w:r>
              <w:rPr>
                <w:rFonts w:ascii="黑体" w:hAnsi="黑体" w:eastAsia="黑体" w:cs="黑体"/>
                <w:spacing w:val="8"/>
                <w:sz w:val="23"/>
                <w:szCs w:val="23"/>
              </w:rPr>
              <w:t>本招标文件各个组成部分的文件，未经招标人书面同意，投标人不得</w:t>
            </w:r>
            <w:r>
              <w:rPr>
                <w:rFonts w:ascii="黑体" w:hAnsi="黑体" w:eastAsia="黑体" w:cs="黑体"/>
                <w:spacing w:val="11"/>
                <w:sz w:val="23"/>
                <w:szCs w:val="23"/>
              </w:rPr>
              <w:t>擅</w:t>
            </w:r>
            <w:r>
              <w:rPr>
                <w:rFonts w:ascii="黑体" w:hAnsi="黑体" w:eastAsia="黑体" w:cs="黑体"/>
                <w:spacing w:val="9"/>
                <w:sz w:val="23"/>
                <w:szCs w:val="23"/>
              </w:rPr>
              <w:t>自复印和用于非本招标项目所需的其他目的。</w:t>
            </w:r>
          </w:p>
        </w:tc>
      </w:tr>
      <w:tr w14:paraId="026BAFBD">
        <w:tblPrEx>
          <w:tblCellMar>
            <w:top w:w="0" w:type="dxa"/>
            <w:left w:w="108" w:type="dxa"/>
            <w:bottom w:w="0" w:type="dxa"/>
            <w:right w:w="108" w:type="dxa"/>
          </w:tblCellMar>
        </w:tblPrEx>
        <w:trPr>
          <w:trHeight w:val="340" w:hRule="atLeast"/>
        </w:trPr>
        <w:tc>
          <w:tcPr>
            <w:tcW w:w="1036" w:type="dxa"/>
            <w:tcBorders>
              <w:top w:val="single" w:color="auto" w:sz="4" w:space="0"/>
              <w:left w:val="single" w:color="auto" w:sz="4" w:space="0"/>
              <w:bottom w:val="single" w:color="auto" w:sz="4" w:space="0"/>
              <w:right w:val="single" w:color="auto" w:sz="4" w:space="0"/>
            </w:tcBorders>
            <w:noWrap w:val="0"/>
            <w:vAlign w:val="center"/>
          </w:tcPr>
          <w:p w14:paraId="061A71E1">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7968" w:type="dxa"/>
            <w:gridSpan w:val="2"/>
            <w:tcBorders>
              <w:top w:val="single" w:color="auto" w:sz="4" w:space="0"/>
              <w:left w:val="single" w:color="auto" w:sz="4" w:space="0"/>
              <w:bottom w:val="single" w:color="auto" w:sz="4" w:space="0"/>
              <w:right w:val="single" w:color="auto" w:sz="4" w:space="0"/>
            </w:tcBorders>
            <w:shd w:val="clear" w:color="auto" w:fill="auto"/>
            <w:noWrap w:val="0"/>
            <w:vAlign w:val="top"/>
          </w:tcPr>
          <w:p w14:paraId="3E1E7091">
            <w:pPr>
              <w:spacing w:before="115"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ascii="黑体" w:hAnsi="黑体" w:eastAsia="黑体" w:cs="黑体"/>
                <w:sz w:val="23"/>
                <w:szCs w:val="23"/>
              </w:rPr>
              <w:t xml:space="preserve"> </w:t>
            </w:r>
            <w:r>
              <w:rPr>
                <w:rFonts w:hint="eastAsia" w:eastAsia="宋体" w:cs="Times New Roman"/>
                <w:sz w:val="23"/>
                <w:szCs w:val="23"/>
                <w:lang w:val="en-US" w:eastAsia="zh-CN"/>
              </w:rPr>
              <w:t>9.3</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2014306F">
            <w:pPr>
              <w:spacing w:before="109" w:line="303" w:lineRule="auto"/>
              <w:ind w:left="103" w:leftChars="0" w:firstLine="471" w:firstLineChars="0"/>
              <w:rPr>
                <w:rFonts w:hint="default" w:ascii="黑体" w:hAnsi="黑体" w:eastAsia="黑体" w:cs="黑体"/>
                <w:spacing w:val="17"/>
                <w:kern w:val="2"/>
                <w:sz w:val="23"/>
                <w:szCs w:val="23"/>
                <w:lang w:val="en-US" w:eastAsia="zh-CN" w:bidi="ar-SA"/>
              </w:rPr>
            </w:pPr>
            <w:r>
              <w:rPr>
                <w:rFonts w:ascii="黑体" w:hAnsi="黑体" w:eastAsia="黑体" w:cs="黑体"/>
                <w:spacing w:val="14"/>
                <w:sz w:val="23"/>
                <w:szCs w:val="23"/>
              </w:rPr>
              <w:t>构成</w:t>
            </w:r>
            <w:r>
              <w:rPr>
                <w:rFonts w:ascii="黑体" w:hAnsi="黑体" w:eastAsia="黑体" w:cs="黑体"/>
                <w:spacing w:val="8"/>
                <w:sz w:val="23"/>
                <w:szCs w:val="23"/>
              </w:rPr>
              <w:t>招</w:t>
            </w:r>
            <w:r>
              <w:rPr>
                <w:rFonts w:ascii="黑体" w:hAnsi="黑体" w:eastAsia="黑体" w:cs="黑体"/>
                <w:spacing w:val="7"/>
                <w:sz w:val="23"/>
                <w:szCs w:val="23"/>
              </w:rPr>
              <w:t>标文件组成部分的第二章、第四章</w:t>
            </w:r>
            <w:r>
              <w:rPr>
                <w:rFonts w:ascii="Times New Roman" w:hAnsi="Times New Roman" w:eastAsia="Times New Roman" w:cs="Times New Roman"/>
                <w:spacing w:val="7"/>
                <w:sz w:val="23"/>
                <w:szCs w:val="23"/>
              </w:rPr>
              <w:t>~</w:t>
            </w:r>
            <w:r>
              <w:rPr>
                <w:rFonts w:ascii="黑体" w:hAnsi="黑体" w:eastAsia="黑体" w:cs="黑体"/>
                <w:spacing w:val="7"/>
                <w:sz w:val="23"/>
                <w:szCs w:val="23"/>
              </w:rPr>
              <w:t>第八章中出现的措辞“发包人”</w:t>
            </w:r>
            <w:r>
              <w:rPr>
                <w:rFonts w:ascii="黑体" w:hAnsi="黑体" w:eastAsia="黑体" w:cs="黑体"/>
                <w:sz w:val="23"/>
                <w:szCs w:val="23"/>
              </w:rPr>
              <w:t xml:space="preserve"> </w:t>
            </w:r>
            <w:r>
              <w:rPr>
                <w:rFonts w:ascii="黑体" w:hAnsi="黑体" w:eastAsia="黑体" w:cs="黑体"/>
                <w:spacing w:val="1"/>
                <w:sz w:val="23"/>
                <w:szCs w:val="23"/>
              </w:rPr>
              <w:t>和“承包人”，在招标投标阶段应当分别按“招标人”和“投标人 (或中标人)”</w:t>
            </w:r>
            <w:r>
              <w:rPr>
                <w:rFonts w:ascii="黑体" w:hAnsi="黑体" w:eastAsia="黑体" w:cs="黑体"/>
                <w:sz w:val="23"/>
                <w:szCs w:val="23"/>
              </w:rPr>
              <w:t xml:space="preserve"> </w:t>
            </w:r>
            <w:r>
              <w:rPr>
                <w:rFonts w:ascii="黑体" w:hAnsi="黑体" w:eastAsia="黑体" w:cs="黑体"/>
                <w:spacing w:val="8"/>
                <w:sz w:val="23"/>
                <w:szCs w:val="23"/>
              </w:rPr>
              <w:t>进行理</w:t>
            </w:r>
            <w:r>
              <w:rPr>
                <w:rFonts w:ascii="黑体" w:hAnsi="黑体" w:eastAsia="黑体" w:cs="黑体"/>
                <w:spacing w:val="7"/>
                <w:sz w:val="23"/>
                <w:szCs w:val="23"/>
              </w:rPr>
              <w:t>解</w:t>
            </w:r>
            <w:r>
              <w:rPr>
                <w:rFonts w:ascii="黑体" w:hAnsi="黑体" w:eastAsia="黑体" w:cs="黑体"/>
                <w:spacing w:val="4"/>
                <w:sz w:val="23"/>
                <w:szCs w:val="23"/>
              </w:rPr>
              <w:t>；构成招标文件组成部分的第二章中出现的措辞“招标人”和“投标</w:t>
            </w:r>
            <w:r>
              <w:rPr>
                <w:rFonts w:ascii="黑体" w:hAnsi="黑体" w:eastAsia="黑体" w:cs="黑体"/>
                <w:spacing w:val="-4"/>
                <w:sz w:val="23"/>
                <w:szCs w:val="23"/>
              </w:rPr>
              <w:t xml:space="preserve">人 </w:t>
            </w:r>
            <w:r>
              <w:rPr>
                <w:rFonts w:ascii="黑体" w:hAnsi="黑体" w:eastAsia="黑体" w:cs="黑体"/>
                <w:spacing w:val="-3"/>
                <w:sz w:val="23"/>
                <w:szCs w:val="23"/>
              </w:rPr>
              <w:t>(</w:t>
            </w:r>
            <w:r>
              <w:rPr>
                <w:rFonts w:ascii="黑体" w:hAnsi="黑体" w:eastAsia="黑体" w:cs="黑体"/>
                <w:spacing w:val="-2"/>
                <w:sz w:val="23"/>
                <w:szCs w:val="23"/>
              </w:rPr>
              <w:t>或中标人) ”，且与合同文件相关的条款，在合同履约阶段应当分别按“发</w:t>
            </w:r>
            <w:r>
              <w:rPr>
                <w:rFonts w:ascii="黑体" w:hAnsi="黑体" w:eastAsia="黑体" w:cs="黑体"/>
                <w:spacing w:val="6"/>
                <w:sz w:val="23"/>
                <w:szCs w:val="23"/>
              </w:rPr>
              <w:t>包</w:t>
            </w:r>
            <w:r>
              <w:rPr>
                <w:rFonts w:ascii="黑体" w:hAnsi="黑体" w:eastAsia="黑体" w:cs="黑体"/>
                <w:spacing w:val="5"/>
                <w:sz w:val="23"/>
                <w:szCs w:val="23"/>
              </w:rPr>
              <w:t>人”和“承包人”进行理解。</w:t>
            </w:r>
          </w:p>
        </w:tc>
      </w:tr>
      <w:tr w14:paraId="0AF3EEBB">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6D627319">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top"/>
          </w:tcPr>
          <w:p w14:paraId="54A45300">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9.4</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73888850">
            <w:pPr>
              <w:spacing w:before="110" w:line="308" w:lineRule="auto"/>
              <w:ind w:left="101" w:leftChars="0" w:right="97" w:rightChars="0" w:firstLine="481" w:firstLineChars="0"/>
              <w:rPr>
                <w:rFonts w:hint="default" w:ascii="黑体" w:hAnsi="黑体" w:eastAsia="黑体" w:cs="黑体"/>
                <w:spacing w:val="17"/>
                <w:kern w:val="2"/>
                <w:sz w:val="23"/>
                <w:szCs w:val="23"/>
                <w:lang w:val="en-US" w:eastAsia="zh-CN" w:bidi="ar-SA"/>
              </w:rPr>
            </w:pPr>
            <w:r>
              <w:rPr>
                <w:rFonts w:ascii="黑体" w:hAnsi="黑体" w:eastAsia="黑体" w:cs="黑体"/>
                <w:spacing w:val="16"/>
                <w:sz w:val="23"/>
                <w:szCs w:val="23"/>
              </w:rPr>
              <w:t>构</w:t>
            </w:r>
            <w:r>
              <w:rPr>
                <w:rFonts w:ascii="黑体" w:hAnsi="黑体" w:eastAsia="黑体" w:cs="黑体"/>
                <w:spacing w:val="9"/>
                <w:sz w:val="23"/>
                <w:szCs w:val="23"/>
              </w:rPr>
              <w:t>成</w:t>
            </w:r>
            <w:r>
              <w:rPr>
                <w:rFonts w:ascii="黑体" w:hAnsi="黑体" w:eastAsia="黑体" w:cs="黑体"/>
                <w:spacing w:val="8"/>
                <w:sz w:val="23"/>
                <w:szCs w:val="23"/>
              </w:rPr>
              <w:t>本招标文件的各个组成文件应互为解释，互为说明；如有不明确或不</w:t>
            </w:r>
            <w:r>
              <w:rPr>
                <w:rFonts w:ascii="黑体" w:hAnsi="黑体" w:eastAsia="黑体" w:cs="黑体"/>
                <w:spacing w:val="16"/>
                <w:sz w:val="23"/>
                <w:szCs w:val="23"/>
              </w:rPr>
              <w:t>一</w:t>
            </w:r>
            <w:r>
              <w:rPr>
                <w:rFonts w:ascii="黑体" w:hAnsi="黑体" w:eastAsia="黑体" w:cs="黑体"/>
                <w:spacing w:val="15"/>
                <w:sz w:val="23"/>
                <w:szCs w:val="23"/>
              </w:rPr>
              <w:t>致</w:t>
            </w:r>
            <w:r>
              <w:rPr>
                <w:rFonts w:ascii="黑体" w:hAnsi="黑体" w:eastAsia="黑体" w:cs="黑体"/>
                <w:spacing w:val="8"/>
                <w:sz w:val="23"/>
                <w:szCs w:val="23"/>
              </w:rPr>
              <w:t>，构成合同文件组成内容的，以合同文件约定内容为准，且以合同协议书</w:t>
            </w:r>
            <w:r>
              <w:rPr>
                <w:rFonts w:ascii="黑体" w:hAnsi="黑体" w:eastAsia="黑体" w:cs="黑体"/>
                <w:sz w:val="23"/>
                <w:szCs w:val="23"/>
              </w:rPr>
              <w:t xml:space="preserve"> </w:t>
            </w:r>
            <w:r>
              <w:rPr>
                <w:rFonts w:ascii="黑体" w:hAnsi="黑体" w:eastAsia="黑体" w:cs="黑体"/>
                <w:spacing w:val="16"/>
                <w:sz w:val="23"/>
                <w:szCs w:val="23"/>
              </w:rPr>
              <w:t>约</w:t>
            </w:r>
            <w:r>
              <w:rPr>
                <w:rFonts w:ascii="黑体" w:hAnsi="黑体" w:eastAsia="黑体" w:cs="黑体"/>
                <w:spacing w:val="15"/>
                <w:sz w:val="23"/>
                <w:szCs w:val="23"/>
              </w:rPr>
              <w:t>定</w:t>
            </w:r>
            <w:r>
              <w:rPr>
                <w:rFonts w:ascii="黑体" w:hAnsi="黑体" w:eastAsia="黑体" w:cs="黑体"/>
                <w:spacing w:val="8"/>
                <w:sz w:val="23"/>
                <w:szCs w:val="23"/>
              </w:rPr>
              <w:t>的合同文件优先顺序解释；除招标文件中有特别规定外，仅适用于招标投</w:t>
            </w:r>
            <w:r>
              <w:rPr>
                <w:rFonts w:ascii="黑体" w:hAnsi="黑体" w:eastAsia="黑体" w:cs="黑体"/>
                <w:sz w:val="23"/>
                <w:szCs w:val="23"/>
              </w:rPr>
              <w:t xml:space="preserve"> </w:t>
            </w:r>
            <w:r>
              <w:rPr>
                <w:rFonts w:ascii="黑体" w:hAnsi="黑体" w:eastAsia="黑体" w:cs="黑体"/>
                <w:spacing w:val="8"/>
                <w:sz w:val="23"/>
                <w:szCs w:val="23"/>
              </w:rPr>
              <w:t>标阶段的规定，按招标公告 (投标邀请书) 、投标人须知、评标办法、投标</w:t>
            </w:r>
            <w:r>
              <w:rPr>
                <w:rFonts w:ascii="黑体" w:hAnsi="黑体" w:eastAsia="黑体" w:cs="黑体"/>
                <w:spacing w:val="7"/>
                <w:sz w:val="23"/>
                <w:szCs w:val="23"/>
              </w:rPr>
              <w:t>文</w:t>
            </w:r>
            <w:r>
              <w:rPr>
                <w:rFonts w:ascii="黑体" w:hAnsi="黑体" w:eastAsia="黑体" w:cs="黑体"/>
                <w:sz w:val="23"/>
                <w:szCs w:val="23"/>
              </w:rPr>
              <w:t xml:space="preserve"> </w:t>
            </w:r>
            <w:r>
              <w:rPr>
                <w:rFonts w:ascii="黑体" w:hAnsi="黑体" w:eastAsia="黑体" w:cs="黑体"/>
                <w:spacing w:val="16"/>
                <w:sz w:val="23"/>
                <w:szCs w:val="23"/>
              </w:rPr>
              <w:t>件</w:t>
            </w:r>
            <w:r>
              <w:rPr>
                <w:rFonts w:ascii="黑体" w:hAnsi="黑体" w:eastAsia="黑体" w:cs="黑体"/>
                <w:spacing w:val="15"/>
                <w:sz w:val="23"/>
                <w:szCs w:val="23"/>
              </w:rPr>
              <w:t>格</w:t>
            </w:r>
            <w:r>
              <w:rPr>
                <w:rFonts w:ascii="黑体" w:hAnsi="黑体" w:eastAsia="黑体" w:cs="黑体"/>
                <w:spacing w:val="8"/>
                <w:sz w:val="23"/>
                <w:szCs w:val="23"/>
              </w:rPr>
              <w:t>式的先后顺序解释；同一组成文件中就同一事项的规定或约定不一致的，</w:t>
            </w:r>
            <w:r>
              <w:rPr>
                <w:rFonts w:ascii="黑体" w:hAnsi="黑体" w:eastAsia="黑体" w:cs="黑体"/>
                <w:sz w:val="23"/>
                <w:szCs w:val="23"/>
              </w:rPr>
              <w:t xml:space="preserve"> </w:t>
            </w:r>
            <w:r>
              <w:rPr>
                <w:rFonts w:ascii="黑体" w:hAnsi="黑体" w:eastAsia="黑体" w:cs="黑体"/>
                <w:spacing w:val="16"/>
                <w:sz w:val="23"/>
                <w:szCs w:val="23"/>
              </w:rPr>
              <w:t>以</w:t>
            </w:r>
            <w:r>
              <w:rPr>
                <w:rFonts w:ascii="黑体" w:hAnsi="黑体" w:eastAsia="黑体" w:cs="黑体"/>
                <w:spacing w:val="15"/>
                <w:sz w:val="23"/>
                <w:szCs w:val="23"/>
              </w:rPr>
              <w:t>编</w:t>
            </w:r>
            <w:r>
              <w:rPr>
                <w:rFonts w:ascii="黑体" w:hAnsi="黑体" w:eastAsia="黑体" w:cs="黑体"/>
                <w:spacing w:val="8"/>
                <w:sz w:val="23"/>
                <w:szCs w:val="23"/>
              </w:rPr>
              <w:t>排顺序在后者为准；同一组成文件不同版本之间有不一致的，以形成时间</w:t>
            </w:r>
            <w:r>
              <w:rPr>
                <w:rFonts w:ascii="黑体" w:hAnsi="黑体" w:eastAsia="黑体" w:cs="黑体"/>
                <w:sz w:val="23"/>
                <w:szCs w:val="23"/>
              </w:rPr>
              <w:t xml:space="preserve"> </w:t>
            </w:r>
            <w:r>
              <w:rPr>
                <w:rFonts w:ascii="黑体" w:hAnsi="黑体" w:eastAsia="黑体" w:cs="黑体"/>
                <w:spacing w:val="18"/>
                <w:sz w:val="23"/>
                <w:szCs w:val="23"/>
              </w:rPr>
              <w:t>在</w:t>
            </w:r>
            <w:r>
              <w:rPr>
                <w:rFonts w:ascii="黑体" w:hAnsi="黑体" w:eastAsia="黑体" w:cs="黑体"/>
                <w:spacing w:val="16"/>
                <w:sz w:val="23"/>
                <w:szCs w:val="23"/>
              </w:rPr>
              <w:t>后</w:t>
            </w:r>
            <w:r>
              <w:rPr>
                <w:rFonts w:ascii="黑体" w:hAnsi="黑体" w:eastAsia="黑体" w:cs="黑体"/>
                <w:spacing w:val="9"/>
                <w:sz w:val="23"/>
                <w:szCs w:val="23"/>
              </w:rPr>
              <w:t>者为准。按本款前述规定仍不能形成结论的，由招标人负责解释。</w:t>
            </w:r>
          </w:p>
        </w:tc>
      </w:tr>
      <w:tr w14:paraId="06130FAB">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2EC8C0E3">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top"/>
          </w:tcPr>
          <w:p w14:paraId="03478C10">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9.5</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44E71726">
            <w:pPr>
              <w:tabs>
                <w:tab w:val="left" w:pos="140"/>
                <w:tab w:val="left" w:pos="143"/>
              </w:tabs>
              <w:spacing w:before="118" w:line="307" w:lineRule="auto"/>
              <w:ind w:firstLine="600" w:firstLineChars="0"/>
              <w:rPr>
                <w:rFonts w:hint="default" w:ascii="黑体" w:hAnsi="黑体" w:eastAsia="黑体" w:cs="黑体"/>
                <w:spacing w:val="17"/>
                <w:kern w:val="2"/>
                <w:sz w:val="23"/>
                <w:szCs w:val="23"/>
                <w:lang w:val="en-US" w:eastAsia="zh-CN" w:bidi="ar-SA"/>
              </w:rPr>
            </w:pPr>
            <w:r>
              <w:rPr>
                <w:rFonts w:ascii="黑体" w:hAnsi="黑体" w:eastAsia="黑体" w:cs="黑体"/>
                <w:spacing w:val="16"/>
                <w:sz w:val="23"/>
                <w:szCs w:val="23"/>
              </w:rPr>
              <w:t>投标</w:t>
            </w:r>
            <w:r>
              <w:rPr>
                <w:rFonts w:ascii="黑体" w:hAnsi="黑体" w:eastAsia="黑体" w:cs="黑体"/>
                <w:spacing w:val="9"/>
                <w:sz w:val="23"/>
                <w:szCs w:val="23"/>
              </w:rPr>
              <w:t>人</w:t>
            </w:r>
            <w:r>
              <w:rPr>
                <w:rFonts w:ascii="黑体" w:hAnsi="黑体" w:eastAsia="黑体" w:cs="黑体"/>
                <w:spacing w:val="8"/>
                <w:sz w:val="23"/>
                <w:szCs w:val="23"/>
              </w:rPr>
              <w:t>中标后，应在收到中标通知书</w:t>
            </w:r>
            <w:r>
              <w:rPr>
                <w:rFonts w:hint="eastAsia" w:ascii="黑体" w:hAnsi="黑体" w:eastAsia="黑体" w:cs="黑体"/>
                <w:spacing w:val="8"/>
                <w:sz w:val="23"/>
                <w:szCs w:val="23"/>
                <w:lang w:val="en-US" w:eastAsia="zh-CN"/>
              </w:rPr>
              <w:t>时</w:t>
            </w:r>
            <w:r>
              <w:rPr>
                <w:rFonts w:ascii="黑体" w:hAnsi="黑体" w:eastAsia="黑体" w:cs="黑体"/>
                <w:spacing w:val="8"/>
                <w:sz w:val="23"/>
                <w:szCs w:val="23"/>
              </w:rPr>
              <w:t>向</w:t>
            </w:r>
            <w:r>
              <w:rPr>
                <w:rFonts w:ascii="黑体" w:hAnsi="黑体" w:eastAsia="黑体" w:cs="黑体"/>
                <w:sz w:val="23"/>
                <w:szCs w:val="23"/>
              </w:rPr>
              <w:t xml:space="preserve"> </w:t>
            </w:r>
            <w:r>
              <w:rPr>
                <w:rFonts w:ascii="黑体" w:hAnsi="黑体" w:eastAsia="黑体" w:cs="黑体"/>
                <w:spacing w:val="26"/>
                <w:sz w:val="23"/>
                <w:szCs w:val="23"/>
              </w:rPr>
              <w:t>招</w:t>
            </w:r>
            <w:r>
              <w:rPr>
                <w:rFonts w:ascii="黑体" w:hAnsi="黑体" w:eastAsia="黑体" w:cs="黑体"/>
                <w:spacing w:val="18"/>
                <w:sz w:val="23"/>
                <w:szCs w:val="23"/>
              </w:rPr>
              <w:t>标人委托的招标代理单位支付招标代理费，招标</w:t>
            </w:r>
            <w:r>
              <w:rPr>
                <w:rFonts w:ascii="黑体" w:hAnsi="黑体" w:eastAsia="黑体" w:cs="黑体"/>
                <w:spacing w:val="18"/>
                <w:sz w:val="23"/>
                <w:szCs w:val="23"/>
                <w:highlight w:val="none"/>
              </w:rPr>
              <w:t>代理费</w:t>
            </w:r>
            <w:r>
              <w:rPr>
                <w:rFonts w:hint="eastAsia" w:ascii="黑体" w:hAnsi="黑体" w:eastAsia="黑体" w:cs="黑体"/>
                <w:spacing w:val="18"/>
                <w:sz w:val="23"/>
                <w:szCs w:val="23"/>
                <w:highlight w:val="none"/>
                <w:lang w:val="en-US" w:eastAsia="zh-CN"/>
              </w:rPr>
              <w:t>参照</w:t>
            </w:r>
            <w:r>
              <w:rPr>
                <w:rFonts w:ascii="黑体" w:hAnsi="黑体" w:eastAsia="黑体" w:cs="黑体"/>
                <w:spacing w:val="18"/>
                <w:sz w:val="23"/>
                <w:szCs w:val="23"/>
                <w:highlight w:val="none"/>
              </w:rPr>
              <w:t>原</w:t>
            </w:r>
            <w:r>
              <w:rPr>
                <w:rFonts w:ascii="黑体" w:hAnsi="黑体" w:eastAsia="黑体" w:cs="黑体"/>
                <w:sz w:val="23"/>
                <w:szCs w:val="23"/>
                <w:highlight w:val="none"/>
              </w:rPr>
              <w:t xml:space="preserve"> </w:t>
            </w:r>
            <w:r>
              <w:rPr>
                <w:rFonts w:ascii="黑体" w:hAnsi="黑体" w:eastAsia="黑体" w:cs="黑体"/>
                <w:spacing w:val="-4"/>
                <w:sz w:val="23"/>
                <w:szCs w:val="23"/>
                <w:highlight w:val="none"/>
              </w:rPr>
              <w:t>《国家</w:t>
            </w:r>
            <w:r>
              <w:rPr>
                <w:rFonts w:ascii="黑体" w:hAnsi="黑体" w:eastAsia="黑体" w:cs="黑体"/>
                <w:spacing w:val="-4"/>
                <w:sz w:val="23"/>
                <w:szCs w:val="23"/>
              </w:rPr>
              <w:t>计委关</w:t>
            </w:r>
            <w:r>
              <w:rPr>
                <w:rFonts w:ascii="黑体" w:hAnsi="黑体" w:eastAsia="黑体" w:cs="黑体"/>
                <w:spacing w:val="-2"/>
                <w:sz w:val="23"/>
                <w:szCs w:val="23"/>
              </w:rPr>
              <w:t>于印发〈招标代理服务收费管理暂行办法〉的通知》(计价格〔</w:t>
            </w:r>
            <w:r>
              <w:rPr>
                <w:rFonts w:ascii="Times New Roman" w:hAnsi="Times New Roman" w:eastAsia="Times New Roman" w:cs="Times New Roman"/>
                <w:spacing w:val="-2"/>
                <w:sz w:val="23"/>
                <w:szCs w:val="23"/>
              </w:rPr>
              <w:t>2002</w:t>
            </w:r>
            <w:r>
              <w:rPr>
                <w:rFonts w:ascii="黑体" w:hAnsi="黑体" w:eastAsia="黑体" w:cs="黑体"/>
                <w:spacing w:val="-2"/>
                <w:sz w:val="23"/>
                <w:szCs w:val="23"/>
              </w:rPr>
              <w:t>〕</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8"/>
                <w:sz w:val="23"/>
                <w:szCs w:val="23"/>
              </w:rPr>
              <w:t>9</w:t>
            </w:r>
            <w:r>
              <w:rPr>
                <w:rFonts w:ascii="Times New Roman" w:hAnsi="Times New Roman" w:eastAsia="Times New Roman" w:cs="Times New Roman"/>
                <w:spacing w:val="7"/>
                <w:sz w:val="23"/>
                <w:szCs w:val="23"/>
              </w:rPr>
              <w:t xml:space="preserve">80 </w:t>
            </w:r>
            <w:r>
              <w:rPr>
                <w:rFonts w:ascii="黑体" w:hAnsi="黑体" w:eastAsia="黑体" w:cs="黑体"/>
                <w:spacing w:val="7"/>
                <w:sz w:val="23"/>
                <w:szCs w:val="23"/>
              </w:rPr>
              <w:t>号) 和《国家发展改革委办公厅关于招标代理服务收费有关问题的通知》</w:t>
            </w:r>
            <w:r>
              <w:rPr>
                <w:rFonts w:ascii="黑体" w:hAnsi="黑体" w:eastAsia="黑体" w:cs="黑体"/>
                <w:sz w:val="23"/>
                <w:szCs w:val="23"/>
              </w:rPr>
              <w:t xml:space="preserve"> </w:t>
            </w:r>
            <w:r>
              <w:rPr>
                <w:rFonts w:ascii="黑体" w:hAnsi="黑体" w:eastAsia="黑体" w:cs="黑体"/>
                <w:sz w:val="23"/>
                <w:szCs w:val="23"/>
              </w:rPr>
              <w:tab/>
            </w:r>
            <w:r>
              <w:rPr>
                <w:rFonts w:ascii="黑体" w:hAnsi="黑体" w:eastAsia="黑体" w:cs="黑体"/>
                <w:spacing w:val="8"/>
                <w:sz w:val="23"/>
                <w:szCs w:val="23"/>
              </w:rPr>
              <w:t>(发改</w:t>
            </w:r>
            <w:r>
              <w:rPr>
                <w:rFonts w:ascii="黑体" w:hAnsi="黑体" w:eastAsia="黑体" w:cs="黑体"/>
                <w:spacing w:val="6"/>
                <w:sz w:val="23"/>
                <w:szCs w:val="23"/>
              </w:rPr>
              <w:t>办</w:t>
            </w:r>
            <w:r>
              <w:rPr>
                <w:rFonts w:ascii="黑体" w:hAnsi="黑体" w:eastAsia="黑体" w:cs="黑体"/>
                <w:spacing w:val="4"/>
                <w:sz w:val="23"/>
                <w:szCs w:val="23"/>
              </w:rPr>
              <w:t>价格〔</w:t>
            </w:r>
            <w:r>
              <w:rPr>
                <w:rFonts w:ascii="Times New Roman" w:hAnsi="Times New Roman" w:eastAsia="Times New Roman" w:cs="Times New Roman"/>
                <w:spacing w:val="4"/>
                <w:sz w:val="23"/>
                <w:szCs w:val="23"/>
              </w:rPr>
              <w:t>2003</w:t>
            </w:r>
            <w:r>
              <w:rPr>
                <w:rFonts w:ascii="黑体" w:hAnsi="黑体" w:eastAsia="黑体" w:cs="黑体"/>
                <w:spacing w:val="4"/>
                <w:sz w:val="23"/>
                <w:szCs w:val="23"/>
              </w:rPr>
              <w:t>〕</w:t>
            </w:r>
            <w:r>
              <w:rPr>
                <w:rFonts w:ascii="Times New Roman" w:hAnsi="Times New Roman" w:eastAsia="Times New Roman" w:cs="Times New Roman"/>
                <w:spacing w:val="4"/>
                <w:sz w:val="23"/>
                <w:szCs w:val="23"/>
              </w:rPr>
              <w:t xml:space="preserve">857 </w:t>
            </w:r>
            <w:r>
              <w:rPr>
                <w:rFonts w:ascii="黑体" w:hAnsi="黑体" w:eastAsia="黑体" w:cs="黑体"/>
                <w:spacing w:val="4"/>
                <w:sz w:val="23"/>
                <w:szCs w:val="23"/>
              </w:rPr>
              <w:t>号) 、《国家发展改革委关于降低部分建设项目收费</w:t>
            </w:r>
            <w:r>
              <w:rPr>
                <w:rFonts w:ascii="黑体" w:hAnsi="黑体" w:eastAsia="黑体" w:cs="黑体"/>
                <w:sz w:val="23"/>
                <w:szCs w:val="23"/>
              </w:rPr>
              <w:t xml:space="preserve"> </w:t>
            </w:r>
            <w:r>
              <w:rPr>
                <w:rFonts w:ascii="黑体" w:hAnsi="黑体" w:eastAsia="黑体" w:cs="黑体"/>
                <w:spacing w:val="14"/>
                <w:sz w:val="23"/>
                <w:szCs w:val="23"/>
              </w:rPr>
              <w:t>标准规</w:t>
            </w:r>
            <w:r>
              <w:rPr>
                <w:rFonts w:ascii="黑体" w:hAnsi="黑体" w:eastAsia="黑体" w:cs="黑体"/>
                <w:spacing w:val="13"/>
                <w:sz w:val="23"/>
                <w:szCs w:val="23"/>
              </w:rPr>
              <w:t>范</w:t>
            </w:r>
            <w:r>
              <w:rPr>
                <w:rFonts w:ascii="黑体" w:hAnsi="黑体" w:eastAsia="黑体" w:cs="黑体"/>
                <w:spacing w:val="7"/>
                <w:sz w:val="23"/>
                <w:szCs w:val="23"/>
              </w:rPr>
              <w:t>收费行为等有关问题的通知》  (发改价格〔</w:t>
            </w:r>
            <w:r>
              <w:rPr>
                <w:rFonts w:ascii="Times New Roman" w:hAnsi="Times New Roman" w:eastAsia="Times New Roman" w:cs="Times New Roman"/>
                <w:spacing w:val="7"/>
                <w:sz w:val="23"/>
                <w:szCs w:val="23"/>
              </w:rPr>
              <w:t>2011</w:t>
            </w:r>
            <w:r>
              <w:rPr>
                <w:rFonts w:ascii="黑体" w:hAnsi="黑体" w:eastAsia="黑体" w:cs="黑体"/>
                <w:spacing w:val="7"/>
                <w:sz w:val="23"/>
                <w:szCs w:val="23"/>
              </w:rPr>
              <w:t>〕</w:t>
            </w:r>
            <w:r>
              <w:rPr>
                <w:rFonts w:ascii="Times New Roman" w:hAnsi="Times New Roman" w:eastAsia="Times New Roman" w:cs="Times New Roman"/>
                <w:spacing w:val="7"/>
                <w:sz w:val="23"/>
                <w:szCs w:val="23"/>
              </w:rPr>
              <w:t xml:space="preserve">534 </w:t>
            </w:r>
            <w:r>
              <w:rPr>
                <w:rFonts w:ascii="黑体" w:hAnsi="黑体" w:eastAsia="黑体" w:cs="黑体"/>
                <w:spacing w:val="7"/>
                <w:sz w:val="23"/>
                <w:szCs w:val="23"/>
              </w:rPr>
              <w:t>号) 的规定计</w:t>
            </w:r>
            <w:r>
              <w:rPr>
                <w:rFonts w:ascii="黑体" w:hAnsi="黑体" w:eastAsia="黑体" w:cs="黑体"/>
                <w:spacing w:val="18"/>
                <w:sz w:val="23"/>
                <w:szCs w:val="23"/>
              </w:rPr>
              <w:t>算</w:t>
            </w:r>
            <w:r>
              <w:rPr>
                <w:rFonts w:ascii="黑体" w:hAnsi="黑体" w:eastAsia="黑体" w:cs="黑体"/>
                <w:spacing w:val="13"/>
                <w:sz w:val="23"/>
                <w:szCs w:val="23"/>
              </w:rPr>
              <w:t>。该项费用含入投标报价之中，招标人不再单独支付。</w:t>
            </w:r>
          </w:p>
        </w:tc>
      </w:tr>
      <w:tr w14:paraId="2C367B88">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2DEDF297">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top"/>
          </w:tcPr>
          <w:p w14:paraId="2C1DD705">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9.6</w:t>
            </w:r>
            <w:r>
              <w:rPr>
                <w:rFonts w:ascii="黑体" w:hAnsi="黑体" w:eastAsia="黑体" w:cs="黑体"/>
                <w:sz w:val="23"/>
                <w:szCs w:val="23"/>
              </w:rPr>
              <w:t>款：</w:t>
            </w:r>
          </w:p>
          <w:p w14:paraId="409AE6CB">
            <w:pPr>
              <w:spacing w:before="115" w:line="298" w:lineRule="auto"/>
              <w:ind w:left="103" w:leftChars="0" w:firstLine="479" w:firstLineChars="0"/>
              <w:rPr>
                <w:rFonts w:hint="default" w:ascii="黑体" w:hAnsi="黑体" w:eastAsia="黑体" w:cs="黑体"/>
                <w:spacing w:val="17"/>
                <w:kern w:val="2"/>
                <w:sz w:val="23"/>
                <w:szCs w:val="23"/>
                <w:lang w:val="en-US" w:eastAsia="zh-CN" w:bidi="ar-SA"/>
              </w:rPr>
            </w:pPr>
            <w:r>
              <w:rPr>
                <w:rFonts w:ascii="黑体" w:hAnsi="黑体" w:eastAsia="黑体" w:cs="黑体"/>
                <w:spacing w:val="6"/>
                <w:sz w:val="23"/>
                <w:szCs w:val="23"/>
              </w:rPr>
              <w:t>根据《</w:t>
            </w:r>
            <w:r>
              <w:rPr>
                <w:rFonts w:hint="eastAsia" w:ascii="黑体" w:hAnsi="黑体" w:eastAsia="黑体" w:cs="黑体"/>
                <w:spacing w:val="6"/>
                <w:sz w:val="23"/>
                <w:szCs w:val="23"/>
              </w:rPr>
              <w:t>省发展改革委关于降低我省建设工程交易服务收费标准的通知</w:t>
            </w:r>
            <w:r>
              <w:rPr>
                <w:rFonts w:ascii="黑体" w:hAnsi="黑体" w:eastAsia="黑体" w:cs="黑体"/>
                <w:spacing w:val="3"/>
                <w:sz w:val="23"/>
                <w:szCs w:val="23"/>
              </w:rPr>
              <w:t>》(辽发改</w:t>
            </w:r>
            <w:r>
              <w:rPr>
                <w:rFonts w:hint="eastAsia" w:ascii="黑体" w:hAnsi="黑体" w:eastAsia="黑体" w:cs="黑体"/>
                <w:spacing w:val="3"/>
                <w:sz w:val="23"/>
                <w:szCs w:val="23"/>
                <w:lang w:eastAsia="zh-CN"/>
              </w:rPr>
              <w:t>价格</w:t>
            </w:r>
            <w:r>
              <w:rPr>
                <w:rFonts w:ascii="黑体" w:hAnsi="黑体" w:eastAsia="黑体" w:cs="黑体"/>
                <w:spacing w:val="3"/>
                <w:sz w:val="23"/>
                <w:szCs w:val="23"/>
              </w:rPr>
              <w:t>【</w:t>
            </w:r>
            <w:r>
              <w:rPr>
                <w:rFonts w:ascii="Times New Roman" w:hAnsi="Times New Roman" w:eastAsia="Times New Roman" w:cs="Times New Roman"/>
                <w:spacing w:val="3"/>
                <w:sz w:val="23"/>
                <w:szCs w:val="23"/>
              </w:rPr>
              <w:t>202</w:t>
            </w:r>
            <w:r>
              <w:rPr>
                <w:rFonts w:hint="eastAsia" w:ascii="Times New Roman" w:hAnsi="Times New Roman" w:eastAsia="宋体" w:cs="Times New Roman"/>
                <w:spacing w:val="3"/>
                <w:sz w:val="23"/>
                <w:szCs w:val="23"/>
                <w:lang w:val="en-US" w:eastAsia="zh-CN"/>
              </w:rPr>
              <w:t>3</w:t>
            </w:r>
            <w:r>
              <w:rPr>
                <w:rFonts w:ascii="黑体" w:hAnsi="黑体" w:eastAsia="黑体" w:cs="黑体"/>
                <w:spacing w:val="3"/>
                <w:sz w:val="23"/>
                <w:szCs w:val="23"/>
              </w:rPr>
              <w:t>】</w:t>
            </w:r>
            <w:r>
              <w:rPr>
                <w:rFonts w:hint="eastAsia" w:ascii="Times New Roman" w:hAnsi="Times New Roman" w:eastAsia="宋体" w:cs="Times New Roman"/>
                <w:spacing w:val="16"/>
                <w:sz w:val="23"/>
                <w:szCs w:val="23"/>
                <w:lang w:val="en-US" w:eastAsia="zh-CN"/>
              </w:rPr>
              <w:t>128</w:t>
            </w:r>
            <w:r>
              <w:rPr>
                <w:rFonts w:ascii="黑体" w:hAnsi="黑体" w:eastAsia="黑体" w:cs="黑体"/>
                <w:spacing w:val="8"/>
                <w:sz w:val="23"/>
                <w:szCs w:val="23"/>
              </w:rPr>
              <w:t>号) ，本招标项目的交易双方 (招标人和中标人) 应缴纳建设工程交易中心服务费，应由招标人及中标人缴纳的建设工程交易中心服务费均由中标人</w:t>
            </w:r>
            <w:r>
              <w:rPr>
                <w:rFonts w:ascii="黑体" w:hAnsi="黑体" w:eastAsia="黑体" w:cs="黑体"/>
                <w:spacing w:val="5"/>
                <w:sz w:val="23"/>
                <w:szCs w:val="23"/>
              </w:rPr>
              <w:t>在</w:t>
            </w:r>
            <w:r>
              <w:rPr>
                <w:rFonts w:ascii="黑体" w:hAnsi="黑体" w:eastAsia="黑体" w:cs="黑体"/>
                <w:spacing w:val="8"/>
                <w:sz w:val="23"/>
                <w:szCs w:val="23"/>
              </w:rPr>
              <w:t>报价总价中综合考虑，招标人不另行计量或支付，中标人应在中标后一次性</w:t>
            </w:r>
            <w:r>
              <w:rPr>
                <w:rFonts w:ascii="黑体" w:hAnsi="黑体" w:eastAsia="黑体" w:cs="黑体"/>
                <w:spacing w:val="5"/>
                <w:sz w:val="23"/>
                <w:szCs w:val="23"/>
              </w:rPr>
              <w:t>缴</w:t>
            </w:r>
            <w:r>
              <w:rPr>
                <w:rFonts w:hint="eastAsia" w:ascii="黑体" w:hAnsi="黑体" w:eastAsia="黑体" w:cs="黑体"/>
                <w:spacing w:val="5"/>
                <w:sz w:val="23"/>
                <w:szCs w:val="23"/>
                <w:lang w:eastAsia="zh-CN"/>
              </w:rPr>
              <w:t>纳。</w:t>
            </w:r>
          </w:p>
        </w:tc>
      </w:tr>
      <w:tr w14:paraId="199C22BC">
        <w:tblPrEx>
          <w:tblCellMar>
            <w:top w:w="0" w:type="dxa"/>
            <w:left w:w="108" w:type="dxa"/>
            <w:bottom w:w="0" w:type="dxa"/>
            <w:right w:w="108" w:type="dxa"/>
          </w:tblCellMar>
        </w:tblPrEx>
        <w:trPr>
          <w:trHeight w:val="340" w:hRule="atLeast"/>
        </w:trPr>
        <w:tc>
          <w:tcPr>
            <w:tcW w:w="0" w:type="auto"/>
            <w:tcBorders>
              <w:top w:val="single" w:color="auto" w:sz="4" w:space="0"/>
              <w:left w:val="single" w:color="auto" w:sz="4" w:space="0"/>
              <w:bottom w:val="single" w:color="auto" w:sz="4" w:space="0"/>
              <w:right w:val="single" w:color="auto" w:sz="4" w:space="0"/>
            </w:tcBorders>
          </w:tcPr>
          <w:p w14:paraId="44C0860C">
            <w:pPr>
              <w:pageBreakBefore w:val="0"/>
              <w:kinsoku/>
              <w:wordWrap w:val="0"/>
              <w:bidi w:val="0"/>
              <w:spacing w:line="440" w:lineRule="exact"/>
              <w:jc w:val="center"/>
              <w:rPr>
                <w:rFonts w:hint="default" w:ascii="Times New Roman" w:hAnsi="Times New Roman" w:cs="Times New Roman"/>
                <w:color w:val="auto"/>
                <w:sz w:val="24"/>
                <w:szCs w:val="24"/>
                <w:highlight w:val="yellow"/>
                <w:lang w:val="en-US" w:eastAsia="zh-CN"/>
              </w:rPr>
            </w:pPr>
          </w:p>
        </w:tc>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top"/>
          </w:tcPr>
          <w:p w14:paraId="29F07E1E">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9.7</w:t>
            </w:r>
            <w:r>
              <w:rPr>
                <w:rFonts w:ascii="黑体" w:hAnsi="黑体" w:eastAsia="黑体" w:cs="黑体"/>
                <w:sz w:val="23"/>
                <w:szCs w:val="23"/>
              </w:rPr>
              <w:t>款：</w:t>
            </w:r>
          </w:p>
          <w:p w14:paraId="5E94DD31">
            <w:pPr>
              <w:spacing w:before="115" w:line="298" w:lineRule="auto"/>
              <w:ind w:left="103" w:leftChars="0" w:firstLine="479" w:firstLineChars="0"/>
              <w:rPr>
                <w:rFonts w:hint="default" w:ascii="黑体" w:hAnsi="黑体" w:eastAsia="黑体" w:cs="黑体"/>
                <w:spacing w:val="6"/>
                <w:kern w:val="2"/>
                <w:sz w:val="23"/>
                <w:szCs w:val="23"/>
                <w:lang w:val="en-US" w:eastAsia="zh-CN" w:bidi="ar-SA"/>
              </w:rPr>
            </w:pPr>
            <w:r>
              <w:rPr>
                <w:rFonts w:hint="eastAsia" w:ascii="黑体" w:hAnsi="黑体" w:eastAsia="黑体" w:cs="黑体"/>
                <w:b/>
                <w:bCs/>
                <w:spacing w:val="6"/>
                <w:sz w:val="23"/>
                <w:szCs w:val="23"/>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1684EE15">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5BBBE8DB">
      <w:pPr>
        <w:pageBreakBefore w:val="0"/>
        <w:kinsoku/>
        <w:wordWrap w:val="0"/>
        <w:bidi w:val="0"/>
        <w:spacing w:line="20" w:lineRule="exact"/>
        <w:jc w:val="center"/>
        <w:rPr>
          <w:rFonts w:hint="default" w:ascii="Times New Roman" w:hAnsi="Times New Roman" w:eastAsia="黑体" w:cs="Times New Roman"/>
          <w:b/>
          <w:color w:val="auto"/>
          <w:sz w:val="18"/>
          <w:szCs w:val="18"/>
          <w:highlight w:val="none"/>
        </w:rPr>
      </w:pPr>
      <w:r>
        <w:rPr>
          <w:rFonts w:hint="default" w:ascii="Times New Roman" w:hAnsi="Times New Roman" w:eastAsia="黑体" w:cs="Times New Roman"/>
          <w:color w:val="auto"/>
          <w:sz w:val="28"/>
          <w:szCs w:val="28"/>
          <w:highlight w:val="none"/>
        </w:rPr>
        <w:br w:type="page"/>
      </w:r>
    </w:p>
    <w:p w14:paraId="05C42C86">
      <w:pPr>
        <w:pStyle w:val="2"/>
        <w:pageBreakBefore w:val="0"/>
        <w:kinsoku/>
        <w:wordWrap w:val="0"/>
        <w:bidi w:val="0"/>
        <w:spacing w:before="240" w:after="240" w:line="240" w:lineRule="atLeast"/>
        <w:jc w:val="center"/>
        <w:rPr>
          <w:rFonts w:hint="default" w:ascii="Times New Roman" w:hAnsi="Times New Roman" w:cs="Times New Roman"/>
          <w:color w:val="auto"/>
          <w:highlight w:val="none"/>
        </w:rPr>
      </w:pPr>
      <w:bookmarkStart w:id="61" w:name="_Toc19171"/>
      <w:bookmarkStart w:id="62" w:name="_Toc234832863"/>
      <w:bookmarkStart w:id="63" w:name="_Toc29783"/>
      <w:bookmarkStart w:id="64" w:name="_Toc12483"/>
      <w:r>
        <w:rPr>
          <w:rFonts w:hint="default" w:ascii="Times New Roman" w:hAnsi="Times New Roman" w:eastAsia="黑体" w:cs="Times New Roman"/>
          <w:color w:val="auto"/>
          <w:sz w:val="28"/>
          <w:szCs w:val="28"/>
          <w:highlight w:val="none"/>
        </w:rPr>
        <w:t>附录1  资格审查条件（资质最低</w:t>
      </w:r>
      <w:r>
        <w:rPr>
          <w:rFonts w:hint="default" w:ascii="Times New Roman" w:hAnsi="Times New Roman" w:eastAsia="黑体" w:cs="Times New Roman"/>
          <w:color w:val="auto"/>
          <w:sz w:val="28"/>
          <w:szCs w:val="28"/>
          <w:highlight w:val="none"/>
          <w:lang w:eastAsia="zh-CN"/>
        </w:rPr>
        <w:t>要求</w:t>
      </w:r>
      <w:r>
        <w:rPr>
          <w:rFonts w:hint="default" w:ascii="Times New Roman" w:hAnsi="Times New Roman" w:eastAsia="黑体" w:cs="Times New Roman"/>
          <w:color w:val="auto"/>
          <w:sz w:val="28"/>
          <w:szCs w:val="28"/>
          <w:highlight w:val="none"/>
        </w:rPr>
        <w:t>）</w:t>
      </w:r>
      <w:r>
        <w:rPr>
          <w:rStyle w:val="47"/>
          <w:rFonts w:hint="default" w:ascii="Times New Roman" w:hAnsi="Times New Roman" w:eastAsia="黑体" w:cs="Times New Roman"/>
          <w:color w:val="auto"/>
          <w:sz w:val="28"/>
          <w:szCs w:val="28"/>
          <w:highlight w:val="none"/>
        </w:rPr>
        <w:footnoteReference w:id="17"/>
      </w:r>
      <w:bookmarkEnd w:id="61"/>
      <w:bookmarkEnd w:id="62"/>
      <w:bookmarkEnd w:id="63"/>
      <w:bookmarkEnd w:id="6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1BEB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222A1EE2">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施工企业资质等级要求</w:t>
            </w:r>
            <w:r>
              <w:rPr>
                <w:rFonts w:hint="default" w:ascii="Times New Roman" w:hAnsi="Times New Roman" w:cs="Times New Roman"/>
                <w:szCs w:val="21"/>
              </w:rPr>
              <w:footnoteReference w:id="18"/>
            </w:r>
          </w:p>
        </w:tc>
      </w:tr>
      <w:tr w14:paraId="345C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5C0E5E9F">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 、投标人必须具有国内独立法人资格及有效的企业法人营业执照。</w:t>
            </w:r>
          </w:p>
          <w:p w14:paraId="339BA9A0">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 、投标人的资质应满足以下</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1</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和</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2</w:t>
            </w:r>
            <w:r>
              <w:rPr>
                <w:rFonts w:hint="default" w:ascii="Times New Roman" w:hAnsi="Times New Roman" w:cs="Times New Roman"/>
                <w:szCs w:val="21"/>
                <w:lang w:eastAsia="zh-CN"/>
              </w:rPr>
              <w:t>）</w:t>
            </w:r>
            <w:r>
              <w:rPr>
                <w:rFonts w:hint="default" w:ascii="Times New Roman" w:hAnsi="Times New Roman" w:cs="Times New Roman"/>
                <w:szCs w:val="21"/>
              </w:rPr>
              <w:t>项要求：</w:t>
            </w:r>
          </w:p>
          <w:p w14:paraId="6FF1FD7D">
            <w:pPr>
              <w:pageBreakBefore w:val="0"/>
              <w:kinsoku/>
              <w:wordWrap w:val="0"/>
              <w:bidi w:val="0"/>
              <w:adjustRightInd w:val="0"/>
              <w:snapToGrid w:val="0"/>
              <w:spacing w:line="400" w:lineRule="atLeast"/>
              <w:jc w:val="left"/>
              <w:rPr>
                <w:rFonts w:hint="default" w:ascii="Times New Roman" w:hAnsi="Times New Roman" w:cs="Times New Roman"/>
                <w:szCs w:val="21"/>
                <w:lang w:eastAsia="zh-CN"/>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1</w:t>
            </w:r>
            <w:r>
              <w:rPr>
                <w:rFonts w:hint="default" w:ascii="Times New Roman" w:hAnsi="Times New Roman" w:cs="Times New Roman"/>
                <w:szCs w:val="21"/>
                <w:lang w:eastAsia="zh-CN"/>
              </w:rPr>
              <w:t>）</w:t>
            </w:r>
            <w:r>
              <w:rPr>
                <w:rFonts w:hint="default" w:ascii="Times New Roman" w:hAnsi="Times New Roman" w:cs="Times New Roman"/>
                <w:szCs w:val="21"/>
              </w:rPr>
              <w:t>具有省级交通运输主管部门颁发且有效的“公路养护作业单位资质证书”且资质类别</w:t>
            </w:r>
            <w:r>
              <w:rPr>
                <w:rFonts w:hint="default" w:ascii="Times New Roman" w:hAnsi="Times New Roman" w:cs="Times New Roman"/>
                <w:szCs w:val="21"/>
                <w:lang w:val="en-US" w:eastAsia="zh-CN"/>
              </w:rPr>
              <w:t>为</w:t>
            </w:r>
            <w:r>
              <w:rPr>
                <w:rFonts w:hint="default" w:ascii="Times New Roman" w:hAnsi="Times New Roman" w:cs="Times New Roman"/>
                <w:szCs w:val="21"/>
              </w:rPr>
              <w:t>路基路面养护</w:t>
            </w:r>
            <w:r>
              <w:rPr>
                <w:rFonts w:hint="default" w:ascii="Times New Roman" w:hAnsi="Times New Roman" w:cs="Times New Roman"/>
                <w:szCs w:val="21"/>
                <w:lang w:val="en-US" w:eastAsia="zh-CN"/>
              </w:rPr>
              <w:t>乙</w:t>
            </w:r>
            <w:r>
              <w:rPr>
                <w:rFonts w:hint="default" w:ascii="Times New Roman" w:hAnsi="Times New Roman" w:cs="Times New Roman"/>
                <w:szCs w:val="21"/>
              </w:rPr>
              <w:t>级及以上资质</w:t>
            </w:r>
            <w:r>
              <w:rPr>
                <w:rFonts w:hint="default" w:ascii="Times New Roman" w:hAnsi="Times New Roman" w:cs="Times New Roman"/>
                <w:szCs w:val="21"/>
                <w:lang w:eastAsia="zh-CN"/>
              </w:rPr>
              <w:t>；</w:t>
            </w:r>
          </w:p>
          <w:p w14:paraId="7A0F5DD3">
            <w:pPr>
              <w:pageBreakBefore w:val="0"/>
              <w:kinsoku/>
              <w:wordWrap w:val="0"/>
              <w:bidi w:val="0"/>
              <w:adjustRightInd w:val="0"/>
              <w:snapToGrid w:val="0"/>
              <w:spacing w:line="400" w:lineRule="atLeast"/>
              <w:jc w:val="left"/>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r>
              <w:rPr>
                <w:rFonts w:hint="default" w:ascii="Times New Roman" w:hAnsi="Times New Roman" w:cs="Times New Roman"/>
                <w:szCs w:val="21"/>
              </w:rPr>
              <w:t>具有省级交通运输主管部门颁发且有效的</w:t>
            </w:r>
            <w:r>
              <w:rPr>
                <w:rFonts w:hint="default" w:ascii="Times New Roman" w:hAnsi="Times New Roman" w:cs="Times New Roman"/>
                <w:szCs w:val="21"/>
                <w:lang w:val="en-US" w:eastAsia="zh-CN"/>
              </w:rPr>
              <w:t>交通安全设施养护资质。</w:t>
            </w:r>
          </w:p>
          <w:p w14:paraId="4C9CA255">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 、投标人必须具有</w:t>
            </w:r>
            <w:r>
              <w:rPr>
                <w:rFonts w:hint="default" w:ascii="Times New Roman" w:hAnsi="Times New Roman" w:cs="Times New Roman"/>
                <w:szCs w:val="21"/>
                <w:lang w:val="en-US" w:eastAsia="zh-CN"/>
              </w:rPr>
              <w:t>行业</w:t>
            </w:r>
            <w:r>
              <w:rPr>
                <w:rFonts w:hint="default" w:ascii="Times New Roman" w:hAnsi="Times New Roman" w:cs="Times New Roman"/>
                <w:szCs w:val="21"/>
              </w:rPr>
              <w:t>主管部门颁发的有效安全生产许可证。</w:t>
            </w:r>
          </w:p>
          <w:p w14:paraId="06C70FB7">
            <w:pPr>
              <w:pageBreakBefore w:val="0"/>
              <w:kinsoku/>
              <w:wordWrap w:val="0"/>
              <w:bidi w:val="0"/>
              <w:adjustRightInd w:val="0"/>
              <w:snapToGrid w:val="0"/>
              <w:spacing w:line="400" w:lineRule="atLeast"/>
              <w:jc w:val="left"/>
              <w:rPr>
                <w:rFonts w:hint="default" w:ascii="Times New Roman" w:hAnsi="Times New Roman" w:cs="Times New Roman"/>
                <w:szCs w:val="21"/>
              </w:rPr>
            </w:pPr>
          </w:p>
          <w:p w14:paraId="2971144F">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注：1、“投标人基本情况表”后应附企业法人营业执照副本和组织机构代码证副本（按照</w:t>
            </w:r>
          </w:p>
          <w:p w14:paraId="782B840A">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“三证合一”或“五证合一”登记制度进行登记的，可仅提供营业执照副本，下同）、资质证书</w:t>
            </w:r>
          </w:p>
          <w:p w14:paraId="48D7698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副本、安全生产许可证副本、基本账户开户证明的复印件，以及投标人在国家企业信用信</w:t>
            </w:r>
          </w:p>
          <w:p w14:paraId="7BEEE5DB">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息公示系统中基础信息（体现股东及出资详细信息）的网页截图或由法定的社会验资机构</w:t>
            </w:r>
          </w:p>
          <w:p w14:paraId="4E90D344">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出具的验资报告或注册地工商部门出具的股东出资情况证明复印件。</w:t>
            </w:r>
          </w:p>
          <w:p w14:paraId="0F6AB716">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2、投标人须提供其在交通运输部全国公路建设市场监督管理系统公路工程施工资质企业名</w:t>
            </w:r>
          </w:p>
          <w:p w14:paraId="7162F5C7">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录中的网页截图复印件</w:t>
            </w:r>
          </w:p>
        </w:tc>
      </w:tr>
      <w:tr w14:paraId="3564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17FE16DB">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bookmarkStart w:id="65" w:name="_Toc3559"/>
            <w:bookmarkStart w:id="66" w:name="_Toc234832864"/>
            <w:bookmarkStart w:id="67" w:name="_Toc4197"/>
            <w:r>
              <w:rPr>
                <w:rFonts w:hint="eastAsia" w:cs="Times New Roman"/>
                <w:color w:val="auto"/>
                <w:szCs w:val="21"/>
                <w:highlight w:val="none"/>
                <w:lang w:val="en-US" w:eastAsia="zh-CN"/>
              </w:rPr>
              <w:t>注：</w:t>
            </w:r>
          </w:p>
          <w:p w14:paraId="7F89605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16EFECA">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1A04C18">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E35F6B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868A4D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4A4F06D5">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sectPr>
          <w:headerReference r:id="rId23" w:type="default"/>
          <w:footerReference r:id="rId25" w:type="default"/>
          <w:headerReference r:id="rId24" w:type="even"/>
          <w:footerReference r:id="rId26"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3416999">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68" w:name="_Toc29861"/>
      <w:r>
        <w:rPr>
          <w:rFonts w:hint="default" w:ascii="Times New Roman" w:hAnsi="Times New Roman" w:eastAsia="黑体" w:cs="Times New Roman"/>
          <w:color w:val="auto"/>
          <w:sz w:val="28"/>
          <w:szCs w:val="28"/>
          <w:highlight w:val="none"/>
        </w:rPr>
        <w:t>附录2  资格审查条件（财务最低要求）</w:t>
      </w:r>
      <w:r>
        <w:rPr>
          <w:rStyle w:val="47"/>
          <w:rFonts w:hint="default" w:ascii="Times New Roman" w:hAnsi="Times New Roman" w:eastAsia="黑体" w:cs="Times New Roman"/>
          <w:color w:val="auto"/>
          <w:sz w:val="28"/>
          <w:szCs w:val="28"/>
          <w:highlight w:val="none"/>
        </w:rPr>
        <w:footnoteReference w:id="19"/>
      </w:r>
      <w:bookmarkEnd w:id="65"/>
      <w:bookmarkEnd w:id="66"/>
      <w:bookmarkEnd w:id="67"/>
      <w:bookmarkEnd w:id="6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CF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7C2D2BB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财 务 要 求</w:t>
            </w:r>
          </w:p>
        </w:tc>
      </w:tr>
      <w:tr w14:paraId="3B94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100B8D03">
            <w:pPr>
              <w:rPr>
                <w:color w:val="auto"/>
                <w:highlight w:val="none"/>
              </w:rPr>
            </w:pPr>
          </w:p>
          <w:p w14:paraId="07C107CD">
            <w:pPr>
              <w:rPr>
                <w:color w:val="auto"/>
                <w:highlight w:val="none"/>
              </w:rPr>
            </w:pPr>
          </w:p>
          <w:p w14:paraId="2433EDAE">
            <w:pPr>
              <w:rPr>
                <w:color w:val="auto"/>
                <w:highlight w:val="none"/>
              </w:rPr>
            </w:pPr>
          </w:p>
          <w:p w14:paraId="678B31C6">
            <w:pPr>
              <w:pageBreakBefore w:val="0"/>
              <w:kinsoku/>
              <w:wordWrap w:val="0"/>
              <w:bidi w:val="0"/>
              <w:adjustRightInd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无</w:t>
            </w:r>
          </w:p>
          <w:p w14:paraId="3A3D6107">
            <w:pPr>
              <w:rPr>
                <w:color w:val="auto"/>
                <w:highlight w:val="none"/>
              </w:rPr>
            </w:pPr>
          </w:p>
          <w:p w14:paraId="55A7A11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D3D9C4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590E2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B446E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6DEC4E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D389D2B">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818AD9">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BA588A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464494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95A242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A98C5C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502DF6C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975D6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BC91125">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7167EE2D">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54D449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A7477CF">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68C9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584F710A">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22BCB78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9D7529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F004F8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EA3ECD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A24A1C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3F3ED302">
      <w:pPr>
        <w:pageBreakBefore w:val="0"/>
        <w:kinsoku/>
        <w:wordWrap w:val="0"/>
        <w:bidi w:val="0"/>
        <w:adjustRightInd w:val="0"/>
        <w:snapToGrid w:val="0"/>
        <w:spacing w:line="300" w:lineRule="exact"/>
        <w:rPr>
          <w:rFonts w:hint="default" w:ascii="Times New Roman" w:hAnsi="Times New Roman" w:eastAsia="黑体" w:cs="Times New Roman"/>
          <w:color w:val="auto"/>
          <w:sz w:val="24"/>
          <w:highlight w:val="none"/>
        </w:rPr>
      </w:pPr>
    </w:p>
    <w:p w14:paraId="4041D78F">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69" w:name="_Toc6381"/>
      <w:bookmarkStart w:id="70" w:name="_Toc10281"/>
      <w:bookmarkStart w:id="71" w:name="_Toc234832865"/>
      <w:bookmarkStart w:id="72" w:name="_Toc30953"/>
      <w:r>
        <w:rPr>
          <w:rFonts w:hint="default" w:ascii="Times New Roman" w:hAnsi="Times New Roman" w:eastAsia="黑体" w:cs="Times New Roman"/>
          <w:color w:val="auto"/>
          <w:sz w:val="28"/>
          <w:szCs w:val="28"/>
          <w:highlight w:val="none"/>
        </w:rPr>
        <w:t xml:space="preserve">附录3 </w:t>
      </w:r>
      <w:r>
        <w:rPr>
          <w:rFonts w:hint="default" w:ascii="Times New Roman" w:hAnsi="Times New Roman" w:eastAsia="黑体" w:cs="Times New Roman"/>
          <w:color w:val="auto"/>
          <w:sz w:val="28"/>
          <w:szCs w:val="28"/>
          <w:highlight w:val="none"/>
          <w:lang w:eastAsia="zh-CN"/>
        </w:rPr>
        <w:t xml:space="preserve"> </w:t>
      </w:r>
      <w:r>
        <w:rPr>
          <w:rFonts w:hint="default" w:ascii="Times New Roman" w:hAnsi="Times New Roman" w:eastAsia="黑体" w:cs="Times New Roman"/>
          <w:color w:val="auto"/>
          <w:sz w:val="28"/>
          <w:szCs w:val="28"/>
          <w:highlight w:val="none"/>
        </w:rPr>
        <w:t>资格审查条件（业绩最低要求）</w:t>
      </w:r>
      <w:r>
        <w:rPr>
          <w:rStyle w:val="47"/>
          <w:rFonts w:hint="default" w:ascii="Times New Roman" w:hAnsi="Times New Roman" w:eastAsia="黑体" w:cs="Times New Roman"/>
          <w:color w:val="auto"/>
          <w:sz w:val="28"/>
          <w:szCs w:val="28"/>
          <w:highlight w:val="none"/>
        </w:rPr>
        <w:footnoteReference w:id="20"/>
      </w:r>
      <w:bookmarkEnd w:id="69"/>
      <w:bookmarkEnd w:id="70"/>
      <w:bookmarkEnd w:id="71"/>
      <w:bookmarkEnd w:id="7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5B5E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5F360C3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业 绩 要 求</w:t>
            </w:r>
            <w:r>
              <w:rPr>
                <w:rStyle w:val="47"/>
                <w:rFonts w:hint="default" w:ascii="Times New Roman" w:hAnsi="Times New Roman" w:cs="Times New Roman"/>
                <w:color w:val="auto"/>
                <w:szCs w:val="21"/>
                <w:highlight w:val="none"/>
              </w:rPr>
              <w:footnoteReference w:id="21"/>
            </w:r>
          </w:p>
        </w:tc>
      </w:tr>
      <w:tr w14:paraId="1165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60F7F422">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投标人</w:t>
            </w:r>
            <w:r>
              <w:rPr>
                <w:rFonts w:hint="default" w:ascii="Times New Roman" w:hAnsi="Times New Roman" w:cs="Times New Roman"/>
                <w:szCs w:val="21"/>
                <w:highlight w:val="yellow"/>
              </w:rPr>
              <w:t>202</w:t>
            </w:r>
            <w:r>
              <w:rPr>
                <w:rFonts w:hint="eastAsia" w:cs="Times New Roman"/>
                <w:szCs w:val="21"/>
                <w:highlight w:val="yellow"/>
                <w:lang w:val="en-US" w:eastAsia="zh-CN"/>
              </w:rPr>
              <w:t>3</w:t>
            </w:r>
            <w:r>
              <w:rPr>
                <w:rFonts w:hint="default" w:ascii="Times New Roman" w:hAnsi="Times New Roman" w:cs="Times New Roman"/>
                <w:szCs w:val="21"/>
                <w:highlight w:val="yellow"/>
              </w:rPr>
              <w:t>年1月1日</w:t>
            </w:r>
            <w:r>
              <w:rPr>
                <w:rFonts w:hint="default" w:ascii="Times New Roman" w:hAnsi="Times New Roman" w:cs="Times New Roman"/>
                <w:szCs w:val="21"/>
              </w:rPr>
              <w:t>至投标文件递交截止时间（指交工验收时为</w:t>
            </w:r>
            <w:r>
              <w:rPr>
                <w:rFonts w:hint="default" w:ascii="Times New Roman" w:hAnsi="Times New Roman" w:cs="Times New Roman"/>
                <w:szCs w:val="21"/>
                <w:highlight w:val="yellow"/>
              </w:rPr>
              <w:t>202</w:t>
            </w:r>
            <w:r>
              <w:rPr>
                <w:rFonts w:hint="eastAsia" w:cs="Times New Roman"/>
                <w:szCs w:val="21"/>
                <w:highlight w:val="yellow"/>
                <w:lang w:val="en-US" w:eastAsia="zh-CN"/>
              </w:rPr>
              <w:t>3</w:t>
            </w:r>
            <w:r>
              <w:rPr>
                <w:rFonts w:hint="default" w:ascii="Times New Roman" w:hAnsi="Times New Roman" w:cs="Times New Roman"/>
                <w:szCs w:val="21"/>
                <w:highlight w:val="yellow"/>
              </w:rPr>
              <w:t>年1月1日</w:t>
            </w:r>
            <w:r>
              <w:rPr>
                <w:rFonts w:hint="default" w:ascii="Times New Roman" w:hAnsi="Times New Roman" w:cs="Times New Roman"/>
                <w:szCs w:val="21"/>
              </w:rPr>
              <w:t>至投标文件递交截止日内），完成过至少1项类似公路工程业绩。</w:t>
            </w:r>
          </w:p>
          <w:p w14:paraId="70CC67A3">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注：投标人应提供中标通知书、施工合同及竣工相关证明材料，三者缺一不可，合同时间以竣工时间为准。</w:t>
            </w:r>
          </w:p>
          <w:p w14:paraId="6DF897B1">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1、已录入“辽宁省公共资源交易平台主体交易库”中的企业业绩，可以从主体库中选取后关联至投标文件中，作为企业业绩的证明材料。</w:t>
            </w:r>
          </w:p>
          <w:p w14:paraId="0B7E14F2">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07AFFCE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如投标人未按要求提供企业业绩证明材料或企业业绩证明材料中的信息无法证实企业满足招标文件要求，则该项目业绩在评审时不予认定。</w:t>
            </w:r>
          </w:p>
          <w:p w14:paraId="1950D41D">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006CA48B">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4、如近年来，投标人法人机构发生变更或重组或法人名称变更时，应提供相关部门的合法批件。</w:t>
            </w:r>
          </w:p>
          <w:p w14:paraId="06B0B72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2C7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2D0C9784">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51C91C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167A4CB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E9A35E4">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85A7A4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398782BE">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05315247">
      <w:pPr>
        <w:pageBreakBefore w:val="0"/>
        <w:kinsoku/>
        <w:wordWrap w:val="0"/>
        <w:bidi w:val="0"/>
        <w:adjustRightInd w:val="0"/>
        <w:snapToGrid w:val="0"/>
        <w:spacing w:line="300" w:lineRule="exact"/>
        <w:rPr>
          <w:rFonts w:hint="default" w:ascii="Times New Roman" w:hAnsi="Times New Roman" w:eastAsia="隶书" w:cs="Times New Roman"/>
          <w:b/>
          <w:color w:val="auto"/>
          <w:sz w:val="32"/>
          <w:highlight w:val="none"/>
        </w:rPr>
      </w:pPr>
    </w:p>
    <w:p w14:paraId="30D371AB">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73" w:name="_Toc24335"/>
      <w:bookmarkStart w:id="74" w:name="_Toc29363"/>
      <w:bookmarkStart w:id="75" w:name="_Toc17966"/>
      <w:bookmarkStart w:id="76" w:name="_Toc234832866"/>
      <w:r>
        <w:rPr>
          <w:rFonts w:hint="default" w:ascii="Times New Roman" w:hAnsi="Times New Roman" w:eastAsia="黑体" w:cs="Times New Roman"/>
          <w:color w:val="auto"/>
          <w:sz w:val="28"/>
          <w:szCs w:val="28"/>
          <w:highlight w:val="none"/>
        </w:rPr>
        <w:t>附录4  资格审查条件（信誉最低要求）</w:t>
      </w:r>
      <w:r>
        <w:rPr>
          <w:rStyle w:val="47"/>
          <w:rFonts w:hint="default" w:ascii="Times New Roman" w:hAnsi="Times New Roman" w:eastAsia="黑体" w:cs="Times New Roman"/>
          <w:color w:val="auto"/>
          <w:sz w:val="28"/>
          <w:szCs w:val="28"/>
          <w:highlight w:val="none"/>
        </w:rPr>
        <w:footnoteReference w:id="22"/>
      </w:r>
      <w:bookmarkEnd w:id="73"/>
      <w:bookmarkEnd w:id="74"/>
      <w:bookmarkEnd w:id="75"/>
      <w:bookmarkEnd w:id="76"/>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05C1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C056421">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 誉 要 求</w:t>
            </w:r>
          </w:p>
        </w:tc>
      </w:tr>
      <w:tr w14:paraId="686E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19" w:type="dxa"/>
            <w:noWrap w:val="0"/>
            <w:vAlign w:val="center"/>
          </w:tcPr>
          <w:p w14:paraId="06D23736">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（1）未被省级及以上交通运输主管部门取消招标项目所在地的投标资格且处于有效期内；</w:t>
            </w:r>
          </w:p>
          <w:p w14:paraId="6BF5A629">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（2）未被责令停业，暂扣或吊销执照，或吊销资质证书；</w:t>
            </w:r>
          </w:p>
          <w:p w14:paraId="0C3077D2">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（3）未进入清算程序，或被宣告破产，或其他丧失履约能力的情形；</w:t>
            </w:r>
          </w:p>
          <w:p w14:paraId="22839F74">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（4）在国家企业信用信息公示系统（http：//www.gsxt.gov.cn）中未被列入严重违法失信企业名单；</w:t>
            </w:r>
          </w:p>
          <w:p w14:paraId="12ED47D8">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（5）在“信用中国”网站（http：//www.creditchina.gov.cn）中未被列入失信被执行人名单；</w:t>
            </w:r>
          </w:p>
          <w:p w14:paraId="11D9B7AB">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（6）投标人或其法定代表人、拟委任的项目经理在近三年内没有行贿犯罪行为的；</w:t>
            </w:r>
          </w:p>
          <w:p w14:paraId="100BDB85">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（7）投标人在以往工程未因拖欠农民工工资、材料采购、工程分包款等，而受到省级有关部门的通报；</w:t>
            </w:r>
          </w:p>
          <w:p w14:paraId="32D4F0B3">
            <w:pPr>
              <w:rPr>
                <w:color w:val="auto"/>
                <w:highlight w:val="none"/>
              </w:rPr>
            </w:pPr>
            <w:r>
              <w:rPr>
                <w:rFonts w:hint="default" w:ascii="Times New Roman" w:hAnsi="Times New Roman" w:cs="Times New Roman"/>
                <w:szCs w:val="21"/>
              </w:rPr>
              <w:t>（8）法律法规规定的其他情形。</w:t>
            </w:r>
          </w:p>
          <w:p w14:paraId="2905902E">
            <w:pPr>
              <w:rPr>
                <w:color w:val="auto"/>
                <w:highlight w:val="none"/>
              </w:rPr>
            </w:pPr>
          </w:p>
          <w:p w14:paraId="52B017A7">
            <w:pPr>
              <w:rPr>
                <w:color w:val="auto"/>
                <w:highlight w:val="none"/>
              </w:rPr>
            </w:pPr>
          </w:p>
          <w:p w14:paraId="4AC4A125">
            <w:pPr>
              <w:rPr>
                <w:color w:val="auto"/>
                <w:highlight w:val="none"/>
              </w:rPr>
            </w:pPr>
          </w:p>
          <w:p w14:paraId="1C507BC4">
            <w:pPr>
              <w:pageBreakBefore w:val="0"/>
              <w:kinsoku/>
              <w:wordWrap w:val="0"/>
              <w:bidi w:val="0"/>
              <w:adjustRightInd w:val="0"/>
              <w:snapToGrid w:val="0"/>
              <w:spacing w:line="400" w:lineRule="atLeast"/>
              <w:jc w:val="left"/>
              <w:rPr>
                <w:rFonts w:hint="default" w:ascii="Times New Roman" w:hAnsi="Times New Roman" w:cs="Times New Roman"/>
                <w:szCs w:val="21"/>
              </w:rPr>
            </w:pPr>
          </w:p>
          <w:p w14:paraId="3B5FE26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6C25E122">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r w14:paraId="018E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jc w:val="center"/>
        </w:trPr>
        <w:tc>
          <w:tcPr>
            <w:tcW w:w="8819" w:type="dxa"/>
            <w:noWrap w:val="0"/>
            <w:vAlign w:val="center"/>
          </w:tcPr>
          <w:p w14:paraId="6FF5749C">
            <w:pPr>
              <w:pageBreakBefore w:val="0"/>
              <w:kinsoku/>
              <w:wordWrap w:val="0"/>
              <w:bidi w:val="0"/>
              <w:adjustRightInd w:val="0"/>
              <w:snapToGrid w:val="0"/>
              <w:spacing w:line="400" w:lineRule="atLeast"/>
              <w:jc w:val="lef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p w14:paraId="1B9A51FC">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0089A13">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2D82D76A">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00EE50F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p w14:paraId="47C336F6">
            <w:pPr>
              <w:pageBreakBefore w:val="0"/>
              <w:kinsoku/>
              <w:wordWrap w:val="0"/>
              <w:bidi w:val="0"/>
              <w:adjustRightInd w:val="0"/>
              <w:snapToGrid w:val="0"/>
              <w:spacing w:line="400" w:lineRule="atLeast"/>
              <w:jc w:val="center"/>
              <w:rPr>
                <w:rFonts w:hint="default" w:ascii="Times New Roman" w:hAnsi="Times New Roman" w:cs="Times New Roman"/>
                <w:color w:val="auto"/>
                <w:szCs w:val="21"/>
                <w:highlight w:val="none"/>
              </w:rPr>
            </w:pPr>
          </w:p>
        </w:tc>
      </w:tr>
    </w:tbl>
    <w:p w14:paraId="6F4E74FF">
      <w:pPr>
        <w:pageBreakBefore w:val="0"/>
        <w:kinsoku/>
        <w:wordWrap w:val="0"/>
        <w:bidi w:val="0"/>
        <w:adjustRightInd w:val="0"/>
        <w:snapToGrid w:val="0"/>
        <w:spacing w:line="300" w:lineRule="exact"/>
        <w:rPr>
          <w:rFonts w:hint="default" w:ascii="Times New Roman" w:hAnsi="Times New Roman" w:eastAsia="隶书" w:cs="Times New Roman"/>
          <w:color w:val="auto"/>
          <w:sz w:val="32"/>
          <w:highlight w:val="none"/>
        </w:rPr>
      </w:pPr>
    </w:p>
    <w:p w14:paraId="41A078B4">
      <w:pPr>
        <w:pageBreakBefore w:val="0"/>
        <w:kinsoku/>
        <w:wordWrap w:val="0"/>
        <w:bidi w:val="0"/>
        <w:adjustRightInd w:val="0"/>
        <w:snapToGrid w:val="0"/>
        <w:spacing w:line="300" w:lineRule="auto"/>
        <w:rPr>
          <w:rFonts w:hint="default" w:ascii="Times New Roman" w:hAnsi="Times New Roman" w:cs="Times New Roman"/>
          <w:bCs/>
          <w:color w:val="auto"/>
          <w:highlight w:val="none"/>
        </w:rPr>
      </w:pPr>
    </w:p>
    <w:p w14:paraId="3F2E9AF9">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color w:val="auto"/>
          <w:sz w:val="24"/>
          <w:highlight w:val="none"/>
        </w:rPr>
      </w:pPr>
    </w:p>
    <w:p w14:paraId="0F1A4AF7">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77" w:name="_Toc27658"/>
      <w:bookmarkStart w:id="78" w:name="_Toc4881"/>
      <w:bookmarkStart w:id="79" w:name="_Toc234832867"/>
      <w:bookmarkStart w:id="80" w:name="_Toc4102"/>
      <w:r>
        <w:rPr>
          <w:rFonts w:hint="default" w:ascii="Times New Roman" w:hAnsi="Times New Roman" w:eastAsia="黑体" w:cs="Times New Roman"/>
          <w:color w:val="auto"/>
          <w:sz w:val="28"/>
          <w:szCs w:val="28"/>
          <w:highlight w:val="none"/>
        </w:rPr>
        <w:t>附录5  资格审查条件（项目经理和项目总工最低要求）</w:t>
      </w:r>
      <w:r>
        <w:rPr>
          <w:rStyle w:val="47"/>
          <w:rFonts w:hint="default" w:ascii="Times New Roman" w:hAnsi="Times New Roman" w:eastAsia="黑体" w:cs="Times New Roman"/>
          <w:color w:val="auto"/>
          <w:sz w:val="28"/>
          <w:szCs w:val="28"/>
          <w:highlight w:val="none"/>
        </w:rPr>
        <w:footnoteReference w:id="23"/>
      </w:r>
      <w:bookmarkEnd w:id="77"/>
      <w:bookmarkEnd w:id="78"/>
      <w:bookmarkEnd w:id="79"/>
      <w:bookmarkEnd w:id="8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6B65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1BE5FC90">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  员</w:t>
            </w:r>
          </w:p>
        </w:tc>
        <w:tc>
          <w:tcPr>
            <w:tcW w:w="1559" w:type="dxa"/>
            <w:noWrap w:val="0"/>
            <w:vAlign w:val="center"/>
          </w:tcPr>
          <w:p w14:paraId="6558C28D">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  量</w:t>
            </w:r>
          </w:p>
        </w:tc>
        <w:tc>
          <w:tcPr>
            <w:tcW w:w="2888" w:type="dxa"/>
            <w:noWrap w:val="0"/>
            <w:vAlign w:val="center"/>
          </w:tcPr>
          <w:p w14:paraId="6A4ABB0F">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资 格 要 求</w:t>
            </w:r>
            <w:r>
              <w:rPr>
                <w:rStyle w:val="47"/>
                <w:rFonts w:hint="default" w:ascii="Times New Roman" w:hAnsi="Times New Roman" w:cs="Times New Roman"/>
                <w:color w:val="auto"/>
                <w:szCs w:val="21"/>
                <w:highlight w:val="none"/>
              </w:rPr>
              <w:footnoteReference w:id="24"/>
            </w:r>
          </w:p>
        </w:tc>
        <w:tc>
          <w:tcPr>
            <w:tcW w:w="2887" w:type="dxa"/>
            <w:noWrap w:val="0"/>
            <w:vAlign w:val="center"/>
          </w:tcPr>
          <w:p w14:paraId="14A395B6">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在岗要求</w:t>
            </w:r>
          </w:p>
        </w:tc>
      </w:tr>
      <w:tr w14:paraId="4149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380F0A87">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1559" w:type="dxa"/>
            <w:noWrap w:val="0"/>
            <w:vAlign w:val="center"/>
          </w:tcPr>
          <w:p w14:paraId="6DACDB29">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eastAsia" w:cs="Times New Roman"/>
                <w:szCs w:val="21"/>
                <w:lang w:val="en-US" w:eastAsia="zh-CN"/>
              </w:rPr>
              <w:t>1</w:t>
            </w:r>
          </w:p>
        </w:tc>
        <w:tc>
          <w:tcPr>
            <w:tcW w:w="2888" w:type="dxa"/>
            <w:noWrap w:val="0"/>
            <w:vAlign w:val="center"/>
          </w:tcPr>
          <w:p w14:paraId="5D01F170">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szCs w:val="21"/>
              </w:rPr>
              <w:t>具有公路工程专业二级及以上建造师证书且证书目前必须注册在投标人单位，具有交通运输主管部门颁发的安全生产考核合格“B”类证书并在有效期内且证书目前必须注册在投标人单位</w:t>
            </w:r>
          </w:p>
        </w:tc>
        <w:tc>
          <w:tcPr>
            <w:tcW w:w="2887" w:type="dxa"/>
            <w:vMerge w:val="restart"/>
            <w:noWrap w:val="0"/>
            <w:vAlign w:val="center"/>
          </w:tcPr>
          <w:p w14:paraId="446E3881">
            <w:pPr>
              <w:pageBreakBefore w:val="0"/>
              <w:kinsoku/>
              <w:wordWrap w:val="0"/>
              <w:bidi w:val="0"/>
              <w:adjustRightInd w:val="0"/>
              <w:snapToGrid w:val="0"/>
              <w:spacing w:line="30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无在岗项目（指目前未在其他项目上任职，或虽在其他项目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w:t>
            </w:r>
          </w:p>
          <w:p w14:paraId="6CC9A75D">
            <w:pPr>
              <w:pageBreakBefore w:val="0"/>
              <w:kinsoku/>
              <w:wordWrap w:val="0"/>
              <w:bidi w:val="0"/>
              <w:adjustRightInd w:val="0"/>
              <w:snapToGrid w:val="0"/>
              <w:spacing w:line="300" w:lineRule="auto"/>
              <w:rPr>
                <w:rFonts w:hint="eastAsia" w:ascii="Times New Roman" w:hAnsi="Times New Roman" w:eastAsia="宋体" w:cs="Times New Roman"/>
                <w:color w:val="auto"/>
                <w:highlight w:val="none"/>
                <w:lang w:val="en-US" w:eastAsia="zh-CN"/>
              </w:rPr>
            </w:pPr>
            <w:r>
              <w:rPr>
                <w:rFonts w:hint="default" w:ascii="Times New Roman" w:hAnsi="Times New Roman" w:cs="Times New Roman"/>
              </w:rPr>
              <w:t>项目经理和项目总工程师不得同时在两个及以上项目任职</w:t>
            </w:r>
            <w:r>
              <w:rPr>
                <w:rFonts w:hint="eastAsia" w:ascii="Times New Roman" w:hAnsi="Times New Roman" w:cs="Times New Roman"/>
                <w:lang w:eastAsia="zh-CN"/>
              </w:rPr>
              <w:t>。</w:t>
            </w:r>
          </w:p>
        </w:tc>
      </w:tr>
      <w:tr w14:paraId="4877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1976AE3F">
            <w:pPr>
              <w:pageBreakBefore w:val="0"/>
              <w:kinsoku/>
              <w:wordWrap w:val="0"/>
              <w:bidi w:val="0"/>
              <w:spacing w:line="30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项目总工</w:t>
            </w:r>
          </w:p>
        </w:tc>
        <w:tc>
          <w:tcPr>
            <w:tcW w:w="1559" w:type="dxa"/>
            <w:noWrap w:val="0"/>
            <w:vAlign w:val="center"/>
          </w:tcPr>
          <w:p w14:paraId="34E4D889">
            <w:pPr>
              <w:pageBreakBefore w:val="0"/>
              <w:kinsoku/>
              <w:wordWrap w:val="0"/>
              <w:bidi w:val="0"/>
              <w:adjustRightInd w:val="0"/>
              <w:snapToGrid w:val="0"/>
              <w:spacing w:line="300" w:lineRule="auto"/>
              <w:jc w:val="center"/>
              <w:rPr>
                <w:rFonts w:hint="default" w:ascii="Times New Roman" w:hAnsi="Times New Roman" w:cs="Times New Roman"/>
                <w:color w:val="auto"/>
                <w:szCs w:val="21"/>
                <w:highlight w:val="none"/>
              </w:rPr>
            </w:pPr>
            <w:r>
              <w:rPr>
                <w:rFonts w:hint="eastAsia" w:cs="Times New Roman"/>
                <w:szCs w:val="21"/>
                <w:lang w:val="en-US" w:eastAsia="zh-CN"/>
              </w:rPr>
              <w:t>1</w:t>
            </w:r>
          </w:p>
        </w:tc>
        <w:tc>
          <w:tcPr>
            <w:tcW w:w="2888" w:type="dxa"/>
            <w:noWrap w:val="0"/>
            <w:vAlign w:val="center"/>
          </w:tcPr>
          <w:p w14:paraId="52A0A8FD">
            <w:pPr>
              <w:pageBreakBefore w:val="0"/>
              <w:kinsoku/>
              <w:wordWrap w:val="0"/>
              <w:bidi w:val="0"/>
              <w:adjustRightInd w:val="0"/>
              <w:snapToGrid w:val="0"/>
              <w:spacing w:line="300" w:lineRule="auto"/>
              <w:rPr>
                <w:rFonts w:hint="default" w:ascii="Times New Roman" w:hAnsi="Times New Roman" w:cs="Times New Roman"/>
                <w:szCs w:val="21"/>
              </w:rPr>
            </w:pPr>
            <w:r>
              <w:rPr>
                <w:rFonts w:hint="default" w:ascii="Times New Roman" w:hAnsi="Times New Roman" w:cs="Times New Roman"/>
                <w:szCs w:val="21"/>
              </w:rPr>
              <w:t>公路工程相关专业中级及以上技术职称。</w:t>
            </w:r>
          </w:p>
          <w:p w14:paraId="674DEE9A">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r>
              <w:rPr>
                <w:rFonts w:hint="default" w:ascii="Times New Roman" w:hAnsi="Times New Roman" w:cs="Times New Roman"/>
                <w:szCs w:val="21"/>
              </w:rPr>
              <w:t xml:space="preserve">    </w:t>
            </w:r>
          </w:p>
        </w:tc>
        <w:tc>
          <w:tcPr>
            <w:tcW w:w="2887" w:type="dxa"/>
            <w:vMerge w:val="continue"/>
            <w:noWrap w:val="0"/>
            <w:vAlign w:val="center"/>
          </w:tcPr>
          <w:p w14:paraId="21EF82F1">
            <w:pPr>
              <w:pageBreakBefore w:val="0"/>
              <w:kinsoku/>
              <w:wordWrap w:val="0"/>
              <w:bidi w:val="0"/>
              <w:adjustRightInd w:val="0"/>
              <w:snapToGrid w:val="0"/>
              <w:spacing w:line="300" w:lineRule="auto"/>
              <w:rPr>
                <w:rFonts w:hint="default" w:ascii="Times New Roman" w:hAnsi="Times New Roman" w:cs="Times New Roman"/>
                <w:color w:val="auto"/>
                <w:szCs w:val="21"/>
                <w:highlight w:val="none"/>
              </w:rPr>
            </w:pPr>
          </w:p>
        </w:tc>
      </w:tr>
      <w:tr w14:paraId="0A99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9004" w:type="dxa"/>
            <w:gridSpan w:val="4"/>
            <w:noWrap w:val="0"/>
            <w:vAlign w:val="top"/>
          </w:tcPr>
          <w:p w14:paraId="78934B08">
            <w:pPr>
              <w:pageBreakBefore w:val="0"/>
              <w:kinsoku/>
              <w:wordWrap w:val="0"/>
              <w:bidi w:val="0"/>
              <w:adjustRightInd w:val="0"/>
              <w:snapToGrid w:val="0"/>
              <w:spacing w:line="300" w:lineRule="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注：</w:t>
            </w:r>
          </w:p>
        </w:tc>
      </w:tr>
    </w:tbl>
    <w:p w14:paraId="0584DED7">
      <w:pPr>
        <w:pageBreakBefore w:val="0"/>
        <w:kinsoku/>
        <w:wordWrap w:val="0"/>
        <w:bidi w:val="0"/>
        <w:adjustRightInd w:val="0"/>
        <w:snapToGrid w:val="0"/>
        <w:spacing w:line="240" w:lineRule="exact"/>
        <w:rPr>
          <w:rFonts w:hint="default" w:ascii="Times New Roman" w:hAnsi="Times New Roman" w:eastAsia="隶书" w:cs="Times New Roman"/>
          <w:b/>
          <w:bCs/>
          <w:color w:val="auto"/>
          <w:sz w:val="32"/>
          <w:szCs w:val="32"/>
          <w:highlight w:val="none"/>
        </w:rPr>
      </w:pPr>
    </w:p>
    <w:p w14:paraId="073DC223">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color w:val="auto"/>
          <w:szCs w:val="21"/>
          <w:highlight w:val="none"/>
        </w:rPr>
      </w:pPr>
    </w:p>
    <w:p w14:paraId="7F57F205">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bookmarkStart w:id="81" w:name="_Toc234832868"/>
      <w:r>
        <w:rPr>
          <w:rFonts w:hint="default" w:ascii="Times New Roman" w:hAnsi="Times New Roman" w:eastAsia="黑体" w:cs="Times New Roman"/>
          <w:color w:val="auto"/>
          <w:sz w:val="28"/>
          <w:szCs w:val="28"/>
          <w:highlight w:val="none"/>
        </w:rPr>
        <w:br w:type="page"/>
      </w:r>
      <w:bookmarkStart w:id="82" w:name="_Toc29411"/>
      <w:bookmarkStart w:id="83" w:name="_Toc31914"/>
      <w:bookmarkStart w:id="84" w:name="_Toc5891"/>
      <w:r>
        <w:rPr>
          <w:rFonts w:hint="default" w:ascii="Times New Roman" w:hAnsi="Times New Roman" w:eastAsia="黑体" w:cs="Times New Roman"/>
          <w:color w:val="auto"/>
          <w:sz w:val="28"/>
          <w:szCs w:val="28"/>
          <w:highlight w:val="none"/>
        </w:rPr>
        <w:t>附录6  资格审查条件（其他管理和技术人员最低要求）</w:t>
      </w:r>
      <w:r>
        <w:rPr>
          <w:rFonts w:hint="default" w:ascii="Times New Roman" w:hAnsi="Times New Roman" w:eastAsia="黑体" w:cs="Times New Roman"/>
          <w:color w:val="auto"/>
          <w:sz w:val="28"/>
          <w:szCs w:val="28"/>
          <w:highlight w:val="none"/>
          <w:vertAlign w:val="superscript"/>
        </w:rPr>
        <w:footnoteReference w:id="25"/>
      </w:r>
      <w:bookmarkEnd w:id="81"/>
      <w:bookmarkEnd w:id="82"/>
      <w:bookmarkEnd w:id="83"/>
      <w:bookmarkEnd w:id="84"/>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025D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419B1A4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1331" w:type="dxa"/>
            <w:noWrap w:val="0"/>
            <w:vAlign w:val="center"/>
          </w:tcPr>
          <w:p w14:paraId="0748ED2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5847" w:type="dxa"/>
            <w:noWrap w:val="0"/>
            <w:vAlign w:val="center"/>
          </w:tcPr>
          <w:p w14:paraId="71CCD8A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0948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70E00058">
            <w:pPr>
              <w:pageBreakBefore w:val="0"/>
              <w:kinsoku/>
              <w:wordWrap w:val="0"/>
              <w:bidi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331" w:type="dxa"/>
            <w:noWrap w:val="0"/>
            <w:vAlign w:val="center"/>
          </w:tcPr>
          <w:p w14:paraId="55CA95F2">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5847" w:type="dxa"/>
            <w:noWrap w:val="0"/>
            <w:vAlign w:val="center"/>
          </w:tcPr>
          <w:p w14:paraId="054345CC">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6E85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F9F0E6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070060E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6580F046">
            <w:pPr>
              <w:pageBreakBefore w:val="0"/>
              <w:kinsoku/>
              <w:wordWrap w:val="0"/>
              <w:bidi w:val="0"/>
              <w:spacing w:line="400" w:lineRule="atLeast"/>
              <w:rPr>
                <w:rFonts w:hint="default" w:ascii="Times New Roman" w:hAnsi="Times New Roman" w:cs="Times New Roman"/>
                <w:color w:val="auto"/>
                <w:sz w:val="24"/>
                <w:highlight w:val="none"/>
              </w:rPr>
            </w:pPr>
          </w:p>
        </w:tc>
      </w:tr>
      <w:tr w14:paraId="469A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7BE5848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noWrap w:val="0"/>
            <w:vAlign w:val="center"/>
          </w:tcPr>
          <w:p w14:paraId="44E797B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noWrap w:val="0"/>
            <w:vAlign w:val="center"/>
          </w:tcPr>
          <w:p w14:paraId="3405F47E">
            <w:pPr>
              <w:pageBreakBefore w:val="0"/>
              <w:kinsoku/>
              <w:wordWrap w:val="0"/>
              <w:bidi w:val="0"/>
              <w:spacing w:line="400" w:lineRule="atLeast"/>
              <w:rPr>
                <w:rFonts w:hint="default" w:ascii="Times New Roman" w:hAnsi="Times New Roman" w:cs="Times New Roman"/>
                <w:color w:val="auto"/>
                <w:sz w:val="24"/>
                <w:highlight w:val="none"/>
              </w:rPr>
            </w:pPr>
          </w:p>
        </w:tc>
      </w:tr>
      <w:tr w14:paraId="6411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548910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7C899F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52A8683F">
            <w:pPr>
              <w:pageBreakBefore w:val="0"/>
              <w:kinsoku/>
              <w:wordWrap w:val="0"/>
              <w:bidi w:val="0"/>
              <w:spacing w:line="400" w:lineRule="atLeast"/>
              <w:rPr>
                <w:rFonts w:hint="default" w:ascii="Times New Roman" w:hAnsi="Times New Roman" w:cs="Times New Roman"/>
                <w:color w:val="auto"/>
                <w:sz w:val="24"/>
                <w:highlight w:val="none"/>
              </w:rPr>
            </w:pPr>
          </w:p>
        </w:tc>
      </w:tr>
      <w:tr w14:paraId="5226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4DF93B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6CFE3F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C2606E6">
            <w:pPr>
              <w:pageBreakBefore w:val="0"/>
              <w:kinsoku/>
              <w:wordWrap w:val="0"/>
              <w:bidi w:val="0"/>
              <w:spacing w:line="400" w:lineRule="atLeast"/>
              <w:rPr>
                <w:rFonts w:hint="default" w:ascii="Times New Roman" w:hAnsi="Times New Roman" w:cs="Times New Roman"/>
                <w:color w:val="auto"/>
                <w:sz w:val="24"/>
                <w:highlight w:val="none"/>
              </w:rPr>
            </w:pPr>
          </w:p>
        </w:tc>
      </w:tr>
      <w:tr w14:paraId="75A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6BF237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53F40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DB74A6F">
            <w:pPr>
              <w:pageBreakBefore w:val="0"/>
              <w:kinsoku/>
              <w:wordWrap w:val="0"/>
              <w:bidi w:val="0"/>
              <w:spacing w:line="400" w:lineRule="atLeast"/>
              <w:rPr>
                <w:rFonts w:hint="default" w:ascii="Times New Roman" w:hAnsi="Times New Roman" w:cs="Times New Roman"/>
                <w:color w:val="auto"/>
                <w:sz w:val="24"/>
                <w:highlight w:val="none"/>
              </w:rPr>
            </w:pPr>
          </w:p>
        </w:tc>
      </w:tr>
      <w:tr w14:paraId="720C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D11289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9B7C26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3770FD6">
            <w:pPr>
              <w:pageBreakBefore w:val="0"/>
              <w:kinsoku/>
              <w:wordWrap w:val="0"/>
              <w:bidi w:val="0"/>
              <w:spacing w:line="400" w:lineRule="atLeast"/>
              <w:rPr>
                <w:rFonts w:hint="default" w:ascii="Times New Roman" w:hAnsi="Times New Roman" w:cs="Times New Roman"/>
                <w:color w:val="auto"/>
                <w:sz w:val="24"/>
                <w:highlight w:val="none"/>
              </w:rPr>
            </w:pPr>
          </w:p>
        </w:tc>
      </w:tr>
      <w:tr w14:paraId="272C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503C3B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DF40A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34034B57">
            <w:pPr>
              <w:pageBreakBefore w:val="0"/>
              <w:kinsoku/>
              <w:wordWrap w:val="0"/>
              <w:bidi w:val="0"/>
              <w:spacing w:line="400" w:lineRule="atLeast"/>
              <w:rPr>
                <w:rFonts w:hint="default" w:ascii="Times New Roman" w:hAnsi="Times New Roman" w:cs="Times New Roman"/>
                <w:color w:val="auto"/>
                <w:sz w:val="24"/>
                <w:highlight w:val="none"/>
              </w:rPr>
            </w:pPr>
          </w:p>
        </w:tc>
      </w:tr>
      <w:tr w14:paraId="469D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8B9DD2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A3E93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EDD1D00">
            <w:pPr>
              <w:pageBreakBefore w:val="0"/>
              <w:kinsoku/>
              <w:wordWrap w:val="0"/>
              <w:bidi w:val="0"/>
              <w:spacing w:line="400" w:lineRule="atLeast"/>
              <w:rPr>
                <w:rFonts w:hint="default" w:ascii="Times New Roman" w:hAnsi="Times New Roman" w:cs="Times New Roman"/>
                <w:color w:val="auto"/>
                <w:sz w:val="24"/>
                <w:highlight w:val="none"/>
              </w:rPr>
            </w:pPr>
          </w:p>
        </w:tc>
      </w:tr>
      <w:tr w14:paraId="3D78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CF012D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EE565A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84FC905">
            <w:pPr>
              <w:pageBreakBefore w:val="0"/>
              <w:kinsoku/>
              <w:wordWrap w:val="0"/>
              <w:bidi w:val="0"/>
              <w:spacing w:line="400" w:lineRule="atLeast"/>
              <w:rPr>
                <w:rFonts w:hint="default" w:ascii="Times New Roman" w:hAnsi="Times New Roman" w:cs="Times New Roman"/>
                <w:color w:val="auto"/>
                <w:sz w:val="24"/>
                <w:highlight w:val="none"/>
              </w:rPr>
            </w:pPr>
          </w:p>
        </w:tc>
      </w:tr>
      <w:tr w14:paraId="466D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BE28FB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826FB1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97442F">
            <w:pPr>
              <w:pageBreakBefore w:val="0"/>
              <w:kinsoku/>
              <w:wordWrap w:val="0"/>
              <w:bidi w:val="0"/>
              <w:spacing w:line="400" w:lineRule="atLeast"/>
              <w:rPr>
                <w:rFonts w:hint="default" w:ascii="Times New Roman" w:hAnsi="Times New Roman" w:cs="Times New Roman"/>
                <w:color w:val="auto"/>
                <w:sz w:val="24"/>
                <w:highlight w:val="none"/>
              </w:rPr>
            </w:pPr>
          </w:p>
        </w:tc>
      </w:tr>
      <w:tr w14:paraId="0868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04554B9">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B1586F0">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1B7896B">
            <w:pPr>
              <w:pageBreakBefore w:val="0"/>
              <w:kinsoku/>
              <w:wordWrap w:val="0"/>
              <w:bidi w:val="0"/>
              <w:spacing w:line="400" w:lineRule="atLeast"/>
              <w:rPr>
                <w:rFonts w:hint="default" w:ascii="Times New Roman" w:hAnsi="Times New Roman" w:cs="Times New Roman"/>
                <w:color w:val="auto"/>
                <w:sz w:val="24"/>
                <w:highlight w:val="none"/>
              </w:rPr>
            </w:pPr>
          </w:p>
        </w:tc>
      </w:tr>
      <w:tr w14:paraId="0062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3CD2B748">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ABDC2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487905E8">
            <w:pPr>
              <w:pageBreakBefore w:val="0"/>
              <w:kinsoku/>
              <w:wordWrap w:val="0"/>
              <w:bidi w:val="0"/>
              <w:spacing w:line="400" w:lineRule="atLeast"/>
              <w:rPr>
                <w:rFonts w:hint="default" w:ascii="Times New Roman" w:hAnsi="Times New Roman" w:cs="Times New Roman"/>
                <w:color w:val="auto"/>
                <w:sz w:val="24"/>
                <w:highlight w:val="none"/>
              </w:rPr>
            </w:pPr>
          </w:p>
        </w:tc>
      </w:tr>
      <w:tr w14:paraId="2666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8" w:hRule="atLeast"/>
          <w:jc w:val="center"/>
        </w:trPr>
        <w:tc>
          <w:tcPr>
            <w:tcW w:w="9004" w:type="dxa"/>
            <w:gridSpan w:val="3"/>
            <w:tcBorders>
              <w:top w:val="single" w:color="auto" w:sz="4" w:space="0"/>
              <w:left w:val="single" w:color="auto" w:sz="4" w:space="0"/>
              <w:bottom w:val="single" w:color="auto" w:sz="4" w:space="0"/>
              <w:right w:val="single" w:color="auto" w:sz="4" w:space="0"/>
            </w:tcBorders>
            <w:noWrap w:val="0"/>
            <w:vAlign w:val="top"/>
          </w:tcPr>
          <w:p w14:paraId="0C46FE9B">
            <w:pPr>
              <w:pageBreakBefore w:val="0"/>
              <w:kinsoku/>
              <w:wordWrap w:val="0"/>
              <w:bidi w:val="0"/>
              <w:spacing w:line="400" w:lineRule="atLeast"/>
              <w:rPr>
                <w:rFonts w:hint="eastAsia" w:cs="Times New Roman"/>
                <w:color w:val="auto"/>
                <w:sz w:val="24"/>
                <w:highlight w:val="none"/>
                <w:lang w:val="en-US" w:eastAsia="zh-CN"/>
              </w:rPr>
            </w:pPr>
            <w:r>
              <w:rPr>
                <w:rFonts w:hint="eastAsia" w:cs="Times New Roman"/>
                <w:color w:val="auto"/>
                <w:sz w:val="24"/>
                <w:highlight w:val="none"/>
                <w:lang w:val="en-US" w:eastAsia="zh-CN"/>
              </w:rPr>
              <w:t>注：</w:t>
            </w:r>
          </w:p>
          <w:p w14:paraId="025E93C9">
            <w:pPr>
              <w:pageBreakBefore w:val="0"/>
              <w:kinsoku/>
              <w:wordWrap w:val="0"/>
              <w:bidi w:val="0"/>
              <w:spacing w:line="400" w:lineRule="atLeast"/>
              <w:rPr>
                <w:rFonts w:hint="eastAsia" w:cs="Times New Roman"/>
                <w:color w:val="auto"/>
                <w:sz w:val="24"/>
                <w:highlight w:val="none"/>
                <w:lang w:val="en-US" w:eastAsia="zh-CN"/>
              </w:rPr>
            </w:pPr>
          </w:p>
        </w:tc>
      </w:tr>
    </w:tbl>
    <w:p w14:paraId="59784BBB">
      <w:pPr>
        <w:pageBreakBefore w:val="0"/>
        <w:kinsoku/>
        <w:wordWrap w:val="0"/>
        <w:bidi w:val="0"/>
        <w:adjustRightInd w:val="0"/>
        <w:snapToGrid w:val="0"/>
        <w:spacing w:line="400" w:lineRule="atLeast"/>
        <w:jc w:val="center"/>
        <w:rPr>
          <w:rFonts w:hint="default" w:ascii="Times New Roman" w:hAnsi="Times New Roman" w:eastAsia="黑体" w:cs="Times New Roman"/>
          <w:color w:val="auto"/>
          <w:sz w:val="24"/>
          <w:highlight w:val="none"/>
        </w:rPr>
      </w:pPr>
    </w:p>
    <w:p w14:paraId="010F9F97">
      <w:pPr>
        <w:pStyle w:val="2"/>
        <w:pageBreakBefore w:val="0"/>
        <w:kinsoku/>
        <w:wordWrap w:val="0"/>
        <w:bidi w:val="0"/>
        <w:spacing w:before="240" w:after="240" w:line="24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4"/>
          <w:highlight w:val="none"/>
        </w:rPr>
        <w:br w:type="page"/>
      </w:r>
      <w:bookmarkStart w:id="85" w:name="_Toc234832869"/>
      <w:bookmarkStart w:id="86" w:name="_Toc31451"/>
      <w:bookmarkStart w:id="87" w:name="_Toc11147"/>
      <w:bookmarkStart w:id="88" w:name="_Toc29351"/>
      <w:r>
        <w:rPr>
          <w:rFonts w:hint="default" w:ascii="Times New Roman" w:hAnsi="Times New Roman" w:eastAsia="黑体" w:cs="Times New Roman"/>
          <w:color w:val="auto"/>
          <w:sz w:val="28"/>
          <w:szCs w:val="28"/>
          <w:highlight w:val="none"/>
        </w:rPr>
        <w:t>附录7  资格审查条件（主要机械设备和试验检测设备最低要求）</w:t>
      </w:r>
      <w:r>
        <w:rPr>
          <w:rFonts w:hint="default" w:ascii="Times New Roman" w:hAnsi="Times New Roman" w:eastAsia="黑体" w:cs="Times New Roman"/>
          <w:color w:val="auto"/>
          <w:sz w:val="28"/>
          <w:szCs w:val="28"/>
          <w:highlight w:val="none"/>
          <w:vertAlign w:val="superscript"/>
        </w:rPr>
        <w:footnoteReference w:id="26"/>
      </w:r>
      <w:bookmarkEnd w:id="85"/>
      <w:bookmarkEnd w:id="86"/>
      <w:bookmarkEnd w:id="87"/>
      <w:bookmarkEnd w:id="8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0181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658C5B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3224" w:type="dxa"/>
            <w:noWrap w:val="0"/>
            <w:vAlign w:val="center"/>
          </w:tcPr>
          <w:p w14:paraId="384F64F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197" w:type="dxa"/>
            <w:noWrap w:val="0"/>
            <w:vAlign w:val="center"/>
          </w:tcPr>
          <w:p w14:paraId="29C05A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371" w:type="dxa"/>
            <w:noWrap w:val="0"/>
            <w:vAlign w:val="center"/>
          </w:tcPr>
          <w:p w14:paraId="1FA86F2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04CB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315677C">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3224" w:type="dxa"/>
            <w:noWrap w:val="0"/>
            <w:vAlign w:val="center"/>
          </w:tcPr>
          <w:p w14:paraId="7EB777B1">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1197" w:type="dxa"/>
            <w:noWrap w:val="0"/>
            <w:vAlign w:val="center"/>
          </w:tcPr>
          <w:p w14:paraId="22069BE7">
            <w:pPr>
              <w:pageBreakBefore w:val="0"/>
              <w:kinsoku/>
              <w:wordWrap w:val="0"/>
              <w:bidi w:val="0"/>
              <w:adjustRightInd w:val="0"/>
              <w:snapToGrid w:val="0"/>
              <w:spacing w:line="400" w:lineRule="atLeast"/>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c>
          <w:tcPr>
            <w:tcW w:w="2371" w:type="dxa"/>
            <w:noWrap w:val="0"/>
            <w:vAlign w:val="center"/>
          </w:tcPr>
          <w:p w14:paraId="5FEE6FD6">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tc>
      </w:tr>
      <w:tr w14:paraId="5405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7B027D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2BF6172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2D81D1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3FA7F101">
            <w:pPr>
              <w:pageBreakBefore w:val="0"/>
              <w:kinsoku/>
              <w:wordWrap w:val="0"/>
              <w:bidi w:val="0"/>
              <w:spacing w:line="400" w:lineRule="atLeast"/>
              <w:rPr>
                <w:rFonts w:hint="default" w:ascii="Times New Roman" w:hAnsi="Times New Roman" w:cs="Times New Roman"/>
                <w:color w:val="auto"/>
                <w:sz w:val="24"/>
                <w:highlight w:val="none"/>
              </w:rPr>
            </w:pPr>
          </w:p>
        </w:tc>
      </w:tr>
      <w:tr w14:paraId="4D45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2DD239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AC76D6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1B3D9D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4579AF50">
            <w:pPr>
              <w:pageBreakBefore w:val="0"/>
              <w:kinsoku/>
              <w:wordWrap w:val="0"/>
              <w:bidi w:val="0"/>
              <w:spacing w:line="400" w:lineRule="atLeast"/>
              <w:rPr>
                <w:rFonts w:hint="default" w:ascii="Times New Roman" w:hAnsi="Times New Roman" w:cs="Times New Roman"/>
                <w:color w:val="auto"/>
                <w:sz w:val="24"/>
                <w:highlight w:val="none"/>
              </w:rPr>
            </w:pPr>
          </w:p>
        </w:tc>
      </w:tr>
      <w:tr w14:paraId="0A1D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73AC1F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773061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51E36C0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656B6F6B">
            <w:pPr>
              <w:pageBreakBefore w:val="0"/>
              <w:kinsoku/>
              <w:wordWrap w:val="0"/>
              <w:bidi w:val="0"/>
              <w:spacing w:line="400" w:lineRule="atLeast"/>
              <w:rPr>
                <w:rFonts w:hint="default" w:ascii="Times New Roman" w:hAnsi="Times New Roman" w:cs="Times New Roman"/>
                <w:color w:val="auto"/>
                <w:sz w:val="24"/>
                <w:highlight w:val="none"/>
              </w:rPr>
            </w:pPr>
          </w:p>
        </w:tc>
      </w:tr>
      <w:tr w14:paraId="2D33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55DDDD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6DACE0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27C279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41BC422">
            <w:pPr>
              <w:pageBreakBefore w:val="0"/>
              <w:kinsoku/>
              <w:wordWrap w:val="0"/>
              <w:bidi w:val="0"/>
              <w:spacing w:line="400" w:lineRule="atLeast"/>
              <w:rPr>
                <w:rFonts w:hint="default" w:ascii="Times New Roman" w:hAnsi="Times New Roman" w:cs="Times New Roman"/>
                <w:color w:val="auto"/>
                <w:sz w:val="24"/>
                <w:highlight w:val="none"/>
              </w:rPr>
            </w:pPr>
          </w:p>
        </w:tc>
      </w:tr>
      <w:tr w14:paraId="0566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41A1C9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16F1F90C">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2E3D930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711D5BCE">
            <w:pPr>
              <w:pageBreakBefore w:val="0"/>
              <w:kinsoku/>
              <w:wordWrap w:val="0"/>
              <w:bidi w:val="0"/>
              <w:spacing w:line="400" w:lineRule="atLeast"/>
              <w:rPr>
                <w:rFonts w:hint="default" w:ascii="Times New Roman" w:hAnsi="Times New Roman" w:cs="Times New Roman"/>
                <w:color w:val="auto"/>
                <w:sz w:val="24"/>
                <w:highlight w:val="none"/>
              </w:rPr>
            </w:pPr>
          </w:p>
        </w:tc>
      </w:tr>
      <w:tr w14:paraId="5B39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A99C27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49B7802D">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F68869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1258E95D">
            <w:pPr>
              <w:pageBreakBefore w:val="0"/>
              <w:kinsoku/>
              <w:wordWrap w:val="0"/>
              <w:bidi w:val="0"/>
              <w:spacing w:line="400" w:lineRule="atLeast"/>
              <w:rPr>
                <w:rFonts w:hint="default" w:ascii="Times New Roman" w:hAnsi="Times New Roman" w:cs="Times New Roman"/>
                <w:color w:val="auto"/>
                <w:sz w:val="24"/>
                <w:highlight w:val="none"/>
              </w:rPr>
            </w:pPr>
          </w:p>
        </w:tc>
      </w:tr>
      <w:tr w14:paraId="61DF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42B86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3E638CBF">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70A2525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4100B1EC">
            <w:pPr>
              <w:pageBreakBefore w:val="0"/>
              <w:kinsoku/>
              <w:wordWrap w:val="0"/>
              <w:bidi w:val="0"/>
              <w:spacing w:line="400" w:lineRule="atLeast"/>
              <w:rPr>
                <w:rFonts w:hint="default" w:ascii="Times New Roman" w:hAnsi="Times New Roman" w:cs="Times New Roman"/>
                <w:color w:val="auto"/>
                <w:sz w:val="24"/>
                <w:highlight w:val="none"/>
              </w:rPr>
            </w:pPr>
          </w:p>
        </w:tc>
      </w:tr>
      <w:tr w14:paraId="3D3C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FC2BDD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0E4F56D5">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3F8F982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0EDB5244">
            <w:pPr>
              <w:pageBreakBefore w:val="0"/>
              <w:kinsoku/>
              <w:wordWrap w:val="0"/>
              <w:bidi w:val="0"/>
              <w:spacing w:line="400" w:lineRule="atLeast"/>
              <w:rPr>
                <w:rFonts w:hint="default" w:ascii="Times New Roman" w:hAnsi="Times New Roman" w:cs="Times New Roman"/>
                <w:color w:val="auto"/>
                <w:sz w:val="24"/>
                <w:highlight w:val="none"/>
              </w:rPr>
            </w:pPr>
          </w:p>
        </w:tc>
      </w:tr>
      <w:tr w14:paraId="5F25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6814F5B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noWrap w:val="0"/>
            <w:vAlign w:val="center"/>
          </w:tcPr>
          <w:p w14:paraId="798ADC4A">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noWrap w:val="0"/>
            <w:vAlign w:val="center"/>
          </w:tcPr>
          <w:p w14:paraId="0938722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noWrap w:val="0"/>
            <w:vAlign w:val="center"/>
          </w:tcPr>
          <w:p w14:paraId="53E6534B">
            <w:pPr>
              <w:pageBreakBefore w:val="0"/>
              <w:kinsoku/>
              <w:wordWrap w:val="0"/>
              <w:bidi w:val="0"/>
              <w:spacing w:line="400" w:lineRule="atLeast"/>
              <w:rPr>
                <w:rFonts w:hint="default" w:ascii="Times New Roman" w:hAnsi="Times New Roman" w:cs="Times New Roman"/>
                <w:color w:val="auto"/>
                <w:sz w:val="24"/>
                <w:highlight w:val="none"/>
              </w:rPr>
            </w:pPr>
          </w:p>
        </w:tc>
      </w:tr>
      <w:tr w14:paraId="5E86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D76926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55395D69">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7B3CE60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BE2A236">
            <w:pPr>
              <w:pageBreakBefore w:val="0"/>
              <w:kinsoku/>
              <w:wordWrap w:val="0"/>
              <w:bidi w:val="0"/>
              <w:spacing w:line="400" w:lineRule="atLeast"/>
              <w:rPr>
                <w:rFonts w:hint="default" w:ascii="Times New Roman" w:hAnsi="Times New Roman" w:cs="Times New Roman"/>
                <w:color w:val="auto"/>
                <w:sz w:val="24"/>
                <w:highlight w:val="none"/>
              </w:rPr>
            </w:pPr>
          </w:p>
        </w:tc>
      </w:tr>
      <w:tr w14:paraId="4044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7F4E7D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E512752">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4A81F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112AA1B">
            <w:pPr>
              <w:pageBreakBefore w:val="0"/>
              <w:kinsoku/>
              <w:wordWrap w:val="0"/>
              <w:bidi w:val="0"/>
              <w:spacing w:line="400" w:lineRule="atLeast"/>
              <w:rPr>
                <w:rFonts w:hint="default" w:ascii="Times New Roman" w:hAnsi="Times New Roman" w:cs="Times New Roman"/>
                <w:color w:val="auto"/>
                <w:sz w:val="24"/>
                <w:highlight w:val="none"/>
              </w:rPr>
            </w:pPr>
          </w:p>
        </w:tc>
      </w:tr>
      <w:tr w14:paraId="1054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45BAD8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219984B">
            <w:pPr>
              <w:pageBreakBefore w:val="0"/>
              <w:kinsoku/>
              <w:wordWrap w:val="0"/>
              <w:bidi w:val="0"/>
              <w:spacing w:line="400" w:lineRule="atLeast"/>
              <w:rPr>
                <w:rFonts w:hint="default" w:ascii="Times New Roman" w:hAnsi="Times New Roman" w:cs="Times New Roman"/>
                <w:color w:val="auto"/>
                <w:sz w:val="24"/>
                <w:highlight w:val="none"/>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0B66A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2555E9A3">
            <w:pPr>
              <w:pageBreakBefore w:val="0"/>
              <w:kinsoku/>
              <w:wordWrap w:val="0"/>
              <w:bidi w:val="0"/>
              <w:spacing w:line="400" w:lineRule="atLeast"/>
              <w:rPr>
                <w:rFonts w:hint="default" w:ascii="Times New Roman" w:hAnsi="Times New Roman" w:cs="Times New Roman"/>
                <w:color w:val="auto"/>
                <w:sz w:val="24"/>
                <w:highlight w:val="none"/>
              </w:rPr>
            </w:pPr>
          </w:p>
        </w:tc>
      </w:tr>
      <w:tr w14:paraId="2B16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2" w:hRule="atLeast"/>
          <w:jc w:val="center"/>
        </w:trPr>
        <w:tc>
          <w:tcPr>
            <w:tcW w:w="8696" w:type="dxa"/>
            <w:gridSpan w:val="4"/>
            <w:tcBorders>
              <w:top w:val="single" w:color="auto" w:sz="4" w:space="0"/>
              <w:left w:val="single" w:color="auto" w:sz="4" w:space="0"/>
              <w:bottom w:val="single" w:color="auto" w:sz="4" w:space="0"/>
              <w:right w:val="single" w:color="auto" w:sz="4" w:space="0"/>
            </w:tcBorders>
            <w:noWrap w:val="0"/>
            <w:vAlign w:val="top"/>
          </w:tcPr>
          <w:p w14:paraId="42A7BC4A">
            <w:pPr>
              <w:pageBreakBefore w:val="0"/>
              <w:kinsoku/>
              <w:wordWrap w:val="0"/>
              <w:bidi w:val="0"/>
              <w:spacing w:line="400" w:lineRule="atLeas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注：</w:t>
            </w:r>
          </w:p>
        </w:tc>
      </w:tr>
    </w:tbl>
    <w:p w14:paraId="720C995C">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p w14:paraId="21478BE0">
      <w:pPr>
        <w:pStyle w:val="2"/>
        <w:pageBreakBefore w:val="0"/>
        <w:kinsoku/>
        <w:wordWrap w:val="0"/>
        <w:bidi w:val="0"/>
        <w:spacing w:before="240" w:after="240" w:line="24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4"/>
          <w:highlight w:val="none"/>
        </w:rPr>
        <w:br w:type="page"/>
      </w:r>
      <w:bookmarkStart w:id="89" w:name="_Toc32159"/>
      <w:bookmarkStart w:id="90" w:name="_Toc234832870"/>
      <w:bookmarkStart w:id="91" w:name="_Toc15905"/>
      <w:bookmarkStart w:id="92" w:name="_Toc19462"/>
      <w:r>
        <w:rPr>
          <w:rFonts w:hint="default" w:ascii="Times New Roman" w:hAnsi="Times New Roman" w:eastAsia="黑体" w:cs="Times New Roman"/>
          <w:b w:val="0"/>
          <w:color w:val="auto"/>
          <w:sz w:val="28"/>
          <w:szCs w:val="28"/>
          <w:highlight w:val="none"/>
        </w:rPr>
        <w:t>1. 总则</w:t>
      </w:r>
      <w:bookmarkEnd w:id="89"/>
      <w:bookmarkEnd w:id="90"/>
      <w:bookmarkEnd w:id="91"/>
      <w:bookmarkEnd w:id="92"/>
    </w:p>
    <w:p w14:paraId="3664509D">
      <w:pPr>
        <w:pStyle w:val="2"/>
        <w:pageBreakBefore w:val="0"/>
        <w:kinsoku/>
        <w:wordWrap w:val="0"/>
        <w:bidi w:val="0"/>
        <w:spacing w:before="240" w:after="240" w:line="240" w:lineRule="atLeast"/>
        <w:outlineLvl w:val="2"/>
        <w:rPr>
          <w:rFonts w:hint="default" w:ascii="Times New Roman" w:hAnsi="Times New Roman" w:eastAsia="宋体" w:cs="Times New Roman"/>
          <w:b w:val="0"/>
          <w:color w:val="auto"/>
          <w:sz w:val="24"/>
          <w:szCs w:val="24"/>
          <w:highlight w:val="none"/>
        </w:rPr>
      </w:pPr>
      <w:bookmarkStart w:id="93" w:name="_Toc13586"/>
      <w:bookmarkStart w:id="94" w:name="_Toc234832871"/>
      <w:bookmarkStart w:id="95" w:name="_Toc17948"/>
      <w:bookmarkStart w:id="96" w:name="_Toc23601"/>
      <w:r>
        <w:rPr>
          <w:rFonts w:hint="default" w:ascii="Times New Roman" w:hAnsi="Times New Roman" w:eastAsia="黑体" w:cs="Times New Roman"/>
          <w:b w:val="0"/>
          <w:color w:val="auto"/>
          <w:sz w:val="24"/>
          <w:szCs w:val="24"/>
          <w:highlight w:val="none"/>
        </w:rPr>
        <w:t>1.1 项目概况</w:t>
      </w:r>
      <w:bookmarkEnd w:id="93"/>
      <w:bookmarkEnd w:id="94"/>
      <w:bookmarkEnd w:id="95"/>
      <w:bookmarkEnd w:id="96"/>
    </w:p>
    <w:p w14:paraId="2E59AF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1.1.1 根据《中华人民共和国招标投标法》《中华人民共和国招标投标法实施条例》《公路工程建设项目招标投标管理办法》等有关法律、法规和规章的规定，本招标项目已具备招标条件，现对本标段施工进行招标。</w:t>
      </w:r>
    </w:p>
    <w:p w14:paraId="71297F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1.1.2 本招标项目招标人：见投标人须知前附表。</w:t>
      </w:r>
    </w:p>
    <w:p w14:paraId="1BA9A3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1.1.3 本标段招标代理机构：见投标人须知前附表。</w:t>
      </w:r>
    </w:p>
    <w:p w14:paraId="316F181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1.1.4 本招标项目名称：见投标人须知前附表。</w:t>
      </w:r>
    </w:p>
    <w:p w14:paraId="4D326B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1.1.5 本标段建设地点：见投标人须知前附表。</w:t>
      </w:r>
    </w:p>
    <w:p w14:paraId="58C43E3A">
      <w:pPr>
        <w:pStyle w:val="2"/>
        <w:pageBreakBefore w:val="0"/>
        <w:kinsoku/>
        <w:wordWrap w:val="0"/>
        <w:bidi w:val="0"/>
        <w:outlineLvl w:val="2"/>
        <w:rPr>
          <w:rFonts w:hint="default" w:ascii="Times New Roman" w:hAnsi="Times New Roman" w:cs="Times New Roman"/>
          <w:color w:val="auto"/>
          <w:highlight w:val="none"/>
        </w:rPr>
      </w:pPr>
      <w:bookmarkStart w:id="97" w:name="_Toc11370"/>
      <w:bookmarkStart w:id="98" w:name="_Toc22508"/>
      <w:bookmarkStart w:id="99" w:name="_Toc234832872"/>
      <w:bookmarkStart w:id="100" w:name="_Toc9736"/>
      <w:r>
        <w:rPr>
          <w:rFonts w:hint="default" w:ascii="Times New Roman" w:hAnsi="Times New Roman" w:cs="Times New Roman"/>
          <w:color w:val="auto"/>
          <w:highlight w:val="none"/>
        </w:rPr>
        <w:t>1.2 招标项目的资金来源和落实情况</w:t>
      </w:r>
      <w:bookmarkEnd w:id="97"/>
      <w:bookmarkEnd w:id="98"/>
      <w:bookmarkEnd w:id="99"/>
      <w:bookmarkEnd w:id="100"/>
      <w:r>
        <w:rPr>
          <w:rFonts w:hint="default" w:ascii="Times New Roman" w:hAnsi="Times New Roman" w:cs="Times New Roman"/>
          <w:color w:val="auto"/>
          <w:highlight w:val="none"/>
        </w:rPr>
        <w:t xml:space="preserve"> </w:t>
      </w:r>
    </w:p>
    <w:p w14:paraId="49057A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1.2.1 资金来源及比例：见投标人须知前附表。</w:t>
      </w:r>
    </w:p>
    <w:p w14:paraId="0EFA0B0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1.2.2 资金落实情况：见投标人须知前附表。</w:t>
      </w:r>
    </w:p>
    <w:p w14:paraId="59A81BF4">
      <w:pPr>
        <w:pStyle w:val="2"/>
        <w:pageBreakBefore w:val="0"/>
        <w:kinsoku/>
        <w:wordWrap w:val="0"/>
        <w:bidi w:val="0"/>
        <w:outlineLvl w:val="2"/>
        <w:rPr>
          <w:rFonts w:hint="default" w:ascii="Times New Roman" w:hAnsi="Times New Roman" w:cs="Times New Roman"/>
          <w:color w:val="auto"/>
          <w:highlight w:val="none"/>
        </w:rPr>
      </w:pPr>
      <w:bookmarkStart w:id="101" w:name="_Toc234832873"/>
      <w:bookmarkStart w:id="102" w:name="_Toc14618"/>
      <w:bookmarkStart w:id="103" w:name="_Toc10840"/>
      <w:bookmarkStart w:id="104" w:name="_Toc2400"/>
      <w:r>
        <w:rPr>
          <w:rFonts w:hint="default" w:ascii="Times New Roman" w:hAnsi="Times New Roman" w:cs="Times New Roman"/>
          <w:color w:val="auto"/>
          <w:highlight w:val="none"/>
        </w:rPr>
        <w:t>1.3 招标范围、计划工期、质量要求</w:t>
      </w:r>
      <w:bookmarkEnd w:id="101"/>
      <w:r>
        <w:rPr>
          <w:rFonts w:hint="default" w:ascii="Times New Roman" w:hAnsi="Times New Roman" w:cs="Times New Roman"/>
          <w:color w:val="auto"/>
          <w:highlight w:val="none"/>
        </w:rPr>
        <w:t>和安全目标</w:t>
      </w:r>
      <w:bookmarkEnd w:id="102"/>
      <w:bookmarkEnd w:id="103"/>
      <w:bookmarkEnd w:id="104"/>
    </w:p>
    <w:p w14:paraId="15732E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1.3.1 招标范围：见投标人须知前附表。</w:t>
      </w:r>
    </w:p>
    <w:p w14:paraId="18B865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 本标段的计划工期：见投标人须知前附表。</w:t>
      </w:r>
    </w:p>
    <w:p w14:paraId="015A706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1.3.3 本标段的质量要求：见投标人须知前附表。</w:t>
      </w:r>
    </w:p>
    <w:p w14:paraId="72CE5CD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1.3.4 本标段的安全目标：见投标人须知前附表。</w:t>
      </w:r>
    </w:p>
    <w:p w14:paraId="27E60B2F">
      <w:pPr>
        <w:pStyle w:val="2"/>
        <w:pageBreakBefore w:val="0"/>
        <w:kinsoku/>
        <w:wordWrap w:val="0"/>
        <w:bidi w:val="0"/>
        <w:outlineLvl w:val="2"/>
        <w:rPr>
          <w:rFonts w:hint="default" w:ascii="Times New Roman" w:hAnsi="Times New Roman" w:cs="Times New Roman"/>
          <w:color w:val="auto"/>
          <w:highlight w:val="none"/>
        </w:rPr>
      </w:pPr>
      <w:bookmarkStart w:id="105" w:name="_Toc234832875"/>
      <w:bookmarkStart w:id="106" w:name="_Toc22000"/>
      <w:bookmarkStart w:id="107" w:name="_Toc23631"/>
      <w:bookmarkStart w:id="108" w:name="_Toc32367"/>
      <w:r>
        <w:rPr>
          <w:rFonts w:hint="default" w:ascii="Times New Roman" w:hAnsi="Times New Roman" w:cs="Times New Roman"/>
          <w:color w:val="auto"/>
          <w:highlight w:val="none"/>
        </w:rPr>
        <w:t>1.4 投标人资格要求</w:t>
      </w:r>
      <w:bookmarkEnd w:id="105"/>
      <w:bookmarkEnd w:id="106"/>
      <w:bookmarkEnd w:id="107"/>
      <w:bookmarkEnd w:id="108"/>
    </w:p>
    <w:p w14:paraId="3C5049D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1.4.1 投标人应具备承担本标段施工的资质条件、能力和信誉。</w:t>
      </w:r>
    </w:p>
    <w:p w14:paraId="3415E3C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（1）资质要求：见投标人须知前附表；</w:t>
      </w:r>
    </w:p>
    <w:p w14:paraId="2600F976">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（2）财务要求：见投标人须知前附表；</w:t>
      </w:r>
    </w:p>
    <w:p w14:paraId="35238DC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（3）业绩要求：见投标人须知前附表；</w:t>
      </w:r>
    </w:p>
    <w:p w14:paraId="25462144">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（4）信誉要求：见投标人须知前附表；</w:t>
      </w:r>
    </w:p>
    <w:p w14:paraId="5D4193F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（5）项目经理和项目总工资格：见投标人须知前附表；</w:t>
      </w:r>
    </w:p>
    <w:p w14:paraId="30CEBD5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（6）其他要求：见投标人须知前附表。</w:t>
      </w:r>
    </w:p>
    <w:p w14:paraId="19B566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需要提交的相关证明材料见本章第3.5款的规定。</w:t>
      </w:r>
    </w:p>
    <w:p w14:paraId="2B802F7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1.4.2 投标人须知前附表规定接受联合体投标的，联合体除应符合本章第1.4.1项和投标人须知前附表的要求外，还应遵守以下规定：</w:t>
      </w:r>
    </w:p>
    <w:p w14:paraId="2E5296D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（1）联合体各方应按招标文件提供的格式签订联合体协议书，明确联合体牵头人和各方权利义务，并承诺就中标项目向招标人承担连带责任；</w:t>
      </w:r>
    </w:p>
    <w:p w14:paraId="29C500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（2）由同一专业的单位组成的联合体，按照资质等级较低的单位确定资质等级；</w:t>
      </w:r>
    </w:p>
    <w:p w14:paraId="5DE4A8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（3）联合体各方不得再以自己名义单独或参加其他联合体在同</w:t>
      </w:r>
      <w:r>
        <w:rPr>
          <w:rFonts w:hint="eastAsia" w:cs="Times New Roman"/>
          <w:color w:val="auto"/>
          <w:sz w:val="24"/>
          <w:highlight w:val="none"/>
          <w:lang w:val="en-US" w:eastAsia="zh-CN"/>
        </w:rPr>
        <w:t>一</w:t>
      </w:r>
      <w:r>
        <w:rPr>
          <w:rFonts w:hint="eastAsia" w:cs="Times New Roman"/>
          <w:color w:val="auto"/>
          <w:sz w:val="24"/>
          <w:highlight w:val="none"/>
          <w:lang w:eastAsia="zh-CN"/>
        </w:rPr>
        <w:t>标段</w:t>
      </w:r>
      <w:r>
        <w:rPr>
          <w:rFonts w:hint="default" w:ascii="Times New Roman" w:hAnsi="Times New Roman" w:eastAsia="宋体" w:cs="Times New Roman"/>
          <w:color w:val="auto"/>
          <w:sz w:val="24"/>
          <w:highlight w:val="none"/>
        </w:rPr>
        <w:t>中投标；</w:t>
      </w:r>
    </w:p>
    <w:p w14:paraId="6079BC0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2F731E3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5）尽管委任了联合体牵头人，但联合体各成员在投标、签订合同与履行合同过程中，仍负有连带的和各自的法律责任。</w:t>
      </w:r>
    </w:p>
    <w:p w14:paraId="127A20DD">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1.4.3 投标人（包括联合体各成员）不得与本标段相关单位存在下列关联关系：</w:t>
      </w:r>
    </w:p>
    <w:p w14:paraId="3DEBF86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（1）为招标人不具有独立法人资格的附属机构（单位）；</w:t>
      </w:r>
    </w:p>
    <w:p w14:paraId="12C3575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（2）与招标人存在利害关系且可能影响招标公正性；</w:t>
      </w:r>
    </w:p>
    <w:p w14:paraId="0808A76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（3）与本标段的其他投标人同为一个单位负责人；</w:t>
      </w:r>
    </w:p>
    <w:p w14:paraId="0F274C0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（4）与本标段的其他投标人存在控股、管理关系；</w:t>
      </w:r>
    </w:p>
    <w:p w14:paraId="7DB43CB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（5）为本标段前期准备提供设计或咨询服务的法人或其任何附属机构（单位）；</w:t>
      </w:r>
    </w:p>
    <w:p w14:paraId="06CD221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（6）为本标段的监理人；</w:t>
      </w:r>
    </w:p>
    <w:p w14:paraId="0ED1FFF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（7）为本标段的代建人；</w:t>
      </w:r>
    </w:p>
    <w:p w14:paraId="00FFE49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（8）为本标段的招标代理机构；</w:t>
      </w:r>
    </w:p>
    <w:p w14:paraId="7E8D43D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（9）与本标段的监理人或代建人或招标代理机构同为一个法定代表人；</w:t>
      </w:r>
    </w:p>
    <w:p w14:paraId="2578711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（10）与本标段的监理人或代建人或招标代理机构存在控股或参股关系；</w:t>
      </w:r>
    </w:p>
    <w:p w14:paraId="4D9A891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（11）法律法规或投标人须知前附表规定的其他情形。</w:t>
      </w:r>
    </w:p>
    <w:p w14:paraId="3C37ED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1.4.4 投标人（包括联合体各成员）不得存在下列不良状况或不良信用记录：</w:t>
      </w:r>
    </w:p>
    <w:p w14:paraId="25050FE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（1）被省级及以上交通运输主管部门取消招标项目所在地的投标资格且处于有效期内；</w:t>
      </w:r>
    </w:p>
    <w:p w14:paraId="2F093C94">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（2）被责令停业，暂扣或吊销执照，或吊销资质证书；</w:t>
      </w:r>
    </w:p>
    <w:p w14:paraId="1AE6F5B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（3）进入清算程序，或被宣告破产，或其他丧失履约能力的情形；</w:t>
      </w:r>
    </w:p>
    <w:p w14:paraId="01EA104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（4）在国家企业信用信息公示系统（http://www.gsxt.gov.cn/）中被列入严重违法失信企业名单；</w:t>
      </w:r>
    </w:p>
    <w:p w14:paraId="1F45795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（5）在</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信用中国</w:t>
      </w:r>
      <w:r>
        <w:rPr>
          <w:rFonts w:hint="eastAsia" w:ascii="宋体" w:hAnsi="宋体" w:eastAsia="宋体" w:cs="宋体"/>
          <w:color w:val="auto"/>
          <w:highlight w:val="none"/>
        </w:rPr>
        <w:t>”</w:t>
      </w:r>
      <w:r>
        <w:rPr>
          <w:rFonts w:hint="default" w:ascii="Times New Roman" w:hAnsi="Times New Roman" w:eastAsia="宋体" w:cs="Times New Roman"/>
          <w:color w:val="auto"/>
          <w:highlight w:val="none"/>
        </w:rPr>
        <w:t>网站（http://www.creditchina.gov.cn/）（或中国执行信息公开网 http://zxgk.court.gov.cn/shixin/）中被列入失信被执行人名单；</w:t>
      </w:r>
    </w:p>
    <w:p w14:paraId="2EE9527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（6）投标人或其法定代表人、拟委任的项目经理在近三年内有行贿犯罪行为的；</w:t>
      </w:r>
    </w:p>
    <w:p w14:paraId="31B890BF">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（7）法律法规或投标人须知前附表规定的其他情形。</w:t>
      </w:r>
    </w:p>
    <w:p w14:paraId="539D07B5">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1.4.5 根据《关于发布公路工程从业企业资质名录的通知》（厅公路字〔2011〕114号）要求，投标人如为名录范围的施工企业，则应进入交通运输部</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全国公路建设市场监督管理系统（https://hwdms.mot.gov.cn/BMWebSite/）</w:t>
      </w:r>
      <w:r>
        <w:rPr>
          <w:rFonts w:hint="eastAsia" w:ascii="宋体" w:hAnsi="宋体" w:eastAsia="宋体" w:cs="宋体"/>
          <w:color w:val="auto"/>
          <w:kern w:val="0"/>
          <w:highlight w:val="none"/>
        </w:rPr>
        <w:t>”</w:t>
      </w:r>
      <w:r>
        <w:rPr>
          <w:rFonts w:hint="default" w:ascii="Times New Roman" w:hAnsi="Times New Roman" w:eastAsia="宋体" w:cs="Times New Roman"/>
          <w:color w:val="auto"/>
          <w:kern w:val="0"/>
          <w:highlight w:val="none"/>
        </w:rPr>
        <w:t>中的公路工程施工资质企业名录，且投标人名称和资质与该名录中的相应企业名称和资质完全一致。</w:t>
      </w:r>
      <w:r>
        <w:rPr>
          <w:rStyle w:val="47"/>
          <w:rFonts w:ascii="Times New Roman" w:hAnsi="Times New Roman" w:eastAsia="宋体" w:cs="Times New Roman"/>
          <w:color w:val="auto"/>
          <w:highlight w:val="none"/>
        </w:rPr>
        <w:footnoteReference w:id="27"/>
      </w:r>
    </w:p>
    <w:p w14:paraId="7032F2E3">
      <w:pPr>
        <w:pStyle w:val="2"/>
        <w:pageBreakBefore w:val="0"/>
        <w:kinsoku/>
        <w:wordWrap w:val="0"/>
        <w:bidi w:val="0"/>
        <w:outlineLvl w:val="2"/>
        <w:rPr>
          <w:rFonts w:hint="default" w:ascii="Times New Roman" w:hAnsi="Times New Roman" w:cs="Times New Roman"/>
          <w:color w:val="auto"/>
          <w:highlight w:val="none"/>
        </w:rPr>
      </w:pPr>
      <w:bookmarkStart w:id="109" w:name="_Toc29333"/>
      <w:bookmarkStart w:id="110" w:name="_Toc234832876"/>
      <w:bookmarkStart w:id="111" w:name="_Toc8417"/>
      <w:bookmarkStart w:id="112" w:name="_Toc14149"/>
      <w:r>
        <w:rPr>
          <w:rFonts w:hint="default" w:ascii="Times New Roman" w:hAnsi="Times New Roman" w:cs="Times New Roman"/>
          <w:color w:val="auto"/>
          <w:highlight w:val="none"/>
        </w:rPr>
        <w:t>1.5 费用承担</w:t>
      </w:r>
      <w:bookmarkEnd w:id="109"/>
      <w:bookmarkEnd w:id="110"/>
      <w:bookmarkEnd w:id="111"/>
      <w:bookmarkEnd w:id="112"/>
    </w:p>
    <w:p w14:paraId="2E2DEA9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投标人准备和参加投标活动发生的费用自理。</w:t>
      </w:r>
    </w:p>
    <w:p w14:paraId="6ECFA61A">
      <w:pPr>
        <w:pStyle w:val="2"/>
        <w:pageBreakBefore w:val="0"/>
        <w:kinsoku/>
        <w:wordWrap w:val="0"/>
        <w:bidi w:val="0"/>
        <w:outlineLvl w:val="2"/>
        <w:rPr>
          <w:rFonts w:hint="default" w:ascii="Times New Roman" w:hAnsi="Times New Roman" w:cs="Times New Roman"/>
          <w:color w:val="auto"/>
          <w:highlight w:val="none"/>
        </w:rPr>
      </w:pPr>
      <w:bookmarkStart w:id="113" w:name="_Toc12508"/>
      <w:bookmarkStart w:id="114" w:name="_Toc23807"/>
      <w:bookmarkStart w:id="115" w:name="_Toc26593"/>
      <w:bookmarkStart w:id="116" w:name="_Toc234832877"/>
      <w:r>
        <w:rPr>
          <w:rFonts w:hint="default" w:ascii="Times New Roman" w:hAnsi="Times New Roman" w:cs="Times New Roman"/>
          <w:color w:val="auto"/>
          <w:highlight w:val="none"/>
        </w:rPr>
        <w:t>1.6 保密</w:t>
      </w:r>
      <w:bookmarkEnd w:id="113"/>
      <w:bookmarkEnd w:id="114"/>
      <w:bookmarkEnd w:id="115"/>
      <w:bookmarkEnd w:id="116"/>
    </w:p>
    <w:p w14:paraId="5DCEC4D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参与招标投标活动的各方应对招标文件和投标文件中的商业和技术等秘密保密，</w:t>
      </w:r>
      <w:r>
        <w:rPr>
          <w:rFonts w:hint="default" w:ascii="Times New Roman" w:hAnsi="Times New Roman" w:eastAsia="宋体" w:cs="Times New Roman"/>
          <w:color w:val="auto"/>
          <w:kern w:val="0"/>
          <w:sz w:val="24"/>
          <w:szCs w:val="20"/>
          <w:highlight w:val="none"/>
        </w:rPr>
        <w:t>否则应承担相应的法律责任。</w:t>
      </w:r>
    </w:p>
    <w:p w14:paraId="76830B8F">
      <w:pPr>
        <w:pStyle w:val="2"/>
        <w:pageBreakBefore w:val="0"/>
        <w:kinsoku/>
        <w:wordWrap w:val="0"/>
        <w:bidi w:val="0"/>
        <w:outlineLvl w:val="2"/>
        <w:rPr>
          <w:rFonts w:hint="default" w:ascii="Times New Roman" w:hAnsi="Times New Roman" w:cs="Times New Roman"/>
          <w:color w:val="auto"/>
          <w:highlight w:val="none"/>
        </w:rPr>
      </w:pPr>
      <w:bookmarkStart w:id="117" w:name="_Toc20284"/>
      <w:bookmarkStart w:id="118" w:name="_Toc5479"/>
      <w:bookmarkStart w:id="119" w:name="_Toc234832878"/>
      <w:bookmarkStart w:id="120" w:name="_Toc26229"/>
      <w:r>
        <w:rPr>
          <w:rFonts w:hint="default" w:ascii="Times New Roman" w:hAnsi="Times New Roman" w:cs="Times New Roman"/>
          <w:color w:val="auto"/>
          <w:highlight w:val="none"/>
        </w:rPr>
        <w:t>1.7 语言文字</w:t>
      </w:r>
      <w:bookmarkEnd w:id="117"/>
      <w:bookmarkEnd w:id="118"/>
      <w:bookmarkEnd w:id="119"/>
      <w:bookmarkEnd w:id="120"/>
    </w:p>
    <w:p w14:paraId="73B64E52">
      <w:pPr>
        <w:pageBreakBefore w:val="0"/>
        <w:kinsoku/>
        <w:wordWrap w:val="0"/>
        <w:bidi w:val="0"/>
        <w:spacing w:line="400" w:lineRule="atLeas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招标投标文件使用的语言文字为中文。专用术语使用外文的，应附有中文注释。</w:t>
      </w:r>
    </w:p>
    <w:p w14:paraId="239AB891">
      <w:pPr>
        <w:pStyle w:val="2"/>
        <w:pageBreakBefore w:val="0"/>
        <w:kinsoku/>
        <w:wordWrap w:val="0"/>
        <w:bidi w:val="0"/>
        <w:outlineLvl w:val="2"/>
        <w:rPr>
          <w:rFonts w:hint="default" w:ascii="Times New Roman" w:hAnsi="Times New Roman" w:cs="Times New Roman"/>
          <w:color w:val="auto"/>
          <w:highlight w:val="none"/>
        </w:rPr>
      </w:pPr>
      <w:bookmarkStart w:id="121" w:name="_Toc7349"/>
      <w:bookmarkStart w:id="122" w:name="_Toc30856"/>
      <w:bookmarkStart w:id="123" w:name="_Toc11584"/>
      <w:bookmarkStart w:id="124" w:name="_Toc234832879"/>
      <w:r>
        <w:rPr>
          <w:rFonts w:hint="default" w:ascii="Times New Roman" w:hAnsi="Times New Roman" w:cs="Times New Roman"/>
          <w:color w:val="auto"/>
          <w:highlight w:val="none"/>
        </w:rPr>
        <w:t>1.8 计量单位</w:t>
      </w:r>
      <w:bookmarkEnd w:id="121"/>
      <w:bookmarkEnd w:id="122"/>
      <w:bookmarkEnd w:id="123"/>
      <w:bookmarkEnd w:id="124"/>
    </w:p>
    <w:p w14:paraId="39FCC3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所有计量均采用中华人民共和国法定计量单位。</w:t>
      </w:r>
    </w:p>
    <w:p w14:paraId="241BD721">
      <w:pPr>
        <w:pStyle w:val="2"/>
        <w:pageBreakBefore w:val="0"/>
        <w:kinsoku/>
        <w:wordWrap w:val="0"/>
        <w:bidi w:val="0"/>
        <w:outlineLvl w:val="2"/>
        <w:rPr>
          <w:rFonts w:hint="default" w:ascii="Times New Roman" w:hAnsi="Times New Roman" w:cs="Times New Roman"/>
          <w:color w:val="auto"/>
          <w:highlight w:val="none"/>
        </w:rPr>
      </w:pPr>
      <w:bookmarkStart w:id="125" w:name="_Toc234832880"/>
      <w:bookmarkStart w:id="126" w:name="_Toc6538"/>
      <w:bookmarkStart w:id="127" w:name="_Toc11612"/>
      <w:bookmarkStart w:id="128" w:name="_Toc32593"/>
      <w:r>
        <w:rPr>
          <w:rFonts w:hint="default" w:ascii="Times New Roman" w:hAnsi="Times New Roman" w:cs="Times New Roman"/>
          <w:color w:val="auto"/>
          <w:highlight w:val="none"/>
        </w:rPr>
        <w:t>1.9 踏勘现场</w:t>
      </w:r>
      <w:bookmarkEnd w:id="125"/>
      <w:bookmarkEnd w:id="126"/>
      <w:bookmarkEnd w:id="127"/>
      <w:bookmarkEnd w:id="128"/>
    </w:p>
    <w:p w14:paraId="74DB14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规定组织踏勘现场的，招标人按规定的时间、地点组织投标人踏勘项目现场。部分投标人未按时参加踏勘现场的，不影响踏勘现场的正常进行。招标人不得组织单个或部分投标人踏勘项目现场。</w:t>
      </w:r>
    </w:p>
    <w:p w14:paraId="071B35C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1.9.2 投标人踏勘现场发生的费用自理。</w:t>
      </w:r>
    </w:p>
    <w:p w14:paraId="60FA39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1.9.3 除招标人的原因外，投标人自行负责在踏勘现场中所发生的人员伤亡和财产损失。</w:t>
      </w:r>
    </w:p>
    <w:p w14:paraId="294C5E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1.9.4 招标人在踏勘现场中介绍的工程场地和相关的周边环境情况，供投标人在编制投标文件时参考，招标人不对投标人据此作出的判断和决策负责。</w:t>
      </w:r>
    </w:p>
    <w:p w14:paraId="68F3504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59D5CB1E">
      <w:pPr>
        <w:pStyle w:val="2"/>
        <w:pageBreakBefore w:val="0"/>
        <w:kinsoku/>
        <w:wordWrap w:val="0"/>
        <w:bidi w:val="0"/>
        <w:outlineLvl w:val="2"/>
        <w:rPr>
          <w:rFonts w:hint="default" w:ascii="Times New Roman" w:hAnsi="Times New Roman" w:cs="Times New Roman"/>
          <w:color w:val="auto"/>
          <w:highlight w:val="none"/>
        </w:rPr>
      </w:pPr>
      <w:bookmarkStart w:id="129" w:name="_Toc6877"/>
      <w:bookmarkStart w:id="130" w:name="_Toc234832881"/>
      <w:bookmarkStart w:id="131" w:name="_Toc27740"/>
      <w:bookmarkStart w:id="132" w:name="_Toc17701"/>
      <w:r>
        <w:rPr>
          <w:rFonts w:hint="default" w:ascii="Times New Roman" w:hAnsi="Times New Roman" w:cs="Times New Roman"/>
          <w:color w:val="auto"/>
          <w:highlight w:val="none"/>
        </w:rPr>
        <w:t>1.10 投标预备会</w:t>
      </w:r>
      <w:bookmarkEnd w:id="129"/>
      <w:bookmarkEnd w:id="130"/>
      <w:bookmarkEnd w:id="131"/>
      <w:bookmarkEnd w:id="132"/>
    </w:p>
    <w:p w14:paraId="150847C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1.10.1 第一章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招标公告</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规定召开投标预备会的，招标人按规定的时间和地点召开投标预备会，澄清投标人提出的问题。</w:t>
      </w:r>
    </w:p>
    <w:p w14:paraId="1A53C90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1.10.2 投标人应按投标人须知前附表规定的时间和形式将提出的问题送达招标人，以便招标人在会议期间澄清。</w:t>
      </w:r>
    </w:p>
    <w:p w14:paraId="1C33DAE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1.10.3 投标预备会后，招标人将对投标人所提问题的澄清，以本章第2.2款规定的形式通知所有</w:t>
      </w:r>
      <w:r>
        <w:rPr>
          <w:rFonts w:hint="default" w:ascii="Times New Roman" w:hAnsi="Times New Roman" w:cs="Times New Roman"/>
          <w:color w:val="auto"/>
          <w:szCs w:val="24"/>
          <w:highlight w:val="none"/>
          <w:lang w:eastAsia="zh-CN"/>
        </w:rPr>
        <w:t>获取招标文件</w:t>
      </w:r>
      <w:r>
        <w:rPr>
          <w:rFonts w:hint="default" w:ascii="Times New Roman" w:hAnsi="Times New Roman" w:eastAsia="宋体" w:cs="Times New Roman"/>
          <w:color w:val="auto"/>
          <w:szCs w:val="24"/>
          <w:highlight w:val="none"/>
        </w:rPr>
        <w:t>的投标人。该澄清内容为招标文件的组成部分。</w:t>
      </w:r>
    </w:p>
    <w:p w14:paraId="150251AC">
      <w:pPr>
        <w:pStyle w:val="2"/>
        <w:pageBreakBefore w:val="0"/>
        <w:kinsoku/>
        <w:wordWrap w:val="0"/>
        <w:bidi w:val="0"/>
        <w:outlineLvl w:val="2"/>
        <w:rPr>
          <w:rFonts w:hint="default" w:ascii="Times New Roman" w:hAnsi="Times New Roman" w:cs="Times New Roman"/>
          <w:color w:val="auto"/>
          <w:highlight w:val="none"/>
        </w:rPr>
      </w:pPr>
      <w:bookmarkStart w:id="133" w:name="_Toc24517"/>
      <w:bookmarkStart w:id="134" w:name="_Toc234832882"/>
      <w:bookmarkStart w:id="135" w:name="_Toc20656"/>
      <w:bookmarkStart w:id="136" w:name="_Toc10304"/>
      <w:r>
        <w:rPr>
          <w:rFonts w:hint="default" w:ascii="Times New Roman" w:hAnsi="Times New Roman" w:cs="Times New Roman"/>
          <w:color w:val="auto"/>
          <w:highlight w:val="none"/>
        </w:rPr>
        <w:t>1.11 分包</w:t>
      </w:r>
      <w:bookmarkEnd w:id="133"/>
      <w:bookmarkEnd w:id="134"/>
      <w:bookmarkEnd w:id="135"/>
      <w:bookmarkEnd w:id="136"/>
    </w:p>
    <w:p w14:paraId="5195373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 xml:space="preserve">1.11.1 </w:t>
      </w:r>
      <w:r>
        <w:rPr>
          <w:rFonts w:hint="default" w:ascii="Times New Roman" w:hAnsi="Times New Roman" w:eastAsia="宋体" w:cs="Times New Roman"/>
          <w:color w:val="auto"/>
          <w:szCs w:val="24"/>
          <w:highlight w:val="none"/>
        </w:rPr>
        <w:t>投标人拟在中标后将中标项目的部分工作进行分包的，应</w:t>
      </w:r>
      <w:r>
        <w:rPr>
          <w:rFonts w:hint="eastAsia" w:ascii="Times New Roman" w:cs="Times New Roman"/>
          <w:color w:val="auto"/>
          <w:szCs w:val="24"/>
          <w:highlight w:val="none"/>
          <w:lang w:val="en-US" w:eastAsia="zh-CN"/>
        </w:rPr>
        <w:t>按辽宁省交通运输厅关于印发《辽宁省公路工程施工分包管理实施细则》的通知（辽交公路规〔2025〕1号）要求执行。</w:t>
      </w:r>
    </w:p>
    <w:p w14:paraId="7CAD9C3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1.11.2 中标人不得向他人转让中标项目，接受分包的人不得再次分包。中标人应就分包项目向招标人负责，接受分包的人就分包项目承担连带责任。</w:t>
      </w:r>
    </w:p>
    <w:p w14:paraId="2B737487">
      <w:pPr>
        <w:pStyle w:val="2"/>
        <w:pageBreakBefore w:val="0"/>
        <w:kinsoku/>
        <w:wordWrap w:val="0"/>
        <w:bidi w:val="0"/>
        <w:outlineLvl w:val="2"/>
        <w:rPr>
          <w:rFonts w:hint="default" w:ascii="Times New Roman" w:hAnsi="Times New Roman" w:cs="Times New Roman"/>
          <w:color w:val="auto"/>
          <w:highlight w:val="none"/>
        </w:rPr>
      </w:pPr>
      <w:bookmarkStart w:id="137" w:name="_Toc234832883"/>
      <w:bookmarkStart w:id="138" w:name="_Toc26907"/>
      <w:bookmarkStart w:id="139" w:name="_Toc3394"/>
      <w:bookmarkStart w:id="140" w:name="_Toc10366"/>
      <w:r>
        <w:rPr>
          <w:rFonts w:hint="default" w:ascii="Times New Roman" w:hAnsi="Times New Roman" w:cs="Times New Roman"/>
          <w:color w:val="auto"/>
          <w:highlight w:val="none"/>
        </w:rPr>
        <w:t xml:space="preserve">1.12 </w:t>
      </w:r>
      <w:bookmarkEnd w:id="137"/>
      <w:r>
        <w:rPr>
          <w:rFonts w:hint="default" w:ascii="Times New Roman" w:hAnsi="Times New Roman" w:cs="Times New Roman"/>
          <w:color w:val="auto"/>
          <w:highlight w:val="none"/>
        </w:rPr>
        <w:t>响应和偏差</w:t>
      </w:r>
      <w:bookmarkEnd w:id="138"/>
      <w:bookmarkEnd w:id="139"/>
      <w:bookmarkEnd w:id="140"/>
    </w:p>
    <w:p w14:paraId="62BC17BC">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1.12.1 投标文件偏离招标文件某些要求，视为投标文件存在偏差。偏差包括重大偏差和细微偏差。</w:t>
      </w:r>
    </w:p>
    <w:p w14:paraId="4773A100">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1.12.2 投标文件应对招标文件的实质性要求和条件作出满足性或更有利于招标人的响应，否则，视为投标文件存在重大偏差，投标人的投标将被否决。</w:t>
      </w:r>
    </w:p>
    <w:p w14:paraId="40B873A8">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投标文件存在第三章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中所列任一否决投标情形的，均属于存在重大偏差。</w:t>
      </w:r>
    </w:p>
    <w:p w14:paraId="2B0D2EE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1.12.3 投标文件中的下列偏差为细微偏差：</w:t>
      </w:r>
    </w:p>
    <w:p w14:paraId="04DE253D">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highlight w:val="none"/>
        </w:rPr>
        <w:t>在按照</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的规定对投标价进行其他错误</w:t>
      </w:r>
      <w:r>
        <w:rPr>
          <w:rFonts w:hint="default" w:ascii="Times New Roman" w:hAnsi="Times New Roman" w:eastAsia="宋体" w:cs="Times New Roman"/>
          <w:color w:val="auto"/>
          <w:highlight w:val="none"/>
        </w:rPr>
        <w:t>修正后，最终投标报价未超过最高投标限价（如有）的情况下，出现</w:t>
      </w:r>
      <w:r>
        <w:rPr>
          <w:rFonts w:hint="default" w:ascii="Times New Roman" w:hAnsi="Times New Roman" w:eastAsia="宋体" w:cs="Times New Roman"/>
          <w:color w:val="auto"/>
          <w:szCs w:val="24"/>
          <w:highlight w:val="none"/>
        </w:rPr>
        <w:t>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规定的投标报价其他错误；</w:t>
      </w:r>
    </w:p>
    <w:p w14:paraId="78B11C1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（2）施工组织设计（含关键工程技术方案）和项目管理机构不够完善；</w:t>
      </w:r>
    </w:p>
    <w:p w14:paraId="532DBA89">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（3）投标文件个别文字有遗漏错误等不影响投标文件实质性内容的偏差。</w:t>
      </w:r>
    </w:p>
    <w:p w14:paraId="30841D02">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1.12.4 评标委员会对投标文件中的细微偏差按如下规定处理：</w:t>
      </w:r>
    </w:p>
    <w:p w14:paraId="40B07133">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（1）对于本章第1.12.3项（1）目所述的细微偏差，按照第三章</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评标办法</w:t>
      </w:r>
      <w:r>
        <w:rPr>
          <w:rFonts w:hint="eastAsia" w:ascii="宋体" w:hAnsi="宋体" w:eastAsia="宋体" w:cs="宋体"/>
          <w:color w:val="auto"/>
          <w:szCs w:val="24"/>
          <w:highlight w:val="none"/>
        </w:rPr>
        <w:t>”</w:t>
      </w:r>
      <w:r>
        <w:rPr>
          <w:rFonts w:hint="default" w:ascii="Times New Roman" w:hAnsi="Times New Roman" w:eastAsia="宋体" w:cs="Times New Roman"/>
          <w:color w:val="auto"/>
          <w:szCs w:val="24"/>
          <w:highlight w:val="none"/>
        </w:rPr>
        <w:t>的规定予以修正并要求投标人进行澄清；</w:t>
      </w:r>
    </w:p>
    <w:p w14:paraId="61C8967A">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77ED413E">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（3）对于本章第1.12.3项（3）目所述的细微偏差，可要求投标人对细微偏差进行澄清。</w:t>
      </w:r>
    </w:p>
    <w:p w14:paraId="1CB6186B">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1.12.5 投标人应根据招标文件的要求提供施工组织设计等内容以对招标文件作出响应。</w:t>
      </w:r>
    </w:p>
    <w:p w14:paraId="43AB67C4">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141" w:name="_Toc28741"/>
      <w:bookmarkStart w:id="142" w:name="_Toc5915"/>
      <w:bookmarkStart w:id="143" w:name="_Toc234832884"/>
      <w:bookmarkStart w:id="144" w:name="_Toc27865"/>
      <w:r>
        <w:rPr>
          <w:rFonts w:hint="default" w:ascii="Times New Roman" w:hAnsi="Times New Roman" w:eastAsia="黑体" w:cs="Times New Roman"/>
          <w:b w:val="0"/>
          <w:color w:val="auto"/>
          <w:sz w:val="28"/>
          <w:szCs w:val="28"/>
          <w:highlight w:val="none"/>
        </w:rPr>
        <w:t>2. 招标文件</w:t>
      </w:r>
      <w:bookmarkEnd w:id="141"/>
      <w:bookmarkEnd w:id="142"/>
      <w:bookmarkEnd w:id="143"/>
      <w:bookmarkEnd w:id="144"/>
    </w:p>
    <w:p w14:paraId="0FC14816">
      <w:pPr>
        <w:pStyle w:val="2"/>
        <w:pageBreakBefore w:val="0"/>
        <w:kinsoku/>
        <w:wordWrap w:val="0"/>
        <w:bidi w:val="0"/>
        <w:outlineLvl w:val="2"/>
        <w:rPr>
          <w:rFonts w:hint="default" w:ascii="Times New Roman" w:hAnsi="Times New Roman" w:eastAsia="黑体" w:cs="Times New Roman"/>
          <w:color w:val="auto"/>
          <w:highlight w:val="none"/>
        </w:rPr>
      </w:pPr>
      <w:bookmarkStart w:id="145" w:name="_Toc25358"/>
      <w:bookmarkStart w:id="146" w:name="_Toc234832885"/>
      <w:bookmarkStart w:id="147" w:name="_Toc28112"/>
      <w:bookmarkStart w:id="148" w:name="_Toc12252"/>
      <w:r>
        <w:rPr>
          <w:rFonts w:hint="default" w:ascii="Times New Roman" w:hAnsi="Times New Roman" w:eastAsia="黑体" w:cs="Times New Roman"/>
          <w:color w:val="auto"/>
          <w:highlight w:val="none"/>
        </w:rPr>
        <w:t>2.1 招标文件的组成</w:t>
      </w:r>
      <w:bookmarkEnd w:id="145"/>
      <w:bookmarkEnd w:id="146"/>
      <w:bookmarkEnd w:id="147"/>
      <w:bookmarkEnd w:id="148"/>
    </w:p>
    <w:p w14:paraId="73D23D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本招标文件包括：</w:t>
      </w:r>
    </w:p>
    <w:p w14:paraId="404FF1E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（1）招标公告；</w:t>
      </w:r>
    </w:p>
    <w:p w14:paraId="7F6BE76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（2）投标人须知；</w:t>
      </w:r>
    </w:p>
    <w:p w14:paraId="690C1C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（3）评标办法；</w:t>
      </w:r>
    </w:p>
    <w:p w14:paraId="442637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（4）合同条款及格式；</w:t>
      </w:r>
    </w:p>
    <w:p w14:paraId="645DD70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（5）工程量清单；</w:t>
      </w:r>
    </w:p>
    <w:p w14:paraId="7A572A7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（6）图纸；</w:t>
      </w:r>
    </w:p>
    <w:p w14:paraId="61AF8E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（7）技术规范；</w:t>
      </w:r>
    </w:p>
    <w:p w14:paraId="7D4DEB1E">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（8）工程量清单计量规则；</w:t>
      </w:r>
    </w:p>
    <w:p w14:paraId="5893FBC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（9）投标文件格式；</w:t>
      </w:r>
    </w:p>
    <w:p w14:paraId="021782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（10）投标人须知前附表规定的其他资料。</w:t>
      </w:r>
    </w:p>
    <w:p w14:paraId="6EAB9F2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根据本章第1.10款、第2.2款和第2.3款对招标文件所作的澄清、修改，构成招标文件的组成部分。</w:t>
      </w:r>
    </w:p>
    <w:p w14:paraId="090D0631">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当招标文件、招标文件的澄清或修改等在同一内容的表述上不一致时，以最后发出的书面文件为准。</w:t>
      </w:r>
    </w:p>
    <w:p w14:paraId="09AF4845">
      <w:pPr>
        <w:pStyle w:val="2"/>
        <w:pageBreakBefore w:val="0"/>
        <w:kinsoku/>
        <w:wordWrap w:val="0"/>
        <w:bidi w:val="0"/>
        <w:outlineLvl w:val="2"/>
        <w:rPr>
          <w:rFonts w:hint="default" w:ascii="Times New Roman" w:hAnsi="Times New Roman" w:cs="Times New Roman"/>
          <w:color w:val="auto"/>
          <w:highlight w:val="none"/>
        </w:rPr>
      </w:pPr>
      <w:bookmarkStart w:id="149" w:name="_Toc6916"/>
      <w:bookmarkStart w:id="150" w:name="_Toc234832886"/>
      <w:bookmarkStart w:id="151" w:name="_Toc13346"/>
      <w:bookmarkStart w:id="152" w:name="_Toc6673"/>
      <w:r>
        <w:rPr>
          <w:rFonts w:hint="default" w:ascii="Times New Roman" w:hAnsi="Times New Roman" w:cs="Times New Roman"/>
          <w:color w:val="auto"/>
          <w:highlight w:val="none"/>
        </w:rPr>
        <w:t>2.2 招标文件的澄清</w:t>
      </w:r>
      <w:bookmarkEnd w:id="149"/>
      <w:bookmarkEnd w:id="150"/>
      <w:bookmarkEnd w:id="151"/>
      <w:bookmarkEnd w:id="152"/>
    </w:p>
    <w:p w14:paraId="0406C51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57B5B43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招标文件的澄清以投标人须知前附表规定的形式发给所有</w:t>
      </w:r>
      <w:r>
        <w:rPr>
          <w:rFonts w:hint="default" w:ascii="Times New Roman" w:hAnsi="Times New Roman" w:cs="Times New Roman"/>
          <w:color w:val="auto"/>
          <w:sz w:val="24"/>
          <w:highlight w:val="none"/>
          <w:lang w:eastAsia="zh-CN"/>
        </w:rPr>
        <w:t>获取招标文件</w:t>
      </w:r>
      <w:r>
        <w:rPr>
          <w:rFonts w:hint="default" w:ascii="Times New Roman" w:hAnsi="Times New Roman" w:eastAsia="宋体" w:cs="Times New Roman"/>
          <w:color w:val="auto"/>
          <w:sz w:val="24"/>
          <w:highlight w:val="none"/>
        </w:rPr>
        <w:t>的投标人，但不指明澄清问题的来源。澄清发出的时间距本章第4.2.1项规定的投标截止时间不足15日，且澄清内容可能影响投标文件编制的，将相应延长投标截止时间。</w:t>
      </w:r>
    </w:p>
    <w:p w14:paraId="264C47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2.2.3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按照投标人须知前附表要求及时收悉澄清内容。</w:t>
      </w:r>
      <w:r>
        <w:rPr>
          <w:rFonts w:hint="default" w:ascii="Times New Roman" w:hAnsi="Times New Roman" w:cs="Times New Roman"/>
          <w:color w:val="auto"/>
          <w:sz w:val="24"/>
          <w:highlight w:val="none"/>
        </w:rPr>
        <w:t>投标人应注意及时浏览网上发出的澄清，因投标人自身原因未及时获知澄清内容而导致的任何后果将由投标人自行承担</w:t>
      </w:r>
      <w:r>
        <w:rPr>
          <w:rFonts w:hint="default" w:ascii="Times New Roman" w:hAnsi="Times New Roman" w:eastAsia="宋体" w:cs="Times New Roman"/>
          <w:color w:val="auto"/>
          <w:sz w:val="24"/>
          <w:highlight w:val="none"/>
        </w:rPr>
        <w:t>。</w:t>
      </w:r>
    </w:p>
    <w:p w14:paraId="508D4E5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除非招标人认为确有必要答复，否则，招标人有权拒绝回复投标人在本章第2.2.1项规定的时间后提出的任何澄清要求。</w:t>
      </w:r>
    </w:p>
    <w:p w14:paraId="5EF78C1D">
      <w:pPr>
        <w:pStyle w:val="2"/>
        <w:pageBreakBefore w:val="0"/>
        <w:kinsoku/>
        <w:wordWrap w:val="0"/>
        <w:bidi w:val="0"/>
        <w:outlineLvl w:val="2"/>
        <w:rPr>
          <w:rFonts w:hint="default" w:ascii="Times New Roman" w:hAnsi="Times New Roman" w:cs="Times New Roman"/>
          <w:color w:val="auto"/>
          <w:highlight w:val="none"/>
        </w:rPr>
      </w:pPr>
      <w:bookmarkStart w:id="153" w:name="_Toc20407"/>
      <w:bookmarkStart w:id="154" w:name="_Toc19533"/>
      <w:bookmarkStart w:id="155" w:name="_Toc234832887"/>
      <w:bookmarkStart w:id="156" w:name="_Toc3661"/>
      <w:r>
        <w:rPr>
          <w:rFonts w:hint="default" w:ascii="Times New Roman" w:hAnsi="Times New Roman" w:cs="Times New Roman"/>
          <w:color w:val="auto"/>
          <w:highlight w:val="none"/>
        </w:rPr>
        <w:t>2.3 招标文件的修改</w:t>
      </w:r>
      <w:bookmarkEnd w:id="153"/>
      <w:bookmarkEnd w:id="154"/>
      <w:bookmarkEnd w:id="155"/>
      <w:bookmarkEnd w:id="156"/>
    </w:p>
    <w:p w14:paraId="7FB7BF4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2.3.1 招标人以投标人须知前附表规定的形式修改招标文件。修改招标文件的时间距本章第4.2.1项规定的投标截止时间不足15日，且修改内容可能影响投标文件编制的，将相应延长投标截止时间。</w:t>
      </w:r>
    </w:p>
    <w:p w14:paraId="4FC9607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2.3.2 </w:t>
      </w: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按照投标人须知前附表要求及时收悉</w:t>
      </w:r>
      <w:r>
        <w:rPr>
          <w:rFonts w:hint="default" w:ascii="Times New Roman" w:hAnsi="Times New Roman" w:cs="Times New Roman"/>
          <w:color w:val="auto"/>
          <w:sz w:val="24"/>
          <w:szCs w:val="24"/>
          <w:highlight w:val="none"/>
          <w:lang w:val="en-US" w:eastAsia="zh-CN"/>
        </w:rPr>
        <w:t>修改</w:t>
      </w:r>
      <w:r>
        <w:rPr>
          <w:rFonts w:hint="default" w:ascii="Times New Roman" w:hAnsi="Times New Roman" w:cs="Times New Roman"/>
          <w:color w:val="auto"/>
          <w:sz w:val="24"/>
          <w:szCs w:val="24"/>
          <w:highlight w:val="none"/>
        </w:rPr>
        <w:t>内容</w:t>
      </w:r>
      <w:r>
        <w:rPr>
          <w:rFonts w:hint="default" w:ascii="Times New Roman" w:hAnsi="Times New Roman" w:cs="Times New Roman"/>
          <w:color w:val="auto"/>
          <w:sz w:val="24"/>
          <w:highlight w:val="none"/>
        </w:rPr>
        <w:t>。投标人应注意及时浏览网上发出的修改，因投标人自身原因未及时获知修改内容而导致的任何后果将由投标人自行承担</w:t>
      </w:r>
      <w:r>
        <w:rPr>
          <w:rFonts w:hint="default" w:ascii="Times New Roman" w:hAnsi="Times New Roman" w:eastAsia="宋体" w:cs="Times New Roman"/>
          <w:color w:val="auto"/>
          <w:sz w:val="24"/>
          <w:highlight w:val="none"/>
        </w:rPr>
        <w:t>。</w:t>
      </w:r>
    </w:p>
    <w:p w14:paraId="15ACC5ED">
      <w:pPr>
        <w:pStyle w:val="2"/>
        <w:pageBreakBefore w:val="0"/>
        <w:kinsoku/>
        <w:wordWrap w:val="0"/>
        <w:bidi w:val="0"/>
        <w:outlineLvl w:val="2"/>
        <w:rPr>
          <w:rFonts w:hint="default" w:ascii="Times New Roman" w:hAnsi="Times New Roman" w:cs="Times New Roman"/>
          <w:color w:val="auto"/>
          <w:highlight w:val="none"/>
        </w:rPr>
      </w:pPr>
      <w:bookmarkStart w:id="157" w:name="_Toc29500"/>
      <w:bookmarkStart w:id="158" w:name="_Toc8985"/>
      <w:bookmarkStart w:id="159" w:name="_Toc13132"/>
      <w:r>
        <w:rPr>
          <w:rFonts w:hint="default" w:ascii="Times New Roman" w:hAnsi="Times New Roman" w:cs="Times New Roman"/>
          <w:color w:val="auto"/>
          <w:highlight w:val="none"/>
        </w:rPr>
        <w:t>2.4</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rPr>
        <w:t>招标文件的异议</w:t>
      </w:r>
      <w:bookmarkEnd w:id="157"/>
      <w:bookmarkEnd w:id="158"/>
      <w:bookmarkEnd w:id="159"/>
    </w:p>
    <w:p w14:paraId="3B84DDB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投标人或其他利害关系人对招标文件有异议的，应在投标截止时间10日前以书面形式提出。招标人将在收到异议之日起3日内作出答复；作出答复前，将暂停招标投标活动。</w:t>
      </w:r>
    </w:p>
    <w:p w14:paraId="2FEC1060">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160" w:name="_Toc5945"/>
      <w:bookmarkStart w:id="161" w:name="_Toc234832888"/>
      <w:bookmarkStart w:id="162" w:name="_Toc5874"/>
      <w:bookmarkStart w:id="163" w:name="_Toc24250"/>
      <w:r>
        <w:rPr>
          <w:rFonts w:hint="default" w:ascii="Times New Roman" w:hAnsi="Times New Roman" w:eastAsia="黑体" w:cs="Times New Roman"/>
          <w:b w:val="0"/>
          <w:color w:val="auto"/>
          <w:sz w:val="28"/>
          <w:szCs w:val="28"/>
          <w:highlight w:val="none"/>
        </w:rPr>
        <w:t>3. 投标文件</w:t>
      </w:r>
      <w:bookmarkEnd w:id="160"/>
      <w:bookmarkEnd w:id="161"/>
      <w:bookmarkEnd w:id="162"/>
      <w:bookmarkEnd w:id="163"/>
    </w:p>
    <w:p w14:paraId="410DFC4F">
      <w:pPr>
        <w:pStyle w:val="2"/>
        <w:keepNext/>
        <w:keepLines/>
        <w:pageBreakBefore w:val="0"/>
        <w:widowControl w:val="0"/>
        <w:kinsoku/>
        <w:wordWrap w:val="0"/>
        <w:overflowPunct/>
        <w:topLinePunct w:val="0"/>
        <w:autoSpaceDE/>
        <w:autoSpaceDN/>
        <w:bidi w:val="0"/>
        <w:adjustRightInd/>
        <w:snapToGrid/>
        <w:textAlignment w:val="auto"/>
        <w:outlineLvl w:val="2"/>
        <w:rPr>
          <w:rFonts w:hint="default" w:ascii="Times New Roman" w:hAnsi="Times New Roman" w:cs="Times New Roman"/>
          <w:color w:val="auto"/>
          <w:highlight w:val="none"/>
        </w:rPr>
      </w:pPr>
      <w:bookmarkStart w:id="164" w:name="_Toc20988"/>
      <w:bookmarkStart w:id="165" w:name="_Toc16758"/>
      <w:bookmarkStart w:id="166" w:name="_Toc234832889"/>
      <w:bookmarkStart w:id="167" w:name="_Toc18046"/>
      <w:r>
        <w:rPr>
          <w:rFonts w:hint="default" w:ascii="Times New Roman" w:hAnsi="Times New Roman" w:cs="Times New Roman"/>
          <w:color w:val="auto"/>
          <w:highlight w:val="none"/>
        </w:rPr>
        <w:t>3.1投标文件的组成</w:t>
      </w:r>
      <w:bookmarkEnd w:id="164"/>
      <w:bookmarkEnd w:id="165"/>
      <w:bookmarkEnd w:id="166"/>
      <w:bookmarkEnd w:id="167"/>
    </w:p>
    <w:p w14:paraId="123D44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投标文件应采用双信封形式，包括下列内容：</w:t>
      </w:r>
    </w:p>
    <w:p w14:paraId="26E5475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w:t>
      </w:r>
    </w:p>
    <w:p w14:paraId="4C5B62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（1）投标函及投标函附录；</w:t>
      </w:r>
    </w:p>
    <w:p w14:paraId="40E0293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（2）授权委托书或法定代表人身份证明；</w:t>
      </w:r>
    </w:p>
    <w:p w14:paraId="38B08C7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（3）联合体协议书（如有）；</w:t>
      </w:r>
    </w:p>
    <w:p w14:paraId="2922554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（4）投标保证金（如有）；</w:t>
      </w:r>
    </w:p>
    <w:p w14:paraId="31D2109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（5）施工组织设计；</w:t>
      </w:r>
    </w:p>
    <w:p w14:paraId="4D88D14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（6）项目管理机构；</w:t>
      </w:r>
    </w:p>
    <w:p w14:paraId="417831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（7）拟分包项目情况表（</w:t>
      </w:r>
      <w:r>
        <w:rPr>
          <w:rFonts w:hint="eastAsia" w:cs="Times New Roman"/>
          <w:color w:val="auto"/>
          <w:sz w:val="24"/>
          <w:highlight w:val="none"/>
          <w:lang w:val="en-US" w:eastAsia="zh-CN"/>
        </w:rPr>
        <w:t>如有</w:t>
      </w:r>
      <w:r>
        <w:rPr>
          <w:rFonts w:hint="default" w:ascii="Times New Roman" w:hAnsi="Times New Roman" w:eastAsia="宋体" w:cs="Times New Roman"/>
          <w:color w:val="auto"/>
          <w:sz w:val="24"/>
          <w:highlight w:val="none"/>
        </w:rPr>
        <w:t>）</w:t>
      </w:r>
    </w:p>
    <w:p w14:paraId="2BC519D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 xml:space="preserve">）资格审查资料； </w:t>
      </w:r>
    </w:p>
    <w:p w14:paraId="47A3DEC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）投标人须知前附表规定的其他资料。</w:t>
      </w:r>
    </w:p>
    <w:p w14:paraId="0632E21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第二个信封（报价文件）：</w:t>
      </w:r>
    </w:p>
    <w:p w14:paraId="33C4C1C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（1）投标函；</w:t>
      </w:r>
    </w:p>
    <w:p w14:paraId="625801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）已标价工程量清单；</w:t>
      </w:r>
    </w:p>
    <w:p w14:paraId="5FF0AB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）合同用款估算表。</w:t>
      </w:r>
    </w:p>
    <w:p w14:paraId="3B2CEE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投标人在评标过程中作出的符合法律法规和招标文件规定的澄清确认，构成投标文件的组成部分。</w:t>
      </w:r>
    </w:p>
    <w:p w14:paraId="7E910E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投标人须知前附表规定不接受联合体投标的，或投标人没有组成联合体的，投标文件不包括本章第3.1.1（3）目所指的联合体协议书。</w:t>
      </w:r>
    </w:p>
    <w:p w14:paraId="605A34E0">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投标人须知前附表未要求提交投标保证金的，投标文件不包括本章第3.1.1（4）目所指的投标保证金。</w:t>
      </w:r>
    </w:p>
    <w:p w14:paraId="5662B813">
      <w:pPr>
        <w:pStyle w:val="2"/>
        <w:pageBreakBefore w:val="0"/>
        <w:kinsoku/>
        <w:wordWrap w:val="0"/>
        <w:bidi w:val="0"/>
        <w:outlineLvl w:val="2"/>
        <w:rPr>
          <w:rFonts w:hint="default" w:ascii="Times New Roman" w:hAnsi="Times New Roman" w:cs="Times New Roman"/>
          <w:color w:val="auto"/>
          <w:highlight w:val="none"/>
        </w:rPr>
      </w:pPr>
      <w:bookmarkStart w:id="168" w:name="_Toc4919"/>
      <w:bookmarkStart w:id="169" w:name="_Toc234832890"/>
      <w:bookmarkStart w:id="170" w:name="_Toc25498"/>
      <w:bookmarkStart w:id="171" w:name="_Toc22349"/>
      <w:r>
        <w:rPr>
          <w:rFonts w:hint="default" w:ascii="Times New Roman" w:hAnsi="Times New Roman" w:cs="Times New Roman"/>
          <w:color w:val="auto"/>
          <w:highlight w:val="none"/>
        </w:rPr>
        <w:t>3.2 投标报价</w:t>
      </w:r>
      <w:bookmarkEnd w:id="168"/>
      <w:bookmarkEnd w:id="169"/>
      <w:bookmarkEnd w:id="170"/>
      <w:bookmarkEnd w:id="171"/>
      <w:r>
        <w:rPr>
          <w:rFonts w:hint="default" w:ascii="Times New Roman" w:hAnsi="Times New Roman" w:cs="Times New Roman"/>
          <w:color w:val="auto"/>
          <w:highlight w:val="none"/>
        </w:rPr>
        <w:t xml:space="preserve"> </w:t>
      </w:r>
    </w:p>
    <w:p w14:paraId="54EBC6E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3.2.1 投标报价应包括国家规定的增值税税金，除投标人须知前附表另有规定外，增值税税金按一般计税方法计算。投标人应按第九章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的要求在投标函中进行报价并填写工程量清单相应表格。</w:t>
      </w:r>
    </w:p>
    <w:p w14:paraId="0A6676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本项目招标采用工程量清单，招标人在</w:t>
      </w:r>
      <w:r>
        <w:rPr>
          <w:rFonts w:hint="default" w:ascii="Times New Roman" w:hAnsi="Times New Roman" w:cs="Times New Roman"/>
          <w:color w:val="auto"/>
          <w:sz w:val="24"/>
          <w:highlight w:val="none"/>
          <w:lang w:val="en-US" w:eastAsia="zh-CN"/>
        </w:rPr>
        <w:t>发布</w:t>
      </w:r>
      <w:r>
        <w:rPr>
          <w:rFonts w:hint="default" w:ascii="Times New Roman" w:hAnsi="Times New Roman" w:eastAsia="宋体" w:cs="Times New Roman"/>
          <w:color w:val="auto"/>
          <w:sz w:val="24"/>
          <w:highlight w:val="none"/>
        </w:rPr>
        <w:t>招标文件的同时将工程量清单电子文件上传至投标人须知前附表载明的网站供投标人自行下载。投标人填写工程量清单中各子目的单价</w:t>
      </w:r>
      <w:r>
        <w:rPr>
          <w:rFonts w:hint="eastAsia" w:cs="Times New Roman"/>
          <w:color w:val="auto"/>
          <w:sz w:val="24"/>
          <w:highlight w:val="none"/>
          <w:lang w:val="en-US" w:eastAsia="zh-CN"/>
        </w:rPr>
        <w:t>或</w:t>
      </w:r>
      <w:r>
        <w:rPr>
          <w:rFonts w:hint="default" w:ascii="Times New Roman" w:hAnsi="Times New Roman" w:eastAsia="宋体" w:cs="Times New Roman"/>
          <w:color w:val="auto"/>
          <w:sz w:val="24"/>
          <w:highlight w:val="none"/>
        </w:rPr>
        <w:t>总额价，即可完成投标工程量清单的编制，确定投标报价，并</w:t>
      </w:r>
      <w:r>
        <w:rPr>
          <w:rFonts w:hint="eastAsia" w:cs="Times New Roman"/>
          <w:color w:val="auto"/>
          <w:sz w:val="24"/>
          <w:highlight w:val="none"/>
          <w:lang w:val="en-US" w:eastAsia="zh-CN"/>
        </w:rPr>
        <w:t>生成电子版</w:t>
      </w:r>
      <w:r>
        <w:rPr>
          <w:rFonts w:hint="default" w:ascii="Times New Roman" w:hAnsi="Times New Roman" w:eastAsia="宋体" w:cs="Times New Roman"/>
          <w:color w:val="auto"/>
          <w:sz w:val="24"/>
          <w:highlight w:val="none"/>
        </w:rPr>
        <w:t>工程量清单，编入投标文件。投标人未在工程量清单中填入单价或总额价的工程子目，将被认为其已包含在工程量清单其他子目的单价和总额价中，招标人将不予支付。</w:t>
      </w:r>
    </w:p>
    <w:p w14:paraId="530571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严禁投标人修改工程量清单电子文件中的数据、格式及运算定义。</w:t>
      </w:r>
    </w:p>
    <w:p w14:paraId="6160B7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投标人根据招标人提供的工程量清单电子文件填报完成并</w:t>
      </w:r>
      <w:r>
        <w:rPr>
          <w:rFonts w:hint="eastAsia" w:cs="Times New Roman"/>
          <w:color w:val="auto"/>
          <w:sz w:val="24"/>
          <w:highlight w:val="none"/>
          <w:lang w:val="en-US" w:eastAsia="zh-CN"/>
        </w:rPr>
        <w:t>生成</w:t>
      </w:r>
      <w:r>
        <w:rPr>
          <w:rFonts w:hint="default" w:ascii="Times New Roman" w:hAnsi="Times New Roman" w:eastAsia="宋体" w:cs="Times New Roman"/>
          <w:color w:val="auto"/>
          <w:sz w:val="24"/>
          <w:highlight w:val="none"/>
        </w:rPr>
        <w:t>的投标工程量清单中的投标报价和投标函大写金额报价应一致，如果报价金额出现差异，其投标将被否决。</w:t>
      </w:r>
    </w:p>
    <w:p w14:paraId="127378F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3.2.2 投标人应充分了解本项目的总体情况以及影响投标报价的其他要素。</w:t>
      </w:r>
    </w:p>
    <w:p w14:paraId="1B3121F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3.2.3 本项目的报价方式见投标人须知前附表。投标人在投标截止时间前修改投标函中的投标总报价，应同时修改投标文件</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已标价工程量清单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中的相应报价。此修改须符合本章第4.3款的有关要求。</w:t>
      </w:r>
    </w:p>
    <w:p w14:paraId="100EF9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3.2.4 投标人如果发现工程量清单中的数量与图纸中数量不一致时，应立即通知招标人核查，除非招标人</w:t>
      </w:r>
      <w:r>
        <w:rPr>
          <w:rFonts w:hint="eastAsia" w:cs="Times New Roman"/>
          <w:color w:val="auto"/>
          <w:sz w:val="24"/>
          <w:highlight w:val="none"/>
          <w:lang w:val="en-US" w:eastAsia="zh-CN"/>
        </w:rPr>
        <w:t>在指定媒介上</w:t>
      </w:r>
      <w:r>
        <w:rPr>
          <w:rFonts w:hint="default" w:ascii="Times New Roman" w:hAnsi="Times New Roman" w:eastAsia="宋体" w:cs="Times New Roman"/>
          <w:color w:val="auto"/>
          <w:sz w:val="24"/>
          <w:highlight w:val="none"/>
        </w:rPr>
        <w:t>以书面方式予以更正，否则，应以工程量清单中列出的数量为准。</w:t>
      </w:r>
    </w:p>
    <w:p w14:paraId="69BAB19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1F96823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 xml:space="preserve">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3869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 xml:space="preserve"> 招标人设有最高投标限价的，投标人的投标报价不得超过最高投标限价，最高投标限价在投标</w:t>
      </w:r>
      <w:bookmarkStart w:id="172" w:name="_Toc361508600"/>
      <w:bookmarkStart w:id="173" w:name="_Toc352691488"/>
      <w:bookmarkStart w:id="174" w:name="_Toc152042320"/>
      <w:bookmarkStart w:id="175" w:name="_Toc369531531"/>
      <w:bookmarkStart w:id="176" w:name="_Toc247513968"/>
      <w:bookmarkStart w:id="177" w:name="_Toc152045544"/>
      <w:bookmarkStart w:id="178" w:name="_Toc300834965"/>
      <w:bookmarkStart w:id="179" w:name="_Toc247527569"/>
      <w:bookmarkStart w:id="180" w:name="_Toc144974512"/>
      <w:bookmarkStart w:id="181" w:name="_Toc384308225"/>
      <w:bookmarkStart w:id="182" w:name="_Toc10429"/>
      <w:r>
        <w:rPr>
          <w:rFonts w:hint="default" w:ascii="Times New Roman" w:hAnsi="Times New Roman" w:eastAsia="宋体" w:cs="Times New Roman"/>
          <w:color w:val="auto"/>
          <w:sz w:val="24"/>
          <w:highlight w:val="none"/>
        </w:rPr>
        <w:t>人须知前附表中载明。</w:t>
      </w:r>
      <w:bookmarkEnd w:id="172"/>
      <w:bookmarkEnd w:id="173"/>
      <w:bookmarkEnd w:id="174"/>
      <w:bookmarkEnd w:id="175"/>
      <w:bookmarkEnd w:id="176"/>
      <w:bookmarkEnd w:id="177"/>
      <w:bookmarkEnd w:id="178"/>
      <w:bookmarkEnd w:id="179"/>
      <w:bookmarkEnd w:id="180"/>
      <w:bookmarkEnd w:id="181"/>
      <w:bookmarkEnd w:id="182"/>
    </w:p>
    <w:p w14:paraId="3726AAA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3.2.</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 xml:space="preserve"> 投标报价的其他要求见投标人须知前附表。</w:t>
      </w:r>
    </w:p>
    <w:p w14:paraId="46BF4AE0">
      <w:pPr>
        <w:pStyle w:val="2"/>
        <w:pageBreakBefore w:val="0"/>
        <w:kinsoku/>
        <w:wordWrap w:val="0"/>
        <w:bidi w:val="0"/>
        <w:outlineLvl w:val="2"/>
        <w:rPr>
          <w:rFonts w:hint="default" w:ascii="Times New Roman" w:hAnsi="Times New Roman" w:cs="Times New Roman"/>
          <w:color w:val="auto"/>
          <w:highlight w:val="none"/>
        </w:rPr>
      </w:pPr>
      <w:bookmarkStart w:id="183" w:name="_Toc31161"/>
      <w:bookmarkStart w:id="184" w:name="_Toc19241"/>
      <w:bookmarkStart w:id="185" w:name="_Toc234832891"/>
      <w:bookmarkStart w:id="186" w:name="_Toc5681"/>
      <w:r>
        <w:rPr>
          <w:rFonts w:hint="default" w:ascii="Times New Roman" w:hAnsi="Times New Roman" w:cs="Times New Roman"/>
          <w:color w:val="auto"/>
          <w:highlight w:val="none"/>
        </w:rPr>
        <w:t>3.3投标有效期</w:t>
      </w:r>
      <w:bookmarkEnd w:id="183"/>
      <w:bookmarkEnd w:id="184"/>
      <w:bookmarkEnd w:id="185"/>
      <w:bookmarkEnd w:id="186"/>
    </w:p>
    <w:p w14:paraId="5C64B1F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3.3.1 除投标人须知前附表另有规定外，投标有效期为90日。</w:t>
      </w:r>
    </w:p>
    <w:p w14:paraId="704D9D9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 在投标有效期内，投标人撤销投标文件的，应承担招标文件和法律规定的责任。</w:t>
      </w:r>
    </w:p>
    <w:p w14:paraId="3F08B12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出现特殊情况需要延长投标有效期的，招标人</w:t>
      </w:r>
      <w:r>
        <w:rPr>
          <w:rFonts w:hint="eastAsia" w:cs="Times New Roman"/>
          <w:color w:val="auto"/>
          <w:sz w:val="24"/>
          <w:highlight w:val="none"/>
          <w:lang w:val="en-US" w:eastAsia="zh-CN"/>
        </w:rPr>
        <w:t>通过电子交易平台</w:t>
      </w:r>
      <w:r>
        <w:rPr>
          <w:rFonts w:hint="default" w:ascii="Times New Roman" w:hAnsi="Times New Roman" w:eastAsia="宋体" w:cs="Times New Roman"/>
          <w:color w:val="auto"/>
          <w:sz w:val="24"/>
          <w:highlight w:val="none"/>
        </w:rPr>
        <w:t>通知所有投标人延长投标有效期。投标人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0E2DFEBE">
      <w:pPr>
        <w:pStyle w:val="2"/>
        <w:pageBreakBefore w:val="0"/>
        <w:kinsoku/>
        <w:wordWrap w:val="0"/>
        <w:bidi w:val="0"/>
        <w:outlineLvl w:val="2"/>
        <w:rPr>
          <w:rFonts w:hint="default" w:ascii="Times New Roman" w:hAnsi="Times New Roman" w:cs="Times New Roman"/>
          <w:color w:val="auto"/>
          <w:highlight w:val="none"/>
        </w:rPr>
      </w:pPr>
      <w:bookmarkStart w:id="187" w:name="_Toc17536"/>
      <w:bookmarkStart w:id="188" w:name="_Toc14943"/>
      <w:bookmarkStart w:id="189" w:name="_Toc234832892"/>
      <w:bookmarkStart w:id="190" w:name="_Toc19805"/>
      <w:r>
        <w:rPr>
          <w:rFonts w:hint="default" w:ascii="Times New Roman" w:hAnsi="Times New Roman" w:cs="Times New Roman"/>
          <w:color w:val="auto"/>
          <w:highlight w:val="none"/>
        </w:rPr>
        <w:t>3.4投标保证金</w:t>
      </w:r>
      <w:bookmarkEnd w:id="187"/>
      <w:bookmarkEnd w:id="188"/>
      <w:bookmarkEnd w:id="189"/>
      <w:bookmarkEnd w:id="190"/>
    </w:p>
    <w:p w14:paraId="4B2CAB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投标人在递交投标文件的同时，应按投标人须知前附表规定的金额和第九章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规定的投标保证金格式递交投标保证金，并作为其投标文件的组成部分。联合体投标的，其投标保证金由牵头人递交，并应符合投标人须知前附表的规定。</w:t>
      </w:r>
    </w:p>
    <w:p w14:paraId="0A3EDB8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投标保证金应采用现金、支票、银行保函或招标人在投标人须知前附表规定的其他形式。</w:t>
      </w:r>
    </w:p>
    <w:p w14:paraId="595012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（1）若采用现金或支票，投标人应在递交投标文件截止时间之前，将投标保证金由投标人的基本账户转入招标人指定账户，否则视为投标保证金无效。招标人指定的开户银行及账号见投标人须知前附表。</w:t>
      </w:r>
    </w:p>
    <w:p w14:paraId="6563E8B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（2）若采用银行保函，则应由符合投标人须知前附表规定级别的银行开具，并采用招标文件提供的格式。银行保函</w:t>
      </w:r>
      <w:r>
        <w:rPr>
          <w:rFonts w:hint="eastAsia" w:cs="Times New Roman"/>
          <w:color w:val="auto"/>
          <w:sz w:val="24"/>
          <w:highlight w:val="none"/>
          <w:lang w:eastAsia="zh-CN"/>
        </w:rPr>
        <w:t>原件扫描件</w:t>
      </w:r>
      <w:r>
        <w:rPr>
          <w:rFonts w:hint="eastAsia" w:cs="Times New Roman"/>
          <w:color w:val="auto"/>
          <w:sz w:val="24"/>
          <w:highlight w:val="none"/>
          <w:lang w:val="en-US" w:eastAsia="zh-CN"/>
        </w:rPr>
        <w:t>编辑</w:t>
      </w:r>
      <w:r>
        <w:rPr>
          <w:rFonts w:hint="default" w:ascii="Times New Roman" w:hAnsi="Times New Roman" w:eastAsia="宋体" w:cs="Times New Roman"/>
          <w:color w:val="auto"/>
          <w:sz w:val="24"/>
          <w:highlight w:val="none"/>
        </w:rPr>
        <w:t>在投标文件内。</w:t>
      </w:r>
    </w:p>
    <w:p w14:paraId="79638B5D">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）若采用电子保函形式提交，投标人应在投标文件中提供电子保函的扫描件和电子化保函验真渠道。</w:t>
      </w:r>
    </w:p>
    <w:p w14:paraId="4D7E9EF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无论采取何种形式的投标保证金，投标保证金有效期均应与投标有效期一致。招标人如果按本章第3.3.3项的规定延长了投标有效期，则投标保证金的有效期也相应延长。</w:t>
      </w:r>
    </w:p>
    <w:p w14:paraId="4A889F0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投标人不按本章第3.4.1项要求提交投标保证金的，评标委员会将否决其投标。</w:t>
      </w:r>
    </w:p>
    <w:p w14:paraId="16A18F0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352F863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利息计算原则见投标人须知前附表。</w:t>
      </w:r>
    </w:p>
    <w:p w14:paraId="770502A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3.4.4 有下列情形之一的，投标保证金将不予退还：</w:t>
      </w:r>
    </w:p>
    <w:p w14:paraId="443C06E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（1）投标人在投标有效期内撤销投标文件；</w:t>
      </w:r>
    </w:p>
    <w:p w14:paraId="72AD31E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（2）中标人在收到中标通知书后，无正当理由不与招标人订立合同，在签订合同时向招标人提出附加条件，或不按照招标文件要求提交履约保证金；</w:t>
      </w:r>
    </w:p>
    <w:p w14:paraId="492C8B2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（3）发生投标人须知前附表规定的其他可以不予退还投标保证金的情形。</w:t>
      </w:r>
    </w:p>
    <w:p w14:paraId="6D247F0E">
      <w:pPr>
        <w:pStyle w:val="2"/>
        <w:pageBreakBefore w:val="0"/>
        <w:kinsoku/>
        <w:wordWrap w:val="0"/>
        <w:bidi w:val="0"/>
        <w:outlineLvl w:val="2"/>
        <w:rPr>
          <w:rFonts w:hint="default" w:ascii="Times New Roman" w:hAnsi="Times New Roman" w:cs="Times New Roman"/>
          <w:color w:val="auto"/>
          <w:highlight w:val="none"/>
        </w:rPr>
      </w:pPr>
      <w:bookmarkStart w:id="191" w:name="_Toc234832894"/>
      <w:bookmarkStart w:id="192" w:name="_Toc19802"/>
      <w:bookmarkStart w:id="193" w:name="_Toc6927"/>
      <w:bookmarkStart w:id="194" w:name="_Toc32650"/>
      <w:r>
        <w:rPr>
          <w:rFonts w:hint="default" w:ascii="Times New Roman" w:hAnsi="Times New Roman" w:cs="Times New Roman"/>
          <w:color w:val="auto"/>
          <w:highlight w:val="none"/>
        </w:rPr>
        <w:t>3.5资格审查资料</w:t>
      </w:r>
      <w:bookmarkEnd w:id="191"/>
      <w:bookmarkEnd w:id="192"/>
      <w:bookmarkEnd w:id="193"/>
      <w:bookmarkEnd w:id="194"/>
    </w:p>
    <w:p w14:paraId="32E3BD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除投标人须知前附表另有规定外，投标人应按下列规定提供资格审查资料，以证明其满足本章第1.4款规定的资质、财务、业绩、信誉等要求。</w:t>
      </w:r>
    </w:p>
    <w:p w14:paraId="454F859C">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val="en-US" w:eastAsia="zh-CN"/>
        </w:rPr>
        <w:t>主体信息库</w:t>
      </w:r>
      <w:r>
        <w:rPr>
          <w:rFonts w:hint="default" w:ascii="Times New Roman" w:hAnsi="Times New Roman" w:eastAsia="宋体" w:cs="Times New Roman"/>
          <w:color w:val="auto"/>
          <w:sz w:val="24"/>
          <w:szCs w:val="24"/>
          <w:highlight w:val="none"/>
        </w:rPr>
        <w:t>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5402C4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3.5.1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投标人基本情况表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，投标人在交通运输部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公路工程施工资质企业名录中的网页截图</w:t>
      </w:r>
      <w:r>
        <w:rPr>
          <w:rStyle w:val="47"/>
          <w:rFonts w:ascii="Times New Roman" w:hAnsi="Times New Roman" w:eastAsia="宋体" w:cs="Times New Roman"/>
          <w:color w:val="auto"/>
          <w:highlight w:val="none"/>
        </w:rPr>
        <w:footnoteReference w:id="28"/>
      </w:r>
      <w:r>
        <w:rPr>
          <w:rFonts w:hint="default" w:ascii="Times New Roman" w:hAnsi="Times New Roman" w:eastAsia="宋体" w:cs="Times New Roman"/>
          <w:color w:val="auto"/>
          <w:sz w:val="24"/>
          <w:highlight w:val="none"/>
        </w:rPr>
        <w:t>，以及投标人在国家企业信用信息公示系统中基础信息（体现股东及出资详细信息）的网页截图。</w:t>
      </w:r>
    </w:p>
    <w:p w14:paraId="7B5BA3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企业法人营业执照、施工资质证书、安全生产许可证、基本账户开户许可证</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基本存款账户信息</w:t>
      </w:r>
      <w:r>
        <w:rPr>
          <w:rFonts w:hint="default" w:ascii="Times New Roman" w:hAnsi="Times New Roman" w:eastAsia="宋体" w:cs="Times New Roman"/>
          <w:color w:val="auto"/>
          <w:sz w:val="24"/>
          <w:highlight w:val="none"/>
        </w:rPr>
        <w:t>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应提供全本（证书封面、封底、空白页除外），应包括投标人名称、投标人其他相关信息、颁发机构名称、投标人信息变更情况等关键页在内。</w:t>
      </w:r>
    </w:p>
    <w:p w14:paraId="4864A8A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3.5.2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财务状况表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应附经会计师事务所或审计机构审计的财务会计报表，包括资产负债表、现金流量表、利润表和财务情况说明书的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原件扫描件</w:t>
      </w:r>
      <w:r>
        <w:rPr>
          <w:rFonts w:hint="eastAsia" w:ascii="宋体" w:hAnsi="宋体" w:eastAsia="宋体" w:cs="宋体"/>
          <w:color w:val="auto"/>
          <w:sz w:val="24"/>
          <w:highlight w:val="none"/>
          <w:lang w:eastAsia="zh-CN"/>
        </w:rPr>
        <w:t>”</w:t>
      </w:r>
      <w:r>
        <w:rPr>
          <w:rFonts w:hint="default" w:ascii="Times New Roman" w:hAnsi="Times New Roman" w:eastAsia="宋体" w:cs="Times New Roman"/>
          <w:color w:val="auto"/>
          <w:sz w:val="24"/>
          <w:highlight w:val="none"/>
        </w:rPr>
        <w:t>，具体年份要求见投标人须知前附表。投标人的成立时间少于投标人须知前附表规定年份的，应提供成立以来的财务状况表。</w:t>
      </w:r>
    </w:p>
    <w:p w14:paraId="7756AA32">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3.5.3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近年完成的类似项目</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具体时间要求见投标人须知前附表。</w:t>
      </w:r>
    </w:p>
    <w:p w14:paraId="6CC214E4">
      <w:pPr>
        <w:pageBreakBefore w:val="0"/>
        <w:kinsoku/>
        <w:wordWrap w:val="0"/>
        <w:topLinePunct/>
        <w:bidi w:val="0"/>
        <w:spacing w:line="400" w:lineRule="atLeast"/>
        <w:ind w:firstLine="480" w:firstLineChars="200"/>
        <w:rPr>
          <w:rFonts w:hint="eastAsia" w:ascii="宋体" w:hAnsi="宋体" w:eastAsia="宋体" w:cs="宋体"/>
          <w:color w:val="auto"/>
          <w:sz w:val="24"/>
          <w:highlight w:val="none"/>
        </w:rPr>
      </w:pPr>
      <w:r>
        <w:rPr>
          <w:rFonts w:hint="eastAsia" w:cs="Times New Roman"/>
          <w:color w:val="auto"/>
          <w:sz w:val="24"/>
          <w:highlight w:val="none"/>
          <w:lang w:val="en-US" w:eastAsia="zh-CN"/>
        </w:rPr>
        <w:t>投标人应在</w:t>
      </w:r>
      <w:r>
        <w:rPr>
          <w:rFonts w:hint="eastAsia" w:ascii="宋体" w:hAnsi="宋体" w:eastAsia="宋体" w:cs="宋体"/>
          <w:color w:val="auto"/>
          <w:sz w:val="24"/>
          <w:highlight w:val="none"/>
        </w:rPr>
        <w:t>“辽宁省公共资源交易一张网电子化平台”</w:t>
      </w:r>
      <w:r>
        <w:rPr>
          <w:rFonts w:hint="eastAsia" w:ascii="宋体" w:hAnsi="宋体" w:cs="宋体"/>
          <w:color w:val="auto"/>
          <w:sz w:val="24"/>
          <w:highlight w:val="none"/>
          <w:lang w:eastAsia="zh-CN"/>
        </w:rPr>
        <w:t>主体信息库</w:t>
      </w:r>
      <w:r>
        <w:rPr>
          <w:rFonts w:hint="eastAsia" w:ascii="宋体" w:hAnsi="宋体" w:eastAsia="宋体" w:cs="宋体"/>
          <w:color w:val="auto"/>
          <w:sz w:val="24"/>
          <w:highlight w:val="none"/>
        </w:rPr>
        <w:t>中选择并进行超链接</w:t>
      </w:r>
      <w:r>
        <w:rPr>
          <w:rFonts w:hint="eastAsia" w:ascii="宋体" w:hAnsi="宋体" w:cs="宋体"/>
          <w:color w:val="auto"/>
          <w:sz w:val="24"/>
          <w:highlight w:val="none"/>
          <w:lang w:eastAsia="zh-CN"/>
        </w:rPr>
        <w:t>。</w:t>
      </w:r>
    </w:p>
    <w:p w14:paraId="24023A47">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投标人的信誉情况表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应附投标人在国家企业信用信息公示系统中未被列入严重违法失信企业名单、在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信用中国</w:t>
      </w:r>
      <w:r>
        <w:rPr>
          <w:rFonts w:hint="eastAsia" w:ascii="宋体" w:hAnsi="宋体" w:eastAsia="宋体" w:cs="宋体"/>
          <w:color w:val="auto"/>
          <w:sz w:val="24"/>
          <w:highlight w:val="none"/>
        </w:rPr>
        <w:t>”（或中国执行信息公开网）</w:t>
      </w:r>
      <w:r>
        <w:rPr>
          <w:rFonts w:hint="default" w:ascii="Times New Roman" w:hAnsi="Times New Roman" w:eastAsia="宋体" w:cs="Times New Roman"/>
          <w:color w:val="auto"/>
          <w:sz w:val="24"/>
          <w:highlight w:val="none"/>
        </w:rPr>
        <w:t>网站中未被列入失信被执行人名单的网页截图，以及</w:t>
      </w:r>
      <w:r>
        <w:rPr>
          <w:rFonts w:hint="default" w:ascii="Times New Roman" w:hAnsi="Times New Roman" w:cs="Times New Roman"/>
          <w:color w:val="auto"/>
          <w:sz w:val="24"/>
          <w:szCs w:val="24"/>
          <w:highlight w:val="none"/>
          <w:lang w:val="en-US" w:eastAsia="zh-CN"/>
        </w:rPr>
        <w:t>近三年内（以投标截止日期为截止日、往前推算3个年度）投标人单位、个人（指法定代表人、拟投入的项目经理）均无行贿犯罪行为的书面承诺</w:t>
      </w:r>
      <w:r>
        <w:rPr>
          <w:rFonts w:hint="eastAsia" w:cs="Times New Roman"/>
          <w:color w:val="auto"/>
          <w:sz w:val="24"/>
          <w:szCs w:val="24"/>
          <w:highlight w:val="none"/>
          <w:lang w:val="en-US" w:eastAsia="zh-CN"/>
        </w:rPr>
        <w:t>“原件扫描件”</w:t>
      </w:r>
      <w:r>
        <w:rPr>
          <w:rFonts w:hint="default" w:ascii="Times New Roman" w:hAnsi="Times New Roman" w:cs="Times New Roman"/>
          <w:color w:val="auto"/>
          <w:sz w:val="24"/>
          <w:szCs w:val="24"/>
          <w:highlight w:val="none"/>
          <w:lang w:val="en-US" w:eastAsia="zh-CN"/>
        </w:rPr>
        <w:t>（格式详见招标文件第九章）</w:t>
      </w:r>
      <w:r>
        <w:rPr>
          <w:rFonts w:hint="default" w:ascii="Times New Roman" w:hAnsi="Times New Roman" w:eastAsia="宋体" w:cs="Times New Roman"/>
          <w:color w:val="auto"/>
          <w:sz w:val="24"/>
          <w:highlight w:val="none"/>
        </w:rPr>
        <w:t>。</w:t>
      </w:r>
    </w:p>
    <w:p w14:paraId="6A23B36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highlight w:val="yellow"/>
        </w:rPr>
        <w:t xml:space="preserve">3.5.5 </w:t>
      </w:r>
      <w:r>
        <w:rPr>
          <w:rFonts w:hint="eastAsia" w:ascii="宋体" w:hAnsi="宋体" w:eastAsia="宋体" w:cs="宋体"/>
          <w:color w:val="auto"/>
          <w:sz w:val="24"/>
          <w:highlight w:val="yellow"/>
        </w:rPr>
        <w:t>“</w:t>
      </w:r>
      <w:r>
        <w:rPr>
          <w:rFonts w:hint="default" w:ascii="Times New Roman" w:hAnsi="Times New Roman" w:eastAsia="宋体" w:cs="Times New Roman"/>
          <w:color w:val="auto"/>
          <w:sz w:val="24"/>
          <w:highlight w:val="yellow"/>
        </w:rPr>
        <w:t>拟委任的项目经理和项目总工资历表</w:t>
      </w:r>
      <w:r>
        <w:rPr>
          <w:rFonts w:hint="eastAsia" w:ascii="宋体" w:hAnsi="宋体" w:eastAsia="宋体" w:cs="宋体"/>
          <w:color w:val="auto"/>
          <w:sz w:val="24"/>
          <w:highlight w:val="yellow"/>
        </w:rPr>
        <w:t>”</w:t>
      </w:r>
      <w:r>
        <w:rPr>
          <w:rFonts w:hint="default" w:ascii="Times New Roman" w:hAnsi="Times New Roman" w:eastAsia="宋体" w:cs="Times New Roman"/>
          <w:color w:val="auto"/>
          <w:sz w:val="24"/>
          <w:highlight w:val="yellow"/>
        </w:rPr>
        <w:t>应附项目经理和项目总工的身份证、职称资格证书以及资格审查条件所要求的其他相关证书（如建造师注册证书、安全生产考核合格证书等）的</w:t>
      </w:r>
      <w:r>
        <w:rPr>
          <w:rFonts w:hint="eastAsia" w:cs="Times New Roman"/>
          <w:color w:val="auto"/>
          <w:sz w:val="24"/>
          <w:highlight w:val="yellow"/>
          <w:lang w:eastAsia="zh-CN"/>
        </w:rPr>
        <w:t>原件扫描件</w:t>
      </w:r>
      <w:r>
        <w:rPr>
          <w:rFonts w:hint="default" w:ascii="Times New Roman" w:hAnsi="Times New Roman" w:eastAsia="宋体" w:cs="Times New Roman"/>
          <w:color w:val="auto"/>
          <w:sz w:val="24"/>
          <w:highlight w:val="yellow"/>
        </w:rPr>
        <w:t>，</w:t>
      </w:r>
      <w:r>
        <w:rPr>
          <w:rFonts w:hint="default" w:ascii="Times New Roman" w:hAnsi="Times New Roman" w:eastAsia="宋体" w:cs="Times New Roman"/>
          <w:color w:val="0000FF"/>
          <w:sz w:val="24"/>
          <w:highlight w:val="yellow"/>
        </w:rPr>
        <w:t>建造师注册证书、安全生产考核合格证书在政府相关部门网站上公开信息的网页截图，以及投标人所属社保机构出具的拟委任的项目经理和项目总工的社保缴费证明或其他能够证明拟委任的项目经理和项目总工参加社保的有效证明材料</w:t>
      </w:r>
      <w:r>
        <w:rPr>
          <w:rFonts w:hint="eastAsia" w:cs="Times New Roman"/>
          <w:color w:val="0000FF"/>
          <w:sz w:val="24"/>
          <w:highlight w:val="yellow"/>
          <w:lang w:eastAsia="zh-CN"/>
        </w:rPr>
        <w:t>原件扫描件</w:t>
      </w:r>
      <w:r>
        <w:rPr>
          <w:rFonts w:hint="default" w:ascii="Times New Roman" w:hAnsi="Times New Roman" w:eastAsia="宋体" w:cs="Times New Roman"/>
          <w:color w:val="0000FF"/>
          <w:sz w:val="24"/>
          <w:highlight w:val="yellow"/>
        </w:rPr>
        <w:t>。</w:t>
      </w:r>
    </w:p>
    <w:p w14:paraId="7C9346FB">
      <w:pPr>
        <w:pageBreakBefore w:val="0"/>
        <w:kinsoku/>
        <w:wordWrap w:val="0"/>
        <w:topLinePunct/>
        <w:bidi w:val="0"/>
        <w:spacing w:line="400" w:lineRule="atLeast"/>
        <w:ind w:firstLine="480" w:firstLineChars="200"/>
        <w:rPr>
          <w:rFonts w:hint="default" w:ascii="Times New Roman" w:hAnsi="Times New Roman" w:eastAsia="宋体" w:cs="Times New Roman"/>
          <w:color w:val="0000FF"/>
          <w:sz w:val="24"/>
          <w:highlight w:val="yellow"/>
        </w:rPr>
      </w:pPr>
      <w:r>
        <w:rPr>
          <w:rFonts w:hint="default" w:ascii="Times New Roman" w:hAnsi="Times New Roman" w:eastAsia="宋体" w:cs="Times New Roman"/>
          <w:color w:val="0000FF"/>
          <w:sz w:val="24"/>
          <w:highlight w:val="yellow"/>
        </w:rPr>
        <w:t>如项目经理或项目总工目前仍在其他项目上任职，则投标人应提供承诺上述人员能够从该项目撤离的书面</w:t>
      </w:r>
      <w:r>
        <w:rPr>
          <w:rFonts w:hint="eastAsia" w:cs="Times New Roman"/>
          <w:color w:val="0000FF"/>
          <w:sz w:val="24"/>
          <w:highlight w:val="yellow"/>
          <w:lang w:val="en-US" w:eastAsia="zh-CN"/>
        </w:rPr>
        <w:t>承诺</w:t>
      </w:r>
      <w:r>
        <w:rPr>
          <w:rFonts w:hint="default" w:ascii="Times New Roman" w:hAnsi="Times New Roman" w:eastAsia="宋体" w:cs="Times New Roman"/>
          <w:color w:val="0000FF"/>
          <w:sz w:val="24"/>
          <w:highlight w:val="yellow"/>
        </w:rPr>
        <w:t>。</w:t>
      </w:r>
    </w:p>
    <w:p w14:paraId="0F248A8F">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3.5.6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拟委任的其他管理和技术人员汇总表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（如有）应填报满足投标人须知前附表附录6规定的其他人员的相关信息。</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拟委任的其他管理和技术人员资历表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（如有）中相关人员应附身份证、职称资格证书以及资格审查条件所要求的其他相关证书的</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，相关业绩证明材料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，以及投标人所属社保机构出具的社保缴费证明或其他能够证明其参加社保的有效证明材料</w:t>
      </w:r>
      <w:r>
        <w:rPr>
          <w:rFonts w:hint="eastAsia" w:cs="Times New Roman"/>
          <w:color w:val="auto"/>
          <w:sz w:val="24"/>
          <w:highlight w:val="none"/>
          <w:lang w:eastAsia="zh-CN"/>
        </w:rPr>
        <w:t>原件扫描件</w:t>
      </w:r>
      <w:r>
        <w:rPr>
          <w:rFonts w:hint="default" w:ascii="Times New Roman" w:hAnsi="Times New Roman" w:eastAsia="宋体" w:cs="Times New Roman"/>
          <w:color w:val="auto"/>
          <w:sz w:val="24"/>
          <w:highlight w:val="none"/>
        </w:rPr>
        <w:t>。</w:t>
      </w:r>
    </w:p>
    <w:p w14:paraId="12D3562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3.5.7 </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拟投入本标段的主要施工机械表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拟配备本标段的主要材料试验、测量、质检仪器设备表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（如有）应填报满足投标人须知前附表附录7规定的机械设备和试验检测设备。</w:t>
      </w:r>
    </w:p>
    <w:p w14:paraId="5E08746A">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3.5.8 投标人须知前附表规定接受联合体投标的，本章第3.5.1项至第3.5.7项规定的表格和资料应包括联合体各方相关情况。</w:t>
      </w:r>
    </w:p>
    <w:p w14:paraId="3A044053">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3.5.9 除合同条款约定的特殊情形外，投标人在投标文件中填报的项目经理和项目总工不允许更换。</w:t>
      </w:r>
    </w:p>
    <w:p w14:paraId="03027EED">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3.5.10 投标人应根据本单位实际情况及时完成相关信息的申报、录入和动态更新，并对相关信息的真实性、完整性和准确性负责。</w:t>
      </w:r>
    </w:p>
    <w:p w14:paraId="77552F20">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％签约合同价的金额作为违约金。同时招标人将投标人上述弄虚作假行为上报省级交通运输主管部门，作为不良记录纳入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eastAsia="宋体" w:cs="Times New Roman"/>
          <w:color w:val="auto"/>
          <w:sz w:val="24"/>
          <w:highlight w:val="none"/>
        </w:rPr>
        <w:t>。</w:t>
      </w:r>
    </w:p>
    <w:p w14:paraId="6C499E81">
      <w:pPr>
        <w:pStyle w:val="2"/>
        <w:pageBreakBefore w:val="0"/>
        <w:kinsoku/>
        <w:wordWrap w:val="0"/>
        <w:bidi w:val="0"/>
        <w:outlineLvl w:val="2"/>
        <w:rPr>
          <w:rFonts w:hint="default" w:ascii="Times New Roman" w:hAnsi="Times New Roman" w:cs="Times New Roman"/>
          <w:color w:val="auto"/>
          <w:highlight w:val="none"/>
        </w:rPr>
      </w:pPr>
      <w:bookmarkStart w:id="195" w:name="_Toc21591"/>
      <w:bookmarkStart w:id="196" w:name="_Toc234832895"/>
      <w:bookmarkStart w:id="197" w:name="_Toc28097"/>
      <w:bookmarkStart w:id="198" w:name="_Toc28562"/>
      <w:r>
        <w:rPr>
          <w:rFonts w:hint="default" w:ascii="Times New Roman" w:hAnsi="Times New Roman" w:cs="Times New Roman"/>
          <w:color w:val="auto"/>
          <w:highlight w:val="none"/>
        </w:rPr>
        <w:t>3.6 备选投标方案</w:t>
      </w:r>
      <w:bookmarkEnd w:id="195"/>
      <w:bookmarkEnd w:id="196"/>
      <w:bookmarkEnd w:id="197"/>
      <w:bookmarkEnd w:id="198"/>
    </w:p>
    <w:p w14:paraId="7A2D7A5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除投标人须知前附表规定允许外，投标人不得递交备选投标方案，否则其投标将被否决。</w:t>
      </w:r>
    </w:p>
    <w:p w14:paraId="436D9CC1">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062CCACC">
      <w:pPr>
        <w:pageBreakBefore w:val="0"/>
        <w:kinsoku/>
        <w:wordWrap w:val="0"/>
        <w:topLinePunct/>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投标人提供两个或两个以上投标报价，或在投标文件中提供一个报价，但同时提供两个或两个以上</w:t>
      </w:r>
      <w:bookmarkStart w:id="199" w:name="_Toc352691495"/>
      <w:bookmarkStart w:id="200" w:name="_Toc361508607"/>
      <w:bookmarkStart w:id="201" w:name="_Toc369531538"/>
      <w:bookmarkStart w:id="202" w:name="_Toc300834971"/>
      <w:bookmarkStart w:id="203" w:name="_Toc152042326"/>
      <w:bookmarkStart w:id="204" w:name="_Toc247513974"/>
      <w:bookmarkStart w:id="205" w:name="_Toc247527575"/>
      <w:bookmarkStart w:id="206" w:name="_Toc144974518"/>
      <w:bookmarkStart w:id="207" w:name="_Toc29902"/>
      <w:bookmarkStart w:id="208" w:name="_Toc152045550"/>
      <w:bookmarkStart w:id="209" w:name="_Toc384308232"/>
      <w:r>
        <w:rPr>
          <w:rFonts w:hint="default" w:ascii="Times New Roman" w:hAnsi="Times New Roman" w:eastAsia="宋体" w:cs="Times New Roman"/>
          <w:color w:val="auto"/>
          <w:sz w:val="24"/>
          <w:highlight w:val="none"/>
        </w:rPr>
        <w:t>施工组织设计的</w:t>
      </w:r>
      <w:bookmarkEnd w:id="199"/>
      <w:bookmarkEnd w:id="200"/>
      <w:bookmarkEnd w:id="201"/>
      <w:bookmarkEnd w:id="202"/>
      <w:bookmarkEnd w:id="203"/>
      <w:bookmarkEnd w:id="204"/>
      <w:bookmarkEnd w:id="205"/>
      <w:bookmarkEnd w:id="206"/>
      <w:bookmarkEnd w:id="207"/>
      <w:bookmarkEnd w:id="208"/>
      <w:bookmarkEnd w:id="209"/>
      <w:r>
        <w:rPr>
          <w:rFonts w:hint="default" w:ascii="Times New Roman" w:hAnsi="Times New Roman" w:eastAsia="宋体" w:cs="Times New Roman"/>
          <w:color w:val="auto"/>
          <w:sz w:val="24"/>
          <w:highlight w:val="none"/>
        </w:rPr>
        <w:t>，视为提供备选方案。</w:t>
      </w:r>
    </w:p>
    <w:p w14:paraId="19CEF2FF">
      <w:pPr>
        <w:pStyle w:val="2"/>
        <w:pageBreakBefore w:val="0"/>
        <w:kinsoku/>
        <w:wordWrap w:val="0"/>
        <w:bidi w:val="0"/>
        <w:outlineLvl w:val="2"/>
        <w:rPr>
          <w:rFonts w:hint="default" w:ascii="Times New Roman" w:hAnsi="Times New Roman" w:cs="Times New Roman"/>
          <w:color w:val="auto"/>
          <w:highlight w:val="none"/>
        </w:rPr>
      </w:pPr>
      <w:bookmarkStart w:id="210" w:name="_Toc10660"/>
      <w:bookmarkStart w:id="211" w:name="_Toc4837"/>
      <w:bookmarkStart w:id="212" w:name="_Toc13945"/>
      <w:bookmarkStart w:id="213" w:name="_Toc234832896"/>
      <w:r>
        <w:rPr>
          <w:rFonts w:hint="default" w:ascii="Times New Roman" w:hAnsi="Times New Roman" w:cs="Times New Roman"/>
          <w:color w:val="auto"/>
          <w:highlight w:val="none"/>
        </w:rPr>
        <w:t>3.7 投标文件的编制</w:t>
      </w:r>
      <w:bookmarkEnd w:id="210"/>
      <w:bookmarkEnd w:id="211"/>
      <w:bookmarkEnd w:id="212"/>
      <w:bookmarkEnd w:id="213"/>
    </w:p>
    <w:p w14:paraId="4A56497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3.7.1 投标文件应按第九章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进行编写，如有必要，可以增加附页，作为投标文件的组成部分。其中，投标函附录在满足招标文件实质性要求的基础上，可以提出比招标文件要求更有利于招标人的承诺。</w:t>
      </w:r>
    </w:p>
    <w:p w14:paraId="67E1C52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3.7.2 投标文件应对招标文件有关工期、投标有效期、质量要求、安全目标、技术标准和要求、招标范围等实质性内容作出响应。</w:t>
      </w:r>
    </w:p>
    <w:p w14:paraId="0F0DC07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3.7.3 投标文件的制作应满足以下规定：</w:t>
      </w:r>
    </w:p>
    <w:p w14:paraId="56049F7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（1）投标文件由投标人使用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自带的</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制作生成。</w:t>
      </w:r>
    </w:p>
    <w:p w14:paraId="1B78D44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（2）投标人在编制投标文件时应建立分级目录，并按照标签提示导入相关内容。</w:t>
      </w:r>
    </w:p>
    <w:p w14:paraId="5D57F1C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，应从</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主体信息库</w:t>
      </w:r>
      <w:r>
        <w:rPr>
          <w:rFonts w:hint="default" w:ascii="Times New Roman" w:hAnsi="Times New Roman" w:cs="Times New Roman"/>
          <w:color w:val="auto"/>
          <w:sz w:val="24"/>
          <w:szCs w:val="24"/>
          <w:highlight w:val="none"/>
        </w:rPr>
        <w:t>中选择并进行超链接，未标示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的证明资料均应直接制作生成。</w:t>
      </w:r>
    </w:p>
    <w:p w14:paraId="2C426F4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（4）投标文件中的已标价报价清单数据文件应与招标人提供的报价清单数据文件格式一致。</w:t>
      </w:r>
    </w:p>
    <w:p w14:paraId="69E58466">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（5）第</w:t>
      </w:r>
      <w:r>
        <w:rPr>
          <w:rFonts w:hint="default" w:ascii="Times New Roman" w:hAnsi="Times New Roman" w:cs="Times New Roman"/>
          <w:color w:val="auto"/>
          <w:sz w:val="24"/>
          <w:szCs w:val="24"/>
          <w:highlight w:val="none"/>
          <w:lang w:val="en-US" w:eastAsia="zh-CN"/>
        </w:rPr>
        <w:t>九</w:t>
      </w:r>
      <w:r>
        <w:rPr>
          <w:rFonts w:hint="default" w:ascii="Times New Roman" w:hAnsi="Times New Roman" w:cs="Times New Roman"/>
          <w:color w:val="auto"/>
          <w:sz w:val="24"/>
          <w:szCs w:val="24"/>
          <w:highlight w:val="none"/>
        </w:rPr>
        <w:t>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投标文件格式</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中要求盖单位章和（或）签字的地方，投标人均应使用CA 数字证书加盖投标人的单位电子印章和（或）法定代表人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。联合体投标的，投标文件由联合体牵头人按上述规定加盖联合体牵头人单位电子印章和（或）法定代表人</w:t>
      </w:r>
      <w:r>
        <w:rPr>
          <w:rFonts w:hint="default" w:ascii="Times New Roman" w:hAnsi="Times New Roman" w:cs="Times New Roman"/>
          <w:color w:val="auto"/>
          <w:sz w:val="24"/>
          <w:szCs w:val="24"/>
          <w:highlight w:val="none"/>
          <w:lang w:val="en-US" w:eastAsia="zh-CN"/>
        </w:rPr>
        <w:t>或</w:t>
      </w:r>
      <w:r>
        <w:rPr>
          <w:rFonts w:hint="eastAsia"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委托代理人</w:t>
      </w:r>
      <w:r>
        <w:rPr>
          <w:rFonts w:hint="default" w:ascii="Times New Roman" w:hAnsi="Times New Roman" w:cs="Times New Roman"/>
          <w:color w:val="auto"/>
          <w:sz w:val="24"/>
          <w:szCs w:val="24"/>
          <w:highlight w:val="none"/>
        </w:rPr>
        <w:t>的个人电子印章或</w:t>
      </w:r>
      <w:r>
        <w:rPr>
          <w:rFonts w:hint="eastAsia" w:cs="Times New Roman"/>
          <w:color w:val="auto"/>
          <w:sz w:val="24"/>
          <w:szCs w:val="24"/>
          <w:highlight w:val="none"/>
          <w:lang w:eastAsia="zh-CN"/>
        </w:rPr>
        <w:t>电子签名</w:t>
      </w:r>
      <w:r>
        <w:rPr>
          <w:rFonts w:hint="default" w:ascii="Times New Roman" w:hAnsi="Times New Roman" w:cs="Times New Roman"/>
          <w:color w:val="auto"/>
          <w:sz w:val="24"/>
          <w:szCs w:val="24"/>
          <w:highlight w:val="none"/>
        </w:rPr>
        <w:t>。</w:t>
      </w:r>
    </w:p>
    <w:p w14:paraId="28CC0E5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（6）投标文件制作完成后，投标人应使用CA 数字证书对投标文件进行文件加密，形成加密的投标文件。</w:t>
      </w:r>
    </w:p>
    <w:p w14:paraId="6E94776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（7）投标文件制作的具体方法详见</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中的</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操作指南</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rPr>
        <w:t>。</w:t>
      </w:r>
    </w:p>
    <w:p w14:paraId="5A5B75BF">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3.7.4 因投标人自身原因而导致投标文件无法导入</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电子开标、评标系统，该投标视为无效投标，投标人自行承担由此导致的全部责任</w:t>
      </w:r>
      <w:r>
        <w:rPr>
          <w:rFonts w:hint="default" w:ascii="Times New Roman" w:hAnsi="Times New Roman" w:cs="Times New Roman"/>
          <w:color w:val="auto"/>
          <w:sz w:val="24"/>
          <w:szCs w:val="24"/>
          <w:highlight w:val="none"/>
          <w:lang w:eastAsia="zh-CN"/>
        </w:rPr>
        <w:t>。</w:t>
      </w:r>
    </w:p>
    <w:p w14:paraId="633F04B2">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3.7.5 </w:t>
      </w:r>
      <w:r>
        <w:rPr>
          <w:rFonts w:hint="default" w:ascii="Times New Roman" w:hAnsi="Times New Roman" w:cs="Times New Roman"/>
          <w:color w:val="auto"/>
          <w:sz w:val="24"/>
          <w:szCs w:val="24"/>
          <w:highlight w:val="none"/>
        </w:rPr>
        <w:t>投标文件上传的要求</w:t>
      </w:r>
      <w:r>
        <w:rPr>
          <w:rFonts w:hint="default" w:ascii="Times New Roman" w:hAnsi="Times New Roman" w:cs="Times New Roman"/>
          <w:color w:val="auto"/>
          <w:sz w:val="24"/>
          <w:szCs w:val="24"/>
          <w:highlight w:val="none"/>
          <w:lang w:val="en-US" w:eastAsia="zh-CN"/>
        </w:rPr>
        <w:t>：见投标人须知前附表。</w:t>
      </w:r>
    </w:p>
    <w:p w14:paraId="7FEDA837">
      <w:pPr>
        <w:pStyle w:val="15"/>
        <w:pageBreakBefore w:val="0"/>
        <w:kinsoku/>
        <w:wordWrap w:val="0"/>
        <w:topLinePunct/>
        <w:bidi w:val="0"/>
        <w:spacing w:line="400" w:lineRule="atLeast"/>
        <w:ind w:firstLine="480" w:firstLineChars="200"/>
        <w:rPr>
          <w:rFonts w:hint="default" w:ascii="Times New Roman" w:hAnsi="Times New Roman" w:eastAsia="宋体" w:cs="Times New Roman"/>
          <w:color w:val="auto"/>
          <w:szCs w:val="24"/>
          <w:highlight w:val="none"/>
        </w:rPr>
      </w:pPr>
      <w:r>
        <w:rPr>
          <w:rFonts w:hint="default" w:ascii="Times New Roman" w:hAnsi="Times New Roman" w:cs="Times New Roman"/>
          <w:color w:val="auto"/>
          <w:sz w:val="24"/>
          <w:szCs w:val="24"/>
          <w:highlight w:val="none"/>
        </w:rPr>
        <w:t>3.7.</w:t>
      </w:r>
      <w:r>
        <w:rPr>
          <w:rFonts w:hint="default" w:ascii="Times New Roman" w:hAnsi="Times New Roman" w:cs="Times New Roman"/>
          <w:color w:val="auto"/>
          <w:sz w:val="24"/>
          <w:szCs w:val="24"/>
          <w:highlight w:val="none"/>
          <w:lang w:val="en-US" w:eastAsia="zh-CN"/>
        </w:rPr>
        <w:t>6 投标文件其他要求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见投标人须知前附表。</w:t>
      </w:r>
    </w:p>
    <w:p w14:paraId="7A8BB656">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14" w:name="_Toc3604"/>
      <w:bookmarkStart w:id="215" w:name="_Toc17066"/>
      <w:bookmarkStart w:id="216" w:name="_Toc234832897"/>
      <w:bookmarkStart w:id="217" w:name="_Toc25479"/>
      <w:r>
        <w:rPr>
          <w:rFonts w:hint="default" w:ascii="Times New Roman" w:hAnsi="Times New Roman" w:eastAsia="黑体" w:cs="Times New Roman"/>
          <w:b w:val="0"/>
          <w:color w:val="auto"/>
          <w:sz w:val="28"/>
          <w:szCs w:val="28"/>
          <w:highlight w:val="none"/>
        </w:rPr>
        <w:t>4. 投标</w:t>
      </w:r>
      <w:bookmarkEnd w:id="214"/>
      <w:bookmarkEnd w:id="215"/>
      <w:bookmarkEnd w:id="216"/>
      <w:bookmarkEnd w:id="217"/>
      <w:r>
        <w:rPr>
          <w:rFonts w:hint="default" w:ascii="Times New Roman" w:hAnsi="Times New Roman" w:eastAsia="黑体" w:cs="Times New Roman"/>
          <w:b w:val="0"/>
          <w:color w:val="auto"/>
          <w:sz w:val="28"/>
          <w:szCs w:val="28"/>
          <w:highlight w:val="none"/>
        </w:rPr>
        <w:tab/>
      </w:r>
    </w:p>
    <w:p w14:paraId="6CD44FC3">
      <w:pPr>
        <w:pStyle w:val="2"/>
        <w:pageBreakBefore w:val="0"/>
        <w:kinsoku/>
        <w:wordWrap w:val="0"/>
        <w:bidi w:val="0"/>
        <w:outlineLvl w:val="2"/>
        <w:rPr>
          <w:rFonts w:hint="default" w:ascii="Times New Roman" w:hAnsi="Times New Roman" w:cs="Times New Roman"/>
          <w:color w:val="auto"/>
          <w:highlight w:val="none"/>
        </w:rPr>
      </w:pPr>
      <w:bookmarkStart w:id="218" w:name="_Toc26001"/>
      <w:bookmarkStart w:id="219" w:name="_Toc17200"/>
      <w:bookmarkStart w:id="220" w:name="_Toc2664"/>
      <w:bookmarkStart w:id="221" w:name="_Toc21870"/>
      <w:r>
        <w:rPr>
          <w:rFonts w:hint="default" w:ascii="Times New Roman" w:hAnsi="Times New Roman" w:cs="Times New Roman"/>
          <w:color w:val="auto"/>
          <w:highlight w:val="none"/>
        </w:rPr>
        <w:t>4.1 投标文件的密封和标记</w:t>
      </w:r>
      <w:bookmarkEnd w:id="218"/>
      <w:bookmarkEnd w:id="219"/>
      <w:bookmarkEnd w:id="220"/>
      <w:bookmarkEnd w:id="221"/>
    </w:p>
    <w:p w14:paraId="1B11954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投标文件应按照本章第3.7.3项要求制作并加密，未按要求加密的投标文件，招标人（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）将拒绝接收并提示。</w:t>
      </w:r>
    </w:p>
    <w:p w14:paraId="2B44AD0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p>
    <w:p w14:paraId="2B75E028">
      <w:pPr>
        <w:pStyle w:val="2"/>
        <w:pageBreakBefore w:val="0"/>
        <w:kinsoku/>
        <w:wordWrap w:val="0"/>
        <w:bidi w:val="0"/>
        <w:outlineLvl w:val="2"/>
        <w:rPr>
          <w:rFonts w:hint="default" w:ascii="Times New Roman" w:hAnsi="Times New Roman" w:cs="Times New Roman"/>
          <w:color w:val="auto"/>
          <w:highlight w:val="none"/>
        </w:rPr>
      </w:pPr>
      <w:bookmarkStart w:id="222" w:name="_Toc26071"/>
      <w:bookmarkStart w:id="223" w:name="_Toc10897"/>
      <w:bookmarkStart w:id="224" w:name="_Toc10211"/>
      <w:bookmarkStart w:id="225" w:name="_Toc8968"/>
      <w:r>
        <w:rPr>
          <w:rFonts w:hint="default" w:ascii="Times New Roman" w:hAnsi="Times New Roman" w:cs="Times New Roman"/>
          <w:color w:val="auto"/>
          <w:highlight w:val="none"/>
        </w:rPr>
        <w:t>4.2 投标文件的递交</w:t>
      </w:r>
      <w:bookmarkEnd w:id="222"/>
      <w:bookmarkEnd w:id="223"/>
      <w:bookmarkEnd w:id="224"/>
      <w:bookmarkEnd w:id="225"/>
    </w:p>
    <w:p w14:paraId="481A8B3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4.2.1 投标人应在第一章</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招标公告</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规定的投标截止时间前，通过互联网使用CA数字证书登录</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）将拒绝接收。</w:t>
      </w:r>
    </w:p>
    <w:p w14:paraId="756A47C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4.2.2 根据本章第4.1款的规定，投标人递交的投标文件，只要出现应当拒收的情形，其投标文件予以拒收。</w:t>
      </w:r>
    </w:p>
    <w:p w14:paraId="660ACC57">
      <w:pPr>
        <w:pStyle w:val="2"/>
        <w:pageBreakBefore w:val="0"/>
        <w:kinsoku/>
        <w:wordWrap w:val="0"/>
        <w:bidi w:val="0"/>
        <w:outlineLvl w:val="2"/>
        <w:rPr>
          <w:rFonts w:hint="default" w:ascii="Times New Roman" w:hAnsi="Times New Roman" w:cs="Times New Roman"/>
          <w:color w:val="auto"/>
          <w:highlight w:val="none"/>
        </w:rPr>
      </w:pPr>
      <w:bookmarkStart w:id="226" w:name="_Toc10369"/>
      <w:bookmarkStart w:id="227" w:name="_Toc31061"/>
      <w:bookmarkStart w:id="228" w:name="_Toc16651"/>
      <w:bookmarkStart w:id="229" w:name="_Toc19209"/>
      <w:r>
        <w:rPr>
          <w:rFonts w:hint="default" w:ascii="Times New Roman" w:hAnsi="Times New Roman" w:cs="Times New Roman"/>
          <w:color w:val="auto"/>
          <w:highlight w:val="none"/>
        </w:rPr>
        <w:t>4.3 投标文件的修改与撤回</w:t>
      </w:r>
      <w:bookmarkEnd w:id="226"/>
      <w:bookmarkEnd w:id="227"/>
      <w:bookmarkEnd w:id="228"/>
      <w:bookmarkEnd w:id="229"/>
    </w:p>
    <w:p w14:paraId="32DFE09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4.3.1 在本章第4.2.1项规定的投标截止时间前，投标人可以修改或撤回已递交的投标文件。投标人对加密的投标文件进行撤回的，应在</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直接进行撤回操作；投标人对加密的投标文件进行修改的，应在投标截止时间前完成上传。</w:t>
      </w:r>
    </w:p>
    <w:p w14:paraId="0DA8CB4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4.3.2 投标人修改投标文件的，应使用</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投标文件制作工具</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制作成完整的投标文件，并按照本章第3条、第4条规定进行编制、加密和递交。对采用网上递交的加密的投标文件，以投标截止时间前最后完成上传的文件为准。</w:t>
      </w:r>
    </w:p>
    <w:p w14:paraId="28F115D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4.3.3 投标人撤回投标文件的，招标人自收到投标人书面撤回通知之日起5日内退还已收取的投标保证金。</w:t>
      </w:r>
    </w:p>
    <w:p w14:paraId="2B0AC6BA">
      <w:pPr>
        <w:pStyle w:val="2"/>
        <w:pageBreakBefore w:val="0"/>
        <w:kinsoku/>
        <w:wordWrap w:val="0"/>
        <w:bidi w:val="0"/>
        <w:outlineLvl w:val="1"/>
        <w:rPr>
          <w:rFonts w:hint="default" w:ascii="Times New Roman" w:hAnsi="Times New Roman" w:cs="Times New Roman"/>
          <w:color w:val="auto"/>
          <w:highlight w:val="none"/>
        </w:rPr>
      </w:pPr>
      <w:bookmarkStart w:id="230" w:name="_Toc1833"/>
      <w:bookmarkStart w:id="231" w:name="_Toc29100"/>
      <w:bookmarkStart w:id="232" w:name="_Toc31196"/>
      <w:bookmarkStart w:id="233" w:name="_Toc234832901"/>
      <w:r>
        <w:rPr>
          <w:rFonts w:hint="default" w:ascii="Times New Roman" w:hAnsi="Times New Roman" w:cs="Times New Roman"/>
          <w:color w:val="auto"/>
          <w:highlight w:val="none"/>
        </w:rPr>
        <w:t>5. 开标</w:t>
      </w:r>
      <w:bookmarkEnd w:id="230"/>
      <w:bookmarkEnd w:id="231"/>
      <w:bookmarkEnd w:id="232"/>
      <w:bookmarkEnd w:id="233"/>
    </w:p>
    <w:p w14:paraId="7B74B303">
      <w:pPr>
        <w:pStyle w:val="2"/>
        <w:pageBreakBefore w:val="0"/>
        <w:kinsoku/>
        <w:wordWrap w:val="0"/>
        <w:bidi w:val="0"/>
        <w:outlineLvl w:val="2"/>
        <w:rPr>
          <w:rFonts w:hint="default" w:ascii="Times New Roman" w:hAnsi="Times New Roman" w:cs="Times New Roman"/>
          <w:color w:val="auto"/>
          <w:highlight w:val="none"/>
        </w:rPr>
      </w:pPr>
      <w:bookmarkStart w:id="234" w:name="_Toc22056"/>
      <w:bookmarkStart w:id="235" w:name="_Toc2581"/>
      <w:bookmarkStart w:id="236" w:name="_Toc6841"/>
      <w:bookmarkStart w:id="237" w:name="_Toc234832902"/>
      <w:r>
        <w:rPr>
          <w:rFonts w:hint="default" w:ascii="Times New Roman" w:hAnsi="Times New Roman" w:cs="Times New Roman"/>
          <w:color w:val="auto"/>
          <w:highlight w:val="none"/>
        </w:rPr>
        <w:t>5.1 开标时间和地点</w:t>
      </w:r>
      <w:bookmarkEnd w:id="234"/>
      <w:bookmarkEnd w:id="235"/>
      <w:bookmarkEnd w:id="236"/>
    </w:p>
    <w:p w14:paraId="1D5D934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5.1.1 招标人在投标人须知前附表规定的投标截止时间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开标时间</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和地点在</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辽宁省公共资源交易中心不见面开标大厅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不见面开标大厅</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）上公开进行第一个信封（商务及技术文件）开标，所有投标人均应当准时在线参加开标。</w:t>
      </w:r>
    </w:p>
    <w:p w14:paraId="4579736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招标人还将在投标人须知前附表规定的时间和地点对投标文件第二个信封（报价文件）在</w:t>
      </w:r>
      <w:r>
        <w:rPr>
          <w:rFonts w:hint="eastAsia" w:ascii="宋体" w:hAnsi="宋体" w:eastAsia="宋体" w:cs="宋体"/>
          <w:color w:val="auto"/>
          <w:sz w:val="24"/>
          <w:highlight w:val="none"/>
        </w:rPr>
        <w:t>“不见面开标大厅”</w:t>
      </w:r>
      <w:r>
        <w:rPr>
          <w:rFonts w:hint="default" w:ascii="Times New Roman" w:hAnsi="Times New Roman" w:eastAsia="宋体" w:cs="Times New Roman"/>
          <w:color w:val="auto"/>
          <w:sz w:val="24"/>
          <w:highlight w:val="none"/>
        </w:rPr>
        <w:t>进行公开开标，并邀请所有投标人代表准时参加。</w:t>
      </w:r>
    </w:p>
    <w:p w14:paraId="7213C2E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投标人代表应按时参加第一个信封（商务及技术文件）及第二个信封（报价文件）</w:t>
      </w:r>
      <w:r>
        <w:rPr>
          <w:rFonts w:hint="eastAsia" w:cs="Times New Roman"/>
          <w:color w:val="auto"/>
          <w:sz w:val="24"/>
          <w:highlight w:val="none"/>
          <w:lang w:val="en-US" w:eastAsia="zh-CN"/>
        </w:rPr>
        <w:t>线上</w:t>
      </w:r>
      <w:r>
        <w:rPr>
          <w:rFonts w:hint="default" w:ascii="Times New Roman" w:hAnsi="Times New Roman" w:eastAsia="宋体" w:cs="Times New Roman"/>
          <w:color w:val="auto"/>
          <w:sz w:val="24"/>
          <w:highlight w:val="none"/>
        </w:rPr>
        <w:t>开标会。</w:t>
      </w:r>
    </w:p>
    <w:p w14:paraId="3D078F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5.1.2 投标人应当在能够保证设施设备可靠、互联网畅通的任意地点，通过互联网在线参加开标，并实时在线关注招标人的操作情况。</w:t>
      </w:r>
    </w:p>
    <w:p w14:paraId="411DD11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bookmarkEnd w:id="237"/>
    <w:p w14:paraId="693FAC08">
      <w:pPr>
        <w:pStyle w:val="2"/>
        <w:pageBreakBefore w:val="0"/>
        <w:kinsoku/>
        <w:wordWrap w:val="0"/>
        <w:bidi w:val="0"/>
        <w:outlineLvl w:val="2"/>
        <w:rPr>
          <w:rFonts w:hint="default" w:ascii="Times New Roman" w:hAnsi="Times New Roman" w:cs="Times New Roman"/>
          <w:color w:val="auto"/>
          <w:highlight w:val="none"/>
        </w:rPr>
      </w:pPr>
      <w:bookmarkStart w:id="238" w:name="_Toc29801"/>
      <w:bookmarkStart w:id="239" w:name="_Toc17800"/>
      <w:bookmarkStart w:id="240" w:name="_Toc8283"/>
      <w:r>
        <w:rPr>
          <w:rFonts w:hint="default" w:ascii="Times New Roman" w:hAnsi="Times New Roman" w:cs="Times New Roman"/>
          <w:color w:val="auto"/>
          <w:highlight w:val="none"/>
        </w:rPr>
        <w:t>5.2开标程序</w:t>
      </w:r>
      <w:bookmarkEnd w:id="238"/>
      <w:bookmarkEnd w:id="239"/>
      <w:bookmarkEnd w:id="240"/>
    </w:p>
    <w:p w14:paraId="3F6F7E0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5.2.1 主持人按下列程序对投标文件第一个信封（商务及技术文件）进行开标：</w:t>
      </w:r>
    </w:p>
    <w:p w14:paraId="2FBFD4B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47CA14B5">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（2）公布在投标截止时间前递交</w:t>
      </w:r>
      <w:r>
        <w:rPr>
          <w:rFonts w:hint="default" w:ascii="Times New Roman" w:hAnsi="Times New Roman" w:cs="Times New Roman"/>
          <w:color w:val="auto"/>
          <w:sz w:val="24"/>
          <w:szCs w:val="24"/>
          <w:highlight w:val="none"/>
          <w:lang w:val="en-US" w:eastAsia="zh-CN"/>
        </w:rPr>
        <w:t>至</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电子交易平台</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投标文件的投标人数量；</w:t>
      </w:r>
    </w:p>
    <w:p w14:paraId="49A2CA5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p>
    <w:p w14:paraId="6116D79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）招标人对未成功解密的投标文件进行退回并按本章第5.3款进行补救处理；</w:t>
      </w:r>
    </w:p>
    <w:p w14:paraId="5F886487">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）导入并读取所有解密成功的投标文件第一个信封（商务及技术文件）的内容；</w:t>
      </w:r>
    </w:p>
    <w:p w14:paraId="72DBC58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）公布标段名称、投标人名称的递交情况、</w:t>
      </w:r>
      <w:r>
        <w:rPr>
          <w:rFonts w:hint="eastAsia" w:cs="Times New Roman"/>
          <w:color w:val="auto"/>
          <w:sz w:val="24"/>
          <w:szCs w:val="24"/>
          <w:highlight w:val="none"/>
          <w:lang w:val="en-US" w:eastAsia="zh-CN"/>
        </w:rPr>
        <w:t>工期</w:t>
      </w:r>
      <w:r>
        <w:rPr>
          <w:rFonts w:hint="default" w:ascii="Times New Roman" w:hAnsi="Times New Roman" w:cs="Times New Roman"/>
          <w:color w:val="auto"/>
          <w:sz w:val="24"/>
          <w:szCs w:val="24"/>
          <w:highlight w:val="none"/>
        </w:rPr>
        <w:t>及其他内容，并记录在案；</w:t>
      </w:r>
    </w:p>
    <w:p w14:paraId="0EA0681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lang w:val="en-US" w:eastAsia="zh-CN"/>
        </w:rPr>
        <w:t>“</w:t>
      </w:r>
      <w:r>
        <w:rPr>
          <w:rFonts w:hint="eastAsia" w:cs="Times New Roman"/>
          <w:color w:val="auto"/>
          <w:sz w:val="24"/>
          <w:szCs w:val="24"/>
          <w:highlight w:val="none"/>
          <w:lang w:val="en-US" w:eastAsia="zh-CN"/>
        </w:rPr>
        <w:t>不见面开标大厅</w:t>
      </w:r>
      <w:r>
        <w:rPr>
          <w:rFonts w:hint="eastAsia" w:ascii="宋体" w:hAnsi="宋体" w:eastAsia="宋体" w:cs="宋体"/>
          <w:color w:val="auto"/>
          <w:sz w:val="24"/>
          <w:szCs w:val="24"/>
          <w:highlight w:val="none"/>
          <w:lang w:val="en-US" w:eastAsia="zh-CN"/>
        </w:rPr>
        <w:t>”</w:t>
      </w:r>
      <w:r>
        <w:rPr>
          <w:rFonts w:hint="default" w:ascii="Times New Roman" w:hAnsi="Times New Roman" w:cs="Times New Roman"/>
          <w:color w:val="auto"/>
          <w:sz w:val="24"/>
          <w:szCs w:val="24"/>
          <w:highlight w:val="none"/>
        </w:rPr>
        <w:t>提出，否则视为无异议；</w:t>
      </w:r>
    </w:p>
    <w:p w14:paraId="5DED77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）开标结束</w:t>
      </w:r>
      <w:r>
        <w:rPr>
          <w:rFonts w:hint="default" w:ascii="Times New Roman" w:hAnsi="Times New Roman" w:eastAsia="宋体" w:cs="Times New Roman"/>
          <w:color w:val="auto"/>
          <w:sz w:val="24"/>
          <w:highlight w:val="none"/>
        </w:rPr>
        <w:t>。</w:t>
      </w:r>
    </w:p>
    <w:p w14:paraId="6B78A4FC">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5.2.2 投标文件第二个信封（报价文件）在投标文件第一个信封（商务及技术文件）完成评审前，</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电子交易平台</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的开标评标系统将不进行读取。</w:t>
      </w:r>
    </w:p>
    <w:p w14:paraId="1C007CF0">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5.2.3 招标人将按照本章第5.1款规定的时间和地点对投标文件第二个信封（报价文件）进行开标。主持人按下列程序进行开标：</w:t>
      </w:r>
    </w:p>
    <w:p w14:paraId="0348E554">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（1）宣布开标纪律；</w:t>
      </w:r>
    </w:p>
    <w:p w14:paraId="43ABC419">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（2）当众宣布通过投标文件第一个信封（商务及技术文件）评审的投标人名单；</w:t>
      </w:r>
    </w:p>
    <w:p w14:paraId="4F912AD9">
      <w:pPr>
        <w:pageBreakBefore w:val="0"/>
        <w:kinsoku/>
        <w:wordWrap w:val="0"/>
        <w:bidi w:val="0"/>
        <w:spacing w:line="40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eastAsia" w:ascii="宋体" w:hAnsi="宋体" w:cs="宋体"/>
          <w:color w:val="auto"/>
          <w:sz w:val="24"/>
          <w:szCs w:val="24"/>
          <w:highlight w:val="none"/>
          <w:lang w:val="en-US" w:eastAsia="zh-CN"/>
        </w:rPr>
        <w:t>对</w:t>
      </w:r>
      <w:r>
        <w:rPr>
          <w:rFonts w:hint="default" w:ascii="Times New Roman" w:hAnsi="Times New Roman" w:cs="Times New Roman"/>
          <w:color w:val="auto"/>
          <w:sz w:val="24"/>
          <w:szCs w:val="24"/>
          <w:highlight w:val="none"/>
        </w:rPr>
        <w:t>通过投标文件第一个信封（商务及技术文件）评审的投标人</w:t>
      </w:r>
      <w:r>
        <w:rPr>
          <w:rFonts w:hint="eastAsia" w:cs="Times New Roman"/>
          <w:color w:val="auto"/>
          <w:sz w:val="24"/>
          <w:szCs w:val="24"/>
          <w:highlight w:val="none"/>
          <w:lang w:val="en-US" w:eastAsia="zh-CN"/>
        </w:rPr>
        <w:t>进行随机分配投标标段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0D2C8663">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）通过投标文件第一个信封（商务及技术文件）评审的投标人代表</w:t>
      </w:r>
      <w:r>
        <w:rPr>
          <w:rFonts w:hint="default" w:ascii="Times New Roman" w:hAnsi="Times New Roman" w:cs="Times New Roman"/>
          <w:color w:val="auto"/>
          <w:sz w:val="24"/>
          <w:highlight w:val="none"/>
        </w:rPr>
        <w:t>通过互联网使用CA数字证书登录</w:t>
      </w:r>
      <w:r>
        <w:rPr>
          <w:rFonts w:hint="eastAsia" w:ascii="宋体" w:hAnsi="宋体" w:eastAsia="宋体" w:cs="宋体"/>
          <w:color w:val="auto"/>
          <w:sz w:val="24"/>
          <w:highlight w:val="none"/>
        </w:rPr>
        <w:t>“不见面开标大厅”</w:t>
      </w:r>
      <w:r>
        <w:rPr>
          <w:rFonts w:hint="default" w:ascii="Times New Roman" w:hAnsi="Times New Roman" w:cs="Times New Roman"/>
          <w:color w:val="auto"/>
          <w:sz w:val="24"/>
          <w:highlight w:val="none"/>
          <w:lang w:val="en-US" w:eastAsia="zh-CN"/>
        </w:rPr>
        <w:t>在投标人须知前附表规定的时间内</w:t>
      </w:r>
      <w:r>
        <w:rPr>
          <w:rFonts w:hint="default" w:ascii="Times New Roman" w:hAnsi="Times New Roman" w:cs="Times New Roman"/>
          <w:color w:val="auto"/>
          <w:sz w:val="24"/>
          <w:szCs w:val="24"/>
          <w:highlight w:val="none"/>
        </w:rPr>
        <w:t>解密加密的投标文件第二个信封（报价文件）；</w:t>
      </w:r>
    </w:p>
    <w:p w14:paraId="6BB5D4F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）招标人对未成功解密的投标文件进行退回并按本章第5.3款进行补救处理；</w:t>
      </w:r>
    </w:p>
    <w:p w14:paraId="628F9D8B">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）导入并读取所有通过投标文件第一个信封（商务及技术文件）评审的解密成功的投标文件第二个信封（报价文件）的内容；</w:t>
      </w:r>
    </w:p>
    <w:p w14:paraId="673BE138">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 xml:space="preserve">）公布标段名称、投标人名称、投标报价及其他内容，并记录在案； </w:t>
      </w:r>
    </w:p>
    <w:p w14:paraId="4FCABDB8">
      <w:pPr>
        <w:pageBreakBefore w:val="0"/>
        <w:kinsoku/>
        <w:wordWrap w:val="0"/>
        <w:bidi w:val="0"/>
        <w:spacing w:line="400" w:lineRule="exact"/>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随机抽取评标基准价计算方法、评标基准价系数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（如有）</w:t>
      </w:r>
    </w:p>
    <w:p w14:paraId="511A688D">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）投标人代表对开标记录进行确认。投标人代表对开标结果有异议的应在</w:t>
      </w:r>
      <w:r>
        <w:rPr>
          <w:rFonts w:hint="default" w:ascii="Times New Roman" w:hAnsi="Times New Roman" w:cs="Times New Roman"/>
          <w:color w:val="auto"/>
          <w:sz w:val="24"/>
          <w:szCs w:val="24"/>
          <w:highlight w:val="none"/>
          <w:lang w:val="en-US" w:eastAsia="zh-CN"/>
        </w:rPr>
        <w:t>规定时间内通过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提出，否则视为无异议；</w:t>
      </w:r>
    </w:p>
    <w:p w14:paraId="31BE2D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）开标结束。</w:t>
      </w:r>
    </w:p>
    <w:p w14:paraId="1340FC7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5.2.4 若采用合理低价法或综合评分法，在投标文件第二个信封（报价文件）开标现场，招标人将按第三章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规定的原则计算并宣布评标基准价。若招标人发现投标文件出现以下任一情况，其投标报价将不再参加评标基准价的计算：</w:t>
      </w:r>
    </w:p>
    <w:p w14:paraId="4870595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（1）未按要求在投标函上填写投标总价；</w:t>
      </w:r>
    </w:p>
    <w:p w14:paraId="5715EC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（2）投标报价超出招标人公布的最高投标限价（如有）</w:t>
      </w:r>
      <w:r>
        <w:rPr>
          <w:rFonts w:hint="eastAsia" w:cs="Times New Roman"/>
          <w:color w:val="auto"/>
          <w:sz w:val="24"/>
          <w:highlight w:val="none"/>
          <w:lang w:eastAsia="zh-CN"/>
        </w:rPr>
        <w:t>，或低于招标人公布的最高投标限价（如有）的 G</w:t>
      </w:r>
      <w:r>
        <w:rPr>
          <w:rStyle w:val="47"/>
          <w:rFonts w:hint="eastAsia" w:cs="Times New Roman"/>
          <w:color w:val="auto"/>
          <w:sz w:val="24"/>
          <w:highlight w:val="none"/>
          <w:lang w:eastAsia="zh-CN"/>
        </w:rPr>
        <w:footnoteReference w:id="29"/>
      </w:r>
      <w:r>
        <w:rPr>
          <w:rFonts w:hint="eastAsia" w:cs="Times New Roman"/>
          <w:color w:val="auto"/>
          <w:sz w:val="24"/>
          <w:highlight w:val="none"/>
          <w:lang w:eastAsia="zh-CN"/>
        </w:rPr>
        <w:t xml:space="preserve"> %</w:t>
      </w:r>
      <w:r>
        <w:rPr>
          <w:rFonts w:hint="default" w:ascii="Times New Roman" w:hAnsi="Times New Roman" w:eastAsia="宋体" w:cs="Times New Roman"/>
          <w:color w:val="auto"/>
          <w:sz w:val="24"/>
          <w:highlight w:val="none"/>
        </w:rPr>
        <w:t>；</w:t>
      </w:r>
    </w:p>
    <w:p w14:paraId="5FA774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（3）无法确定投标报价具体数值；</w:t>
      </w:r>
    </w:p>
    <w:p w14:paraId="68C2AAAE">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（4）投标函上填写的标段号与上传的对应项目标段号不一致（如分标段）。</w:t>
      </w:r>
    </w:p>
    <w:p w14:paraId="5BA406EF">
      <w:pPr>
        <w:pageBreakBefore w:val="0"/>
        <w:kinsoku/>
        <w:wordWrap w:val="0"/>
        <w:bidi w:val="0"/>
        <w:spacing w:line="4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如果投标人认为某</w:t>
      </w:r>
      <w:r>
        <w:rPr>
          <w:rFonts w:hint="eastAsia" w:cs="Times New Roman"/>
          <w:color w:val="auto"/>
          <w:sz w:val="24"/>
          <w:szCs w:val="24"/>
          <w:highlight w:val="none"/>
          <w:lang w:val="en-US" w:eastAsia="zh-CN"/>
        </w:rPr>
        <w:t>一</w:t>
      </w:r>
      <w:r>
        <w:rPr>
          <w:rFonts w:hint="eastAsia" w:cs="Times New Roman"/>
          <w:color w:val="auto"/>
          <w:sz w:val="24"/>
          <w:szCs w:val="24"/>
          <w:highlight w:val="none"/>
          <w:lang w:eastAsia="zh-CN"/>
        </w:rPr>
        <w:t>标段</w:t>
      </w:r>
      <w:r>
        <w:rPr>
          <w:rFonts w:hint="default" w:ascii="Times New Roman" w:hAnsi="Times New Roman" w:cs="Times New Roman"/>
          <w:color w:val="auto"/>
          <w:sz w:val="24"/>
          <w:szCs w:val="24"/>
          <w:highlight w:val="none"/>
        </w:rPr>
        <w:t>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2285CA8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5.2.5 在投标文件第一个信封（商务及技术文件）或第二个信封（报价文件）开标过程中，若</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的内容与投标文件不符，投标人有权在开标现场提出疑问，经招标人当场核查确认之后，可重新</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其</w:t>
      </w:r>
      <w:r>
        <w:rPr>
          <w:rFonts w:hint="eastAsia" w:cs="Times New Roman"/>
          <w:color w:val="auto"/>
          <w:sz w:val="24"/>
          <w:szCs w:val="24"/>
          <w:highlight w:val="none"/>
          <w:lang w:val="en-US" w:eastAsia="zh-CN"/>
        </w:rPr>
        <w:t>内容</w:t>
      </w:r>
      <w:r>
        <w:rPr>
          <w:rFonts w:hint="default" w:ascii="Times New Roman" w:hAnsi="Times New Roman" w:cs="Times New Roman"/>
          <w:color w:val="auto"/>
          <w:sz w:val="24"/>
          <w:szCs w:val="24"/>
          <w:highlight w:val="none"/>
        </w:rPr>
        <w:t>。若投标人现场未提出疑问，则认为投标人已确认</w:t>
      </w:r>
      <w:r>
        <w:rPr>
          <w:rFonts w:hint="default" w:ascii="Times New Roman" w:hAnsi="Times New Roman" w:cs="Times New Roman"/>
          <w:color w:val="auto"/>
          <w:sz w:val="24"/>
          <w:szCs w:val="24"/>
          <w:highlight w:val="none"/>
          <w:lang w:val="en-US" w:eastAsia="zh-CN"/>
        </w:rPr>
        <w:t>开标现场</w:t>
      </w:r>
      <w:r>
        <w:rPr>
          <w:rFonts w:hint="eastAsia" w:cs="Times New Roman"/>
          <w:color w:val="auto"/>
          <w:sz w:val="24"/>
          <w:szCs w:val="24"/>
          <w:highlight w:val="none"/>
          <w:lang w:val="en-US" w:eastAsia="zh-CN"/>
        </w:rPr>
        <w:t>公布</w:t>
      </w:r>
      <w:r>
        <w:rPr>
          <w:rFonts w:hint="default" w:ascii="Times New Roman" w:hAnsi="Times New Roman" w:cs="Times New Roman"/>
          <w:color w:val="auto"/>
          <w:sz w:val="24"/>
          <w:szCs w:val="24"/>
          <w:highlight w:val="none"/>
        </w:rPr>
        <w:t>的内容。</w:t>
      </w:r>
    </w:p>
    <w:p w14:paraId="7030CC37">
      <w:pPr>
        <w:pStyle w:val="2"/>
        <w:pageBreakBefore w:val="0"/>
        <w:kinsoku/>
        <w:wordWrap w:val="0"/>
        <w:bidi w:val="0"/>
        <w:outlineLvl w:val="2"/>
        <w:rPr>
          <w:rFonts w:hint="default" w:ascii="Times New Roman" w:hAnsi="Times New Roman" w:cs="Times New Roman"/>
          <w:color w:val="auto"/>
          <w:highlight w:val="none"/>
        </w:rPr>
      </w:pPr>
      <w:bookmarkStart w:id="241" w:name="_Toc29082"/>
      <w:bookmarkStart w:id="242" w:name="_Toc27278"/>
      <w:bookmarkStart w:id="243" w:name="_Toc24866"/>
      <w:r>
        <w:rPr>
          <w:rFonts w:hint="default" w:ascii="Times New Roman" w:hAnsi="Times New Roman" w:cs="Times New Roman"/>
          <w:color w:val="auto"/>
          <w:highlight w:val="none"/>
        </w:rPr>
        <w:t>5.3 开标补救措施</w:t>
      </w:r>
      <w:bookmarkEnd w:id="241"/>
      <w:bookmarkEnd w:id="242"/>
      <w:bookmarkEnd w:id="243"/>
    </w:p>
    <w:p w14:paraId="6BFD00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5.3.1 开标过程中因本章第5.3.2项、第5.3.3项所列原因，导致系统无法正常运行，将按投标人须知前附表的规定采取补救措施。</w:t>
      </w:r>
    </w:p>
    <w:p w14:paraId="730641A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5.3.2 因</w:t>
      </w:r>
      <w:r>
        <w:rPr>
          <w:rFonts w:hint="eastAsia" w:ascii="宋体" w:hAnsi="宋体" w:eastAsia="宋体" w:cs="宋体"/>
          <w:color w:val="auto"/>
          <w:sz w:val="24"/>
          <w:highlight w:val="none"/>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系统故障导致投标人无法正常上传加密的投标文件，投标人应打印并递交</w:t>
      </w:r>
      <w:r>
        <w:rPr>
          <w:rFonts w:hint="eastAsia" w:cs="Times New Roman"/>
          <w:color w:val="auto"/>
          <w:sz w:val="24"/>
          <w:highlight w:val="none"/>
          <w:lang w:eastAsia="zh-CN"/>
        </w:rPr>
        <w:t>电子交易平台</w:t>
      </w:r>
      <w:r>
        <w:rPr>
          <w:rFonts w:hint="default" w:ascii="Times New Roman" w:hAnsi="Times New Roman" w:eastAsia="宋体" w:cs="Times New Roman"/>
          <w:color w:val="auto"/>
          <w:sz w:val="24"/>
          <w:highlight w:val="none"/>
        </w:rPr>
        <w:t>自动生成的上传失败的异常记录单。</w:t>
      </w:r>
    </w:p>
    <w:p w14:paraId="1752AB8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5.3.3 当出现以下情况时，应对未开标的中止电子开标，并在恢复正常后及时安排时间开标：</w:t>
      </w:r>
    </w:p>
    <w:p w14:paraId="45901D4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（1）系统服务器发生故障，无法访问或无法使用系统；</w:t>
      </w:r>
    </w:p>
    <w:p w14:paraId="548EB93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（2）系统的软件或数据库出现错误，不能进行正常操作；</w:t>
      </w:r>
    </w:p>
    <w:p w14:paraId="2A75CF0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（3）系统发现有安全漏洞，有潜在的泄密危险；</w:t>
      </w:r>
    </w:p>
    <w:p w14:paraId="63A4EF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（4）出现断电事故且短时间内无法恢复供电；</w:t>
      </w:r>
    </w:p>
    <w:p w14:paraId="2B8A820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（5）其他无法保证招投标过程正常进行的情形。</w:t>
      </w:r>
    </w:p>
    <w:p w14:paraId="7ADD0C7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5.3.4 采取补救措施时，必须对原有资料及信息作出妥善保密处理。</w:t>
      </w:r>
    </w:p>
    <w:p w14:paraId="67937B85">
      <w:pPr>
        <w:pStyle w:val="2"/>
        <w:pageBreakBefore w:val="0"/>
        <w:kinsoku/>
        <w:wordWrap w:val="0"/>
        <w:bidi w:val="0"/>
        <w:outlineLvl w:val="2"/>
        <w:rPr>
          <w:rFonts w:hint="default" w:ascii="Times New Roman" w:hAnsi="Times New Roman" w:cs="Times New Roman"/>
          <w:color w:val="auto"/>
          <w:highlight w:val="none"/>
        </w:rPr>
      </w:pPr>
      <w:bookmarkStart w:id="244" w:name="_Toc20631"/>
      <w:bookmarkStart w:id="245" w:name="_Toc11803"/>
      <w:bookmarkStart w:id="246" w:name="_Toc3488"/>
      <w:r>
        <w:rPr>
          <w:rFonts w:hint="default" w:ascii="Times New Roman" w:hAnsi="Times New Roman" w:cs="Times New Roman"/>
          <w:color w:val="auto"/>
          <w:highlight w:val="none"/>
        </w:rPr>
        <w:t>5.4开标异议</w:t>
      </w:r>
      <w:bookmarkEnd w:id="244"/>
      <w:bookmarkEnd w:id="245"/>
      <w:bookmarkEnd w:id="246"/>
    </w:p>
    <w:p w14:paraId="19A68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u w:val="single"/>
        </w:rPr>
      </w:pPr>
      <w:r>
        <w:rPr>
          <w:rFonts w:hint="default" w:ascii="Times New Roman" w:hAnsi="Times New Roman" w:cs="Times New Roman"/>
          <w:color w:val="auto"/>
          <w:sz w:val="24"/>
          <w:szCs w:val="24"/>
          <w:highlight w:val="none"/>
        </w:rPr>
        <w:t>投标人对开标有异议的，应在开标现场</w:t>
      </w:r>
      <w:r>
        <w:rPr>
          <w:rFonts w:hint="default" w:ascii="Times New Roman" w:hAnsi="Times New Roman" w:cs="Times New Roman"/>
          <w:color w:val="auto"/>
          <w:sz w:val="24"/>
          <w:szCs w:val="24"/>
          <w:highlight w:val="none"/>
          <w:lang w:val="en-US" w:eastAsia="zh-CN"/>
        </w:rPr>
        <w:t>通过</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不见面开标大厅</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提出，招标人当场作出答复，并制作记录</w:t>
      </w:r>
      <w:r>
        <w:rPr>
          <w:rFonts w:hint="default" w:ascii="Times New Roman" w:hAnsi="Times New Roman" w:eastAsia="宋体" w:cs="Times New Roman"/>
          <w:color w:val="auto"/>
          <w:sz w:val="24"/>
          <w:highlight w:val="none"/>
        </w:rPr>
        <w:t>。</w:t>
      </w:r>
    </w:p>
    <w:p w14:paraId="33022C4E">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47" w:name="_Toc32026"/>
      <w:bookmarkStart w:id="248" w:name="_Toc26520"/>
      <w:bookmarkStart w:id="249" w:name="_Toc25227"/>
      <w:bookmarkStart w:id="250" w:name="_Toc234832906"/>
      <w:r>
        <w:rPr>
          <w:rFonts w:hint="default" w:ascii="Times New Roman" w:hAnsi="Times New Roman" w:eastAsia="黑体" w:cs="Times New Roman"/>
          <w:b w:val="0"/>
          <w:color w:val="auto"/>
          <w:sz w:val="28"/>
          <w:szCs w:val="28"/>
          <w:highlight w:val="none"/>
        </w:rPr>
        <w:t>6. 评标</w:t>
      </w:r>
      <w:bookmarkEnd w:id="247"/>
      <w:bookmarkEnd w:id="248"/>
      <w:bookmarkEnd w:id="249"/>
      <w:bookmarkEnd w:id="250"/>
    </w:p>
    <w:p w14:paraId="5F715567">
      <w:pPr>
        <w:pStyle w:val="2"/>
        <w:pageBreakBefore w:val="0"/>
        <w:kinsoku/>
        <w:wordWrap w:val="0"/>
        <w:bidi w:val="0"/>
        <w:outlineLvl w:val="2"/>
        <w:rPr>
          <w:rFonts w:hint="default" w:ascii="Times New Roman" w:hAnsi="Times New Roman" w:cs="Times New Roman"/>
          <w:color w:val="auto"/>
          <w:highlight w:val="none"/>
        </w:rPr>
      </w:pPr>
      <w:bookmarkStart w:id="251" w:name="_Toc475"/>
      <w:bookmarkStart w:id="252" w:name="_Toc21787"/>
      <w:bookmarkStart w:id="253" w:name="_Toc22353"/>
      <w:bookmarkStart w:id="254" w:name="_Toc234832907"/>
      <w:r>
        <w:rPr>
          <w:rFonts w:hint="default" w:ascii="Times New Roman" w:hAnsi="Times New Roman" w:cs="Times New Roman"/>
          <w:color w:val="auto"/>
          <w:highlight w:val="none"/>
        </w:rPr>
        <w:t>6.1评标委员会</w:t>
      </w:r>
      <w:bookmarkEnd w:id="251"/>
      <w:bookmarkEnd w:id="252"/>
      <w:bookmarkEnd w:id="253"/>
      <w:bookmarkEnd w:id="254"/>
    </w:p>
    <w:p w14:paraId="4C00044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6.1.1 评标由招标人依法组建的评标委员会负责。评标委员会由招标人或其委托熟悉相关业务的代表，以及有关技术、经济等方面的专家组成。评标委员会成员人数以及技术、经济等方面专家的确定方式见投标人须知前附表。</w:t>
      </w:r>
    </w:p>
    <w:p w14:paraId="75DB219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6.1.2 评标委员会成员有下列情形之一的，应主动提出回避：</w:t>
      </w:r>
    </w:p>
    <w:p w14:paraId="2594A68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（1）为负责招标项目监督管理的交通运输主管部门的工作人员；</w:t>
      </w:r>
    </w:p>
    <w:p w14:paraId="2D318A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（2）与投标人法定代表人或其委托代理人有近亲属关系；</w:t>
      </w:r>
    </w:p>
    <w:p w14:paraId="32B15FC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（3）为投标人的工作人员或退休人员；</w:t>
      </w:r>
    </w:p>
    <w:p w14:paraId="206C88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（4）与投标人有其他利害关系，可能影响评标活动公正性；</w:t>
      </w:r>
    </w:p>
    <w:p w14:paraId="179C62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（5）在与招标投标有关的活动中有过违法违规行为、曾受过行政处罚或刑事处罚。</w:t>
      </w:r>
    </w:p>
    <w:p w14:paraId="12C30C9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招标人及其子公司、招标人下属单位、招标人的上级主管部门或者控股公司、招标代理机构的工作人员或者退休人员不得以专家身份参与本单位招标或者招标代理项目的评标。</w:t>
      </w:r>
    </w:p>
    <w:p w14:paraId="107561E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6.1.3 评标过程中，评标委员会成员有回避事由、擅离职守或因健康等原因不能继续评标的，招标人有权更换。被更换的评标委员会成员作出的评审结论无效，由更换后的评标委员会成员重新进行评审。</w:t>
      </w:r>
    </w:p>
    <w:p w14:paraId="16355EA6">
      <w:pPr>
        <w:pStyle w:val="2"/>
        <w:pageBreakBefore w:val="0"/>
        <w:kinsoku/>
        <w:wordWrap w:val="0"/>
        <w:bidi w:val="0"/>
        <w:outlineLvl w:val="2"/>
        <w:rPr>
          <w:rFonts w:hint="default" w:ascii="Times New Roman" w:hAnsi="Times New Roman" w:cs="Times New Roman"/>
          <w:color w:val="auto"/>
          <w:highlight w:val="none"/>
        </w:rPr>
      </w:pPr>
      <w:bookmarkStart w:id="255" w:name="_Toc2946"/>
      <w:bookmarkStart w:id="256" w:name="_Toc9194"/>
      <w:bookmarkStart w:id="257" w:name="_Toc234832908"/>
      <w:bookmarkStart w:id="258" w:name="_Toc4844"/>
      <w:r>
        <w:rPr>
          <w:rFonts w:hint="default" w:ascii="Times New Roman" w:hAnsi="Times New Roman" w:cs="Times New Roman"/>
          <w:color w:val="auto"/>
          <w:highlight w:val="none"/>
        </w:rPr>
        <w:t>6.2 评标原则</w:t>
      </w:r>
      <w:bookmarkEnd w:id="255"/>
      <w:bookmarkEnd w:id="256"/>
      <w:bookmarkEnd w:id="257"/>
      <w:bookmarkEnd w:id="258"/>
    </w:p>
    <w:p w14:paraId="1D6E8F5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评标活动遵循公平、公正、科学和择优的原则。</w:t>
      </w:r>
    </w:p>
    <w:p w14:paraId="18F777DF">
      <w:pPr>
        <w:pStyle w:val="2"/>
        <w:pageBreakBefore w:val="0"/>
        <w:kinsoku/>
        <w:wordWrap w:val="0"/>
        <w:bidi w:val="0"/>
        <w:outlineLvl w:val="2"/>
        <w:rPr>
          <w:rFonts w:hint="default" w:ascii="Times New Roman" w:hAnsi="Times New Roman" w:cs="Times New Roman"/>
          <w:color w:val="auto"/>
          <w:highlight w:val="none"/>
        </w:rPr>
      </w:pPr>
      <w:bookmarkStart w:id="259" w:name="_Toc22506"/>
      <w:bookmarkStart w:id="260" w:name="_Toc234832909"/>
      <w:bookmarkStart w:id="261" w:name="_Toc32567"/>
      <w:bookmarkStart w:id="262" w:name="_Toc25028"/>
      <w:r>
        <w:rPr>
          <w:rFonts w:hint="default" w:ascii="Times New Roman" w:hAnsi="Times New Roman" w:cs="Times New Roman"/>
          <w:color w:val="auto"/>
          <w:highlight w:val="none"/>
        </w:rPr>
        <w:t>6.3 评标</w:t>
      </w:r>
      <w:bookmarkEnd w:id="259"/>
      <w:bookmarkEnd w:id="260"/>
      <w:bookmarkEnd w:id="261"/>
      <w:bookmarkEnd w:id="262"/>
    </w:p>
    <w:p w14:paraId="34BD896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6.3.1 评标委员会按照第三章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规定的方法、评审因素、标准和程序对投标文件进行评审。第三章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没有规定的方法、评审因素和标准，不作为评标依据。</w:t>
      </w:r>
    </w:p>
    <w:p w14:paraId="45DC7597">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6.3.2评标及补救措施</w:t>
      </w:r>
    </w:p>
    <w:p w14:paraId="6F80C8B0">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2F7325A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评标完成后，评标委员会应当向招标人提交书面评标报告和中标候选人名单。评标委员会推荐中标</w:t>
      </w:r>
      <w:bookmarkStart w:id="263" w:name="_Toc152042334"/>
      <w:bookmarkStart w:id="264" w:name="_Toc384308240"/>
      <w:bookmarkStart w:id="265" w:name="_Toc361508615"/>
      <w:bookmarkStart w:id="266" w:name="_Toc369531546"/>
      <w:bookmarkStart w:id="267" w:name="_Toc144974526"/>
      <w:bookmarkStart w:id="268" w:name="_Toc247527583"/>
      <w:bookmarkStart w:id="269" w:name="_Toc300834979"/>
      <w:bookmarkStart w:id="270" w:name="_Toc152045558"/>
      <w:bookmarkStart w:id="271" w:name="_Toc352691502"/>
      <w:bookmarkStart w:id="272" w:name="_Toc12259"/>
      <w:bookmarkStart w:id="273" w:name="_Toc247513982"/>
      <w:r>
        <w:rPr>
          <w:rFonts w:hint="default" w:ascii="Times New Roman" w:hAnsi="Times New Roman" w:cs="Times New Roman"/>
          <w:color w:val="auto"/>
          <w:sz w:val="24"/>
          <w:szCs w:val="24"/>
          <w:highlight w:val="none"/>
        </w:rPr>
        <w:t>候选人的人数见投标人须知前附</w:t>
      </w:r>
      <w:bookmarkEnd w:id="263"/>
      <w:bookmarkEnd w:id="264"/>
      <w:bookmarkEnd w:id="265"/>
      <w:bookmarkEnd w:id="266"/>
      <w:bookmarkEnd w:id="267"/>
      <w:bookmarkEnd w:id="268"/>
      <w:bookmarkEnd w:id="269"/>
      <w:bookmarkEnd w:id="270"/>
      <w:bookmarkEnd w:id="271"/>
      <w:bookmarkEnd w:id="272"/>
      <w:bookmarkEnd w:id="273"/>
      <w:r>
        <w:rPr>
          <w:rFonts w:hint="default" w:ascii="Times New Roman" w:hAnsi="Times New Roman" w:cs="Times New Roman"/>
          <w:color w:val="auto"/>
          <w:sz w:val="24"/>
          <w:szCs w:val="24"/>
          <w:highlight w:val="none"/>
        </w:rPr>
        <w:t>表</w:t>
      </w:r>
      <w:r>
        <w:rPr>
          <w:rFonts w:hint="default" w:ascii="Times New Roman" w:hAnsi="Times New Roman" w:eastAsia="宋体" w:cs="Times New Roman"/>
          <w:color w:val="auto"/>
          <w:sz w:val="24"/>
          <w:highlight w:val="none"/>
        </w:rPr>
        <w:t>。</w:t>
      </w:r>
    </w:p>
    <w:p w14:paraId="774980C6">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274" w:name="_Toc16883"/>
      <w:bookmarkStart w:id="275" w:name="_Toc234832910"/>
      <w:bookmarkStart w:id="276" w:name="_Toc29075"/>
      <w:bookmarkStart w:id="277" w:name="_Toc5930"/>
      <w:r>
        <w:rPr>
          <w:rFonts w:hint="default" w:ascii="Times New Roman" w:hAnsi="Times New Roman" w:eastAsia="黑体" w:cs="Times New Roman"/>
          <w:b w:val="0"/>
          <w:color w:val="auto"/>
          <w:sz w:val="28"/>
          <w:szCs w:val="28"/>
          <w:highlight w:val="none"/>
        </w:rPr>
        <w:t>7. 合同授予</w:t>
      </w:r>
      <w:bookmarkEnd w:id="274"/>
      <w:bookmarkEnd w:id="275"/>
      <w:bookmarkEnd w:id="276"/>
      <w:bookmarkEnd w:id="277"/>
    </w:p>
    <w:p w14:paraId="6CF6A91E">
      <w:pPr>
        <w:pStyle w:val="2"/>
        <w:pageBreakBefore w:val="0"/>
        <w:kinsoku/>
        <w:wordWrap w:val="0"/>
        <w:bidi w:val="0"/>
        <w:outlineLvl w:val="2"/>
        <w:rPr>
          <w:rFonts w:hint="default" w:ascii="Times New Roman" w:hAnsi="Times New Roman" w:cs="Times New Roman"/>
          <w:color w:val="auto"/>
          <w:highlight w:val="none"/>
        </w:rPr>
      </w:pPr>
      <w:bookmarkStart w:id="278" w:name="_Toc29612"/>
      <w:bookmarkStart w:id="279" w:name="_Toc1586"/>
      <w:bookmarkStart w:id="280" w:name="_Toc6153"/>
      <w:bookmarkStart w:id="281" w:name="_Toc234832911"/>
      <w:r>
        <w:rPr>
          <w:rFonts w:hint="default" w:ascii="Times New Roman" w:hAnsi="Times New Roman" w:cs="Times New Roman"/>
          <w:color w:val="auto"/>
          <w:highlight w:val="none"/>
        </w:rPr>
        <w:t>7.1 中标候选人公示</w:t>
      </w:r>
      <w:bookmarkEnd w:id="278"/>
      <w:bookmarkEnd w:id="279"/>
      <w:bookmarkEnd w:id="280"/>
    </w:p>
    <w:p w14:paraId="2566147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招标人在收到评标报告之日起3日内，按照投标人须知前附表规定的公示媒介和期限公示中标候选人，公示期不得少于3日，公示内容包括：</w:t>
      </w:r>
    </w:p>
    <w:p w14:paraId="5871E62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（1）中标候选人排序、名称、投标报价，对工程质量要求、安全目标和工期的响应情况；</w:t>
      </w:r>
    </w:p>
    <w:p w14:paraId="708C09A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（2）中标候选人在投标文件中承诺的项目经理和项目总工姓名、个人业绩、相关证书名称和编号；</w:t>
      </w:r>
    </w:p>
    <w:p w14:paraId="43442AB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（3）中标候选人在投标文件中填报的项目业绩；</w:t>
      </w:r>
    </w:p>
    <w:p w14:paraId="1A2373D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（4）被否决投标的投标人名称、否决依据和原因；</w:t>
      </w:r>
    </w:p>
    <w:p w14:paraId="514994C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（5）提出异议的渠道和方式；</w:t>
      </w:r>
    </w:p>
    <w:p w14:paraId="2CB9833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（6）投标人须知前附表规定公示的其他内容。</w:t>
      </w:r>
    </w:p>
    <w:p w14:paraId="77FC8A79">
      <w:pPr>
        <w:pStyle w:val="2"/>
        <w:pageBreakBefore w:val="0"/>
        <w:kinsoku/>
        <w:wordWrap w:val="0"/>
        <w:bidi w:val="0"/>
        <w:outlineLvl w:val="2"/>
        <w:rPr>
          <w:rFonts w:hint="default" w:ascii="Times New Roman" w:hAnsi="Times New Roman" w:cs="Times New Roman"/>
          <w:color w:val="auto"/>
          <w:highlight w:val="none"/>
        </w:rPr>
      </w:pPr>
      <w:bookmarkStart w:id="282" w:name="_Toc27197"/>
      <w:bookmarkStart w:id="283" w:name="_Toc28677"/>
      <w:bookmarkStart w:id="284" w:name="_Toc9333"/>
      <w:r>
        <w:rPr>
          <w:rFonts w:hint="default" w:ascii="Times New Roman" w:hAnsi="Times New Roman" w:cs="Times New Roman"/>
          <w:color w:val="auto"/>
          <w:highlight w:val="none"/>
        </w:rPr>
        <w:t>7.2 评标结果异议</w:t>
      </w:r>
      <w:bookmarkEnd w:id="282"/>
      <w:bookmarkEnd w:id="283"/>
      <w:bookmarkEnd w:id="284"/>
    </w:p>
    <w:p w14:paraId="566BDEB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投标人或其他利害关系人对依法必须进行招标的项目的评标结果有异议的，应在中标候选人公示期间提出。招标人将在收到异议之日起3日内作出答复；作出答复前，将暂停招标投标活动。</w:t>
      </w:r>
    </w:p>
    <w:p w14:paraId="2C7B6387">
      <w:pPr>
        <w:pStyle w:val="2"/>
        <w:pageBreakBefore w:val="0"/>
        <w:kinsoku/>
        <w:wordWrap w:val="0"/>
        <w:bidi w:val="0"/>
        <w:outlineLvl w:val="2"/>
        <w:rPr>
          <w:rFonts w:hint="default" w:ascii="Times New Roman" w:hAnsi="Times New Roman" w:cs="Times New Roman"/>
          <w:color w:val="auto"/>
          <w:highlight w:val="none"/>
        </w:rPr>
      </w:pPr>
      <w:bookmarkStart w:id="285" w:name="_Toc2167"/>
      <w:bookmarkStart w:id="286" w:name="_Toc20027"/>
      <w:bookmarkStart w:id="287" w:name="_Toc9159"/>
      <w:r>
        <w:rPr>
          <w:rFonts w:hint="default" w:ascii="Times New Roman" w:hAnsi="Times New Roman" w:cs="Times New Roman"/>
          <w:color w:val="auto"/>
          <w:highlight w:val="none"/>
        </w:rPr>
        <w:t>7.3 中标候选人履约能力审查</w:t>
      </w:r>
      <w:bookmarkEnd w:id="285"/>
      <w:bookmarkEnd w:id="286"/>
      <w:bookmarkEnd w:id="287"/>
    </w:p>
    <w:p w14:paraId="3B0085C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2A18C59F">
      <w:pPr>
        <w:pStyle w:val="2"/>
        <w:pageBreakBefore w:val="0"/>
        <w:kinsoku/>
        <w:wordWrap w:val="0"/>
        <w:bidi w:val="0"/>
        <w:outlineLvl w:val="2"/>
        <w:rPr>
          <w:rFonts w:hint="default" w:ascii="Times New Roman" w:hAnsi="Times New Roman" w:cs="Times New Roman"/>
          <w:color w:val="auto"/>
          <w:highlight w:val="none"/>
        </w:rPr>
      </w:pPr>
      <w:bookmarkStart w:id="288" w:name="_Toc5726"/>
      <w:bookmarkStart w:id="289" w:name="_Toc19093"/>
      <w:bookmarkStart w:id="290" w:name="_Toc76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4 </w:t>
      </w:r>
      <w:r>
        <w:rPr>
          <w:rFonts w:hint="default" w:ascii="Times New Roman" w:hAnsi="Times New Roman" w:cs="Times New Roman"/>
          <w:color w:val="auto"/>
          <w:highlight w:val="none"/>
        </w:rPr>
        <w:t>定标</w:t>
      </w:r>
      <w:bookmarkEnd w:id="281"/>
      <w:bookmarkEnd w:id="288"/>
      <w:bookmarkEnd w:id="289"/>
      <w:bookmarkEnd w:id="290"/>
    </w:p>
    <w:p w14:paraId="19E82D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7.4.1</w:t>
      </w:r>
      <w:r>
        <w:rPr>
          <w:rFonts w:hint="default" w:ascii="Times New Roman" w:hAnsi="Times New Roman" w:eastAsia="宋体" w:cs="Times New Roman"/>
          <w:color w:val="auto"/>
          <w:sz w:val="24"/>
          <w:highlight w:val="none"/>
        </w:rPr>
        <w:t>按照投标人须知前附表的规定，招标人或招标人授权的评标委员会依法确定中标人。</w:t>
      </w:r>
    </w:p>
    <w:p w14:paraId="56F41F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7.4.2招标人依据投标须知前附表的</w:t>
      </w:r>
      <w:r>
        <w:rPr>
          <w:rFonts w:hint="eastAsia" w:cs="Times New Roman"/>
          <w:color w:val="auto"/>
          <w:sz w:val="24"/>
          <w:szCs w:val="24"/>
          <w:highlight w:val="none"/>
          <w:lang w:val="en-US" w:eastAsia="zh-CN"/>
        </w:rPr>
        <w:t>定标规则</w:t>
      </w:r>
      <w:r>
        <w:rPr>
          <w:rFonts w:hint="eastAsia" w:cs="Times New Roman"/>
          <w:color w:val="auto"/>
          <w:sz w:val="24"/>
          <w:highlight w:val="none"/>
          <w:lang w:val="en-US" w:eastAsia="zh-CN"/>
        </w:rPr>
        <w:t>，在评标委员会推荐的中标候选人中确定中标人</w:t>
      </w:r>
      <w:r>
        <w:rPr>
          <w:rFonts w:hint="default" w:ascii="Times New Roman" w:hAnsi="Times New Roman" w:eastAsia="宋体" w:cs="Times New Roman"/>
          <w:color w:val="auto"/>
          <w:sz w:val="24"/>
          <w:highlight w:val="none"/>
        </w:rPr>
        <w:t>。</w:t>
      </w:r>
    </w:p>
    <w:p w14:paraId="13F5349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7.4.3招标人授权评标委员会按前附表7.4.2项规定的规则直接定标。</w:t>
      </w:r>
    </w:p>
    <w:p w14:paraId="4C974A8A">
      <w:pPr>
        <w:pStyle w:val="2"/>
        <w:pageBreakBefore w:val="0"/>
        <w:kinsoku/>
        <w:wordWrap w:val="0"/>
        <w:bidi w:val="0"/>
        <w:outlineLvl w:val="2"/>
        <w:rPr>
          <w:rFonts w:hint="default" w:ascii="Times New Roman" w:hAnsi="Times New Roman" w:cs="Times New Roman"/>
          <w:color w:val="auto"/>
          <w:highlight w:val="none"/>
        </w:rPr>
      </w:pPr>
      <w:bookmarkStart w:id="291" w:name="_Toc234832912"/>
      <w:bookmarkStart w:id="292" w:name="_Toc4728"/>
      <w:bookmarkStart w:id="293" w:name="_Toc11520"/>
      <w:bookmarkStart w:id="294" w:name="_Toc10213"/>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5 中标通知</w:t>
      </w:r>
      <w:bookmarkEnd w:id="291"/>
      <w:bookmarkEnd w:id="292"/>
      <w:bookmarkEnd w:id="293"/>
      <w:bookmarkEnd w:id="294"/>
    </w:p>
    <w:p w14:paraId="6875AD1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在本章第3.3款规定的投标有效期内，招标人应通过</w:t>
      </w:r>
      <w:r>
        <w:rPr>
          <w:rFonts w:hint="default" w:ascii="Times New Roman" w:hAnsi="Times New Roman" w:cs="Times New Roman"/>
          <w:color w:val="auto"/>
          <w:sz w:val="24"/>
          <w:highlight w:val="none"/>
          <w:lang w:val="en-US" w:eastAsia="zh-CN"/>
        </w:rPr>
        <w:t>投标人须知前附表规定的</w:t>
      </w:r>
      <w:r>
        <w:rPr>
          <w:rFonts w:hint="default" w:ascii="Times New Roman" w:hAnsi="Times New Roman" w:cs="Times New Roman"/>
          <w:color w:val="auto"/>
          <w:sz w:val="24"/>
          <w:highlight w:val="none"/>
        </w:rPr>
        <w:t>形式向中标人发出中标通知书，同时将中标结果通知未中标的投标人</w:t>
      </w:r>
      <w:r>
        <w:rPr>
          <w:rFonts w:hint="default" w:ascii="Times New Roman" w:hAnsi="Times New Roman" w:eastAsia="宋体" w:cs="Times New Roman"/>
          <w:color w:val="auto"/>
          <w:sz w:val="24"/>
          <w:highlight w:val="none"/>
        </w:rPr>
        <w:t>。</w:t>
      </w:r>
    </w:p>
    <w:p w14:paraId="1F737C9D">
      <w:pPr>
        <w:pStyle w:val="2"/>
        <w:pageBreakBefore w:val="0"/>
        <w:kinsoku/>
        <w:wordWrap w:val="0"/>
        <w:bidi w:val="0"/>
        <w:outlineLvl w:val="2"/>
        <w:rPr>
          <w:rFonts w:hint="default" w:ascii="Times New Roman" w:hAnsi="Times New Roman" w:cs="Times New Roman"/>
          <w:color w:val="auto"/>
          <w:highlight w:val="none"/>
        </w:rPr>
      </w:pPr>
      <w:bookmarkStart w:id="295" w:name="_Toc8745"/>
      <w:bookmarkStart w:id="296" w:name="_Toc16073"/>
      <w:bookmarkStart w:id="297" w:name="_Toc2116"/>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6 </w:t>
      </w:r>
      <w:r>
        <w:rPr>
          <w:rFonts w:hint="default" w:ascii="Times New Roman" w:hAnsi="Times New Roman" w:cs="Times New Roman"/>
          <w:color w:val="auto"/>
          <w:highlight w:val="none"/>
        </w:rPr>
        <w:t>中标</w:t>
      </w:r>
      <w:r>
        <w:rPr>
          <w:rFonts w:hint="default" w:ascii="Times New Roman" w:hAnsi="Times New Roman" w:cs="Times New Roman"/>
          <w:color w:val="auto"/>
          <w:highlight w:val="none"/>
          <w:lang w:eastAsia="zh-CN"/>
        </w:rPr>
        <w:t>结果</w:t>
      </w:r>
      <w:r>
        <w:rPr>
          <w:rFonts w:hint="default" w:ascii="Times New Roman" w:hAnsi="Times New Roman" w:cs="Times New Roman"/>
          <w:color w:val="auto"/>
          <w:highlight w:val="none"/>
        </w:rPr>
        <w:t>公告</w:t>
      </w:r>
      <w:bookmarkEnd w:id="295"/>
      <w:bookmarkEnd w:id="296"/>
      <w:bookmarkEnd w:id="297"/>
    </w:p>
    <w:p w14:paraId="466CEA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招标人在确定中标人之日起3日内，按照投标人须知前附表规定的公告媒介和期限公告中标结果，公告期不得少于3日。公告内容包括中标人名称、中标价。</w:t>
      </w:r>
    </w:p>
    <w:p w14:paraId="2FFDF375">
      <w:pPr>
        <w:pStyle w:val="2"/>
        <w:pageBreakBefore w:val="0"/>
        <w:kinsoku/>
        <w:wordWrap w:val="0"/>
        <w:bidi w:val="0"/>
        <w:outlineLvl w:val="2"/>
        <w:rPr>
          <w:rFonts w:hint="default" w:ascii="Times New Roman" w:hAnsi="Times New Roman" w:cs="Times New Roman"/>
          <w:color w:val="auto"/>
          <w:highlight w:val="none"/>
        </w:rPr>
      </w:pPr>
      <w:bookmarkStart w:id="298" w:name="_Toc234832913"/>
      <w:bookmarkStart w:id="299" w:name="_Toc8824"/>
      <w:bookmarkStart w:id="300" w:name="_Toc24614"/>
      <w:bookmarkStart w:id="301" w:name="_Toc12850"/>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 xml:space="preserve">7 </w:t>
      </w:r>
      <w:r>
        <w:rPr>
          <w:rFonts w:hint="default" w:ascii="Times New Roman" w:hAnsi="Times New Roman" w:cs="Times New Roman"/>
          <w:color w:val="auto"/>
          <w:highlight w:val="none"/>
        </w:rPr>
        <w:t>履约</w:t>
      </w:r>
      <w:bookmarkEnd w:id="298"/>
      <w:r>
        <w:rPr>
          <w:rFonts w:hint="default" w:ascii="Times New Roman" w:hAnsi="Times New Roman" w:cs="Times New Roman"/>
          <w:color w:val="auto"/>
          <w:highlight w:val="none"/>
          <w:lang w:eastAsia="zh-CN"/>
        </w:rPr>
        <w:t>保证金</w:t>
      </w:r>
      <w:bookmarkEnd w:id="299"/>
      <w:bookmarkEnd w:id="300"/>
      <w:bookmarkEnd w:id="301"/>
    </w:p>
    <w:p w14:paraId="6ED44C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7.7.1 在签订合同前中标人应按投标人须知前附表规定的形式、金额和招标文件第四章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合同条款及格式</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规定的或事先经过招标人书面认可的履约保证金格式向招标人提交履约保证金。除投标人须知前附表另有规定外，履约保证金为签约合同价的</w:t>
      </w:r>
      <w:r>
        <w:rPr>
          <w:rFonts w:hint="default" w:ascii="Times New Roman" w:hAnsi="Times New Roman" w:eastAsia="宋体" w:cs="Times New Roman"/>
          <w:color w:val="auto"/>
          <w:sz w:val="24"/>
          <w:highlight w:val="none"/>
          <w:lang w:val="en-US"/>
        </w:rPr>
        <w:t>10</w:t>
      </w:r>
      <w:r>
        <w:rPr>
          <w:rFonts w:hint="default" w:ascii="Times New Roman" w:hAnsi="Times New Roman" w:eastAsia="宋体" w:cs="Times New Roman"/>
          <w:color w:val="auto"/>
          <w:sz w:val="24"/>
          <w:highlight w:val="none"/>
        </w:rPr>
        <w:t>%。联合体中标的，其履约保证金以联合体各方或联合体中牵头人的名义提交。</w:t>
      </w:r>
    </w:p>
    <w:p w14:paraId="778DB7A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采用银行保函时，应由符合投标人须知前附表规定级别的银行开具，所需的费用由中标人承担，中标人应保证银行保函有效。</w:t>
      </w:r>
    </w:p>
    <w:p w14:paraId="5848F4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7.7.2 中标人不能按本章第7.7.1项要求提交履约保证金的，视为放弃中标，其投标保证金不予退还，给招标人造成的损失超过投标保证金数额的，中标人还应对超过部分予以赔偿。</w:t>
      </w:r>
    </w:p>
    <w:p w14:paraId="1D2A494B">
      <w:pPr>
        <w:pStyle w:val="2"/>
        <w:pageBreakBefore w:val="0"/>
        <w:kinsoku/>
        <w:wordWrap w:val="0"/>
        <w:bidi w:val="0"/>
        <w:outlineLvl w:val="2"/>
        <w:rPr>
          <w:rFonts w:hint="default" w:ascii="Times New Roman" w:hAnsi="Times New Roman" w:cs="Times New Roman"/>
          <w:color w:val="auto"/>
          <w:highlight w:val="none"/>
        </w:rPr>
      </w:pPr>
      <w:bookmarkStart w:id="302" w:name="_Toc24076"/>
      <w:bookmarkStart w:id="303" w:name="_Toc8984"/>
      <w:bookmarkStart w:id="304" w:name="_Toc234832914"/>
      <w:bookmarkStart w:id="305" w:name="_Toc12449"/>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 xml:space="preserve"> 签订合同</w:t>
      </w:r>
      <w:bookmarkEnd w:id="302"/>
      <w:bookmarkEnd w:id="303"/>
      <w:bookmarkEnd w:id="304"/>
      <w:bookmarkEnd w:id="305"/>
    </w:p>
    <w:p w14:paraId="0C34A3B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7A546B6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7.8.2 发出中标通知书后，招标人无正当理由拒签合同，或在签订合同时向中标人提出附加条件的，招标人向中标人退还投标保证金；给中标人造成损失的，还应赔偿损失。</w:t>
      </w:r>
    </w:p>
    <w:p w14:paraId="7DF5A0B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联合体中标的，联合体各方应共同与招标人签订合同，就中标项目向招标人承担连带责任。</w:t>
      </w:r>
    </w:p>
    <w:p w14:paraId="6B5BBD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7.8.</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 xml:space="preserve"> 招标人和中标人在签订合同协议书的同时，须按照本招标文件规定的格式和要求签订廉政合同及安全生产合同，明确双方在廉政建设和安全生产方面的权利和义务以及应承担的违约责任。</w:t>
      </w:r>
    </w:p>
    <w:p w14:paraId="026287E5">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06" w:name="_Toc11642"/>
      <w:bookmarkStart w:id="307" w:name="_Toc11626"/>
      <w:bookmarkStart w:id="308" w:name="_Toc234832918"/>
      <w:bookmarkStart w:id="309" w:name="_Toc21562"/>
      <w:r>
        <w:rPr>
          <w:rFonts w:hint="default" w:ascii="Times New Roman" w:hAnsi="Times New Roman" w:eastAsia="黑体" w:cs="Times New Roman"/>
          <w:b w:val="0"/>
          <w:color w:val="auto"/>
          <w:sz w:val="28"/>
          <w:szCs w:val="28"/>
          <w:highlight w:val="none"/>
          <w:lang w:eastAsia="zh-CN"/>
        </w:rPr>
        <w:t>8</w:t>
      </w:r>
      <w:r>
        <w:rPr>
          <w:rFonts w:hint="default" w:ascii="Times New Roman" w:hAnsi="Times New Roman" w:eastAsia="黑体" w:cs="Times New Roman"/>
          <w:b w:val="0"/>
          <w:color w:val="auto"/>
          <w:sz w:val="28"/>
          <w:szCs w:val="28"/>
          <w:highlight w:val="none"/>
        </w:rPr>
        <w:t>. 纪律和监督</w:t>
      </w:r>
      <w:bookmarkEnd w:id="306"/>
      <w:bookmarkEnd w:id="307"/>
      <w:bookmarkEnd w:id="308"/>
      <w:bookmarkEnd w:id="309"/>
    </w:p>
    <w:p w14:paraId="1EACA5D4">
      <w:pPr>
        <w:pStyle w:val="2"/>
        <w:pageBreakBefore w:val="0"/>
        <w:kinsoku/>
        <w:wordWrap w:val="0"/>
        <w:bidi w:val="0"/>
        <w:outlineLvl w:val="2"/>
        <w:rPr>
          <w:rFonts w:hint="default" w:ascii="Times New Roman" w:hAnsi="Times New Roman" w:cs="Times New Roman"/>
          <w:color w:val="auto"/>
          <w:highlight w:val="none"/>
        </w:rPr>
      </w:pPr>
      <w:bookmarkStart w:id="310" w:name="_Toc23721"/>
      <w:bookmarkStart w:id="311" w:name="_Toc2195"/>
      <w:bookmarkStart w:id="312" w:name="_Toc234832919"/>
      <w:bookmarkStart w:id="313" w:name="_Toc30402"/>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.1 对招标人的纪律要求</w:t>
      </w:r>
      <w:bookmarkEnd w:id="310"/>
      <w:bookmarkEnd w:id="311"/>
      <w:bookmarkEnd w:id="312"/>
      <w:bookmarkEnd w:id="313"/>
    </w:p>
    <w:p w14:paraId="5035F2E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招标人不得泄露招标投标活动中应保密的情况和资料，不得与投标人串通损害国家利益、社会公共利益或他人合法权益。</w:t>
      </w:r>
    </w:p>
    <w:p w14:paraId="6EE2999D">
      <w:pPr>
        <w:pStyle w:val="2"/>
        <w:pageBreakBefore w:val="0"/>
        <w:kinsoku/>
        <w:wordWrap w:val="0"/>
        <w:bidi w:val="0"/>
        <w:outlineLvl w:val="2"/>
        <w:rPr>
          <w:rFonts w:hint="default" w:ascii="Times New Roman" w:hAnsi="Times New Roman" w:cs="Times New Roman"/>
          <w:color w:val="auto"/>
          <w:highlight w:val="none"/>
        </w:rPr>
      </w:pPr>
      <w:bookmarkStart w:id="314" w:name="_Toc31255"/>
      <w:bookmarkStart w:id="315" w:name="_Toc28155"/>
      <w:bookmarkStart w:id="316" w:name="_Toc234832920"/>
      <w:bookmarkStart w:id="317" w:name="_Toc23019"/>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.2 对投标人的纪律要求</w:t>
      </w:r>
      <w:bookmarkEnd w:id="314"/>
      <w:bookmarkEnd w:id="315"/>
      <w:bookmarkEnd w:id="316"/>
      <w:bookmarkEnd w:id="317"/>
    </w:p>
    <w:p w14:paraId="720FB80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67473180">
      <w:pPr>
        <w:pStyle w:val="2"/>
        <w:pageBreakBefore w:val="0"/>
        <w:kinsoku/>
        <w:wordWrap w:val="0"/>
        <w:bidi w:val="0"/>
        <w:outlineLvl w:val="2"/>
        <w:rPr>
          <w:rFonts w:hint="default" w:ascii="Times New Roman" w:hAnsi="Times New Roman" w:cs="Times New Roman"/>
          <w:color w:val="auto"/>
          <w:highlight w:val="none"/>
        </w:rPr>
      </w:pPr>
      <w:bookmarkStart w:id="318" w:name="_Toc5418"/>
      <w:bookmarkStart w:id="319" w:name="_Toc22216"/>
      <w:bookmarkStart w:id="320" w:name="_Toc234832921"/>
      <w:bookmarkStart w:id="321" w:name="_Toc18750"/>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.3 对评标委员会成员的纪律要求</w:t>
      </w:r>
      <w:bookmarkEnd w:id="318"/>
      <w:bookmarkEnd w:id="319"/>
      <w:bookmarkEnd w:id="320"/>
      <w:bookmarkEnd w:id="321"/>
    </w:p>
    <w:p w14:paraId="0771FE6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评标办法</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没有规定的评审因素和标准进行评标。</w:t>
      </w:r>
    </w:p>
    <w:p w14:paraId="4D04A6B0">
      <w:pPr>
        <w:pStyle w:val="2"/>
        <w:pageBreakBefore w:val="0"/>
        <w:kinsoku/>
        <w:wordWrap w:val="0"/>
        <w:bidi w:val="0"/>
        <w:outlineLvl w:val="2"/>
        <w:rPr>
          <w:rFonts w:hint="default" w:ascii="Times New Roman" w:hAnsi="Times New Roman" w:cs="Times New Roman"/>
          <w:color w:val="auto"/>
          <w:highlight w:val="none"/>
        </w:rPr>
      </w:pPr>
      <w:bookmarkStart w:id="322" w:name="_Toc6211"/>
      <w:bookmarkStart w:id="323" w:name="_Toc234832922"/>
      <w:bookmarkStart w:id="324" w:name="_Toc9801"/>
      <w:bookmarkStart w:id="325" w:name="_Toc11335"/>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.4 对与评标活动有关的工作人员的纪律要求</w:t>
      </w:r>
      <w:bookmarkEnd w:id="322"/>
      <w:bookmarkEnd w:id="323"/>
      <w:bookmarkEnd w:id="324"/>
      <w:bookmarkEnd w:id="325"/>
    </w:p>
    <w:p w14:paraId="159E81D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7B916F6C">
      <w:pPr>
        <w:pStyle w:val="2"/>
        <w:pageBreakBefore w:val="0"/>
        <w:kinsoku/>
        <w:wordWrap w:val="0"/>
        <w:bidi w:val="0"/>
        <w:outlineLvl w:val="2"/>
        <w:rPr>
          <w:rFonts w:hint="default" w:ascii="Times New Roman" w:hAnsi="Times New Roman" w:cs="Times New Roman"/>
          <w:color w:val="auto"/>
          <w:highlight w:val="none"/>
        </w:rPr>
      </w:pPr>
      <w:bookmarkStart w:id="326" w:name="_Toc15842"/>
      <w:bookmarkStart w:id="327" w:name="_Toc19294"/>
      <w:bookmarkStart w:id="328" w:name="_Toc22150"/>
      <w:bookmarkStart w:id="329" w:name="_Toc234832923"/>
      <w:r>
        <w:rPr>
          <w:rFonts w:hint="default" w:ascii="Times New Roman" w:hAnsi="Times New Roman" w:cs="Times New Roman"/>
          <w:color w:val="auto"/>
          <w:highlight w:val="none"/>
          <w:lang w:eastAsia="zh-CN"/>
        </w:rPr>
        <w:t>8</w:t>
      </w:r>
      <w:r>
        <w:rPr>
          <w:rFonts w:hint="default" w:ascii="Times New Roman" w:hAnsi="Times New Roman" w:cs="Times New Roman"/>
          <w:color w:val="auto"/>
          <w:highlight w:val="none"/>
        </w:rPr>
        <w:t>.5 投诉</w:t>
      </w:r>
      <w:bookmarkEnd w:id="326"/>
      <w:bookmarkEnd w:id="327"/>
      <w:bookmarkEnd w:id="328"/>
      <w:bookmarkEnd w:id="329"/>
    </w:p>
    <w:p w14:paraId="6573160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8.5.1 投标人或其他利害关系人认为招标投标活动不符合法律、行政法规规定的，可以自知道或应当知道之日起10日内向有关行政监督部门投诉。投诉应有明确的请求和必要的证明材料。</w:t>
      </w:r>
    </w:p>
    <w:p w14:paraId="05B9B22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监督部门的联系方式见投标人须知前附表。</w:t>
      </w:r>
    </w:p>
    <w:p w14:paraId="0C01418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8.5.2 投标人或其他利害关系人对招标文件、开标和评标结果提出投诉的，应按照本章第2.4款、第5.3款和第7.2款的规定先向招标人提出异议。异议答复期间</w:t>
      </w:r>
      <w:bookmarkStart w:id="330" w:name="_Toc384308255"/>
      <w:bookmarkStart w:id="331" w:name="_Toc300834993"/>
      <w:bookmarkStart w:id="332" w:name="_Toc247527595"/>
      <w:bookmarkStart w:id="333" w:name="_Toc352691517"/>
      <w:bookmarkStart w:id="334" w:name="_Toc247513994"/>
      <w:bookmarkStart w:id="335" w:name="_Toc152045570"/>
      <w:bookmarkStart w:id="336" w:name="_Toc12776"/>
      <w:bookmarkStart w:id="337" w:name="_Toc369531561"/>
      <w:bookmarkStart w:id="338" w:name="_Toc152042346"/>
      <w:bookmarkStart w:id="339" w:name="_Toc144974538"/>
      <w:bookmarkStart w:id="340" w:name="_Toc361508630"/>
      <w:r>
        <w:rPr>
          <w:rFonts w:hint="default" w:ascii="Times New Roman" w:hAnsi="Times New Roman" w:eastAsia="宋体" w:cs="Times New Roman"/>
          <w:color w:val="auto"/>
          <w:sz w:val="24"/>
          <w:highlight w:val="none"/>
        </w:rPr>
        <w:t>不计算在第8.5.</w:t>
      </w:r>
      <w:bookmarkEnd w:id="330"/>
      <w:bookmarkEnd w:id="331"/>
      <w:bookmarkEnd w:id="332"/>
      <w:bookmarkEnd w:id="333"/>
      <w:bookmarkEnd w:id="334"/>
      <w:bookmarkEnd w:id="335"/>
      <w:bookmarkEnd w:id="336"/>
      <w:bookmarkEnd w:id="337"/>
      <w:bookmarkEnd w:id="338"/>
      <w:bookmarkEnd w:id="339"/>
      <w:bookmarkEnd w:id="340"/>
      <w:r>
        <w:rPr>
          <w:rFonts w:hint="default" w:ascii="Times New Roman" w:hAnsi="Times New Roman" w:eastAsia="宋体" w:cs="Times New Roman"/>
          <w:color w:val="auto"/>
          <w:sz w:val="24"/>
          <w:highlight w:val="none"/>
        </w:rPr>
        <w:t>1项规定的期限内。</w:t>
      </w:r>
    </w:p>
    <w:p w14:paraId="0C2BAF02">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lang w:eastAsia="zh-CN"/>
        </w:rPr>
      </w:pPr>
      <w:bookmarkStart w:id="341" w:name="_Toc234832924"/>
      <w:bookmarkStart w:id="342" w:name="_Toc5209"/>
      <w:bookmarkStart w:id="343" w:name="_Toc18903"/>
      <w:bookmarkStart w:id="344" w:name="_Toc22135"/>
      <w:r>
        <w:rPr>
          <w:rFonts w:hint="default" w:ascii="Times New Roman" w:hAnsi="Times New Roman" w:cs="Times New Roman"/>
          <w:b w:val="0"/>
          <w:color w:val="auto"/>
          <w:sz w:val="28"/>
          <w:szCs w:val="28"/>
          <w:highlight w:val="none"/>
          <w:lang w:val="en-US" w:eastAsia="zh-CN"/>
        </w:rPr>
        <w:t>9</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b w:val="0"/>
          <w:color w:val="auto"/>
          <w:sz w:val="28"/>
          <w:szCs w:val="28"/>
          <w:highlight w:val="none"/>
          <w:lang w:eastAsia="zh-CN"/>
        </w:rPr>
        <w:t xml:space="preserve"> </w:t>
      </w:r>
      <w:r>
        <w:rPr>
          <w:rFonts w:hint="default" w:ascii="Times New Roman" w:hAnsi="Times New Roman" w:eastAsia="黑体" w:cs="Times New Roman"/>
          <w:b w:val="0"/>
          <w:color w:val="auto"/>
          <w:sz w:val="28"/>
          <w:szCs w:val="28"/>
          <w:highlight w:val="none"/>
        </w:rPr>
        <w:t>需要补充的其他内容</w:t>
      </w:r>
      <w:bookmarkEnd w:id="341"/>
      <w:bookmarkEnd w:id="342"/>
      <w:bookmarkEnd w:id="343"/>
      <w:bookmarkEnd w:id="344"/>
    </w:p>
    <w:p w14:paraId="3C7EB1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需要补充的其他内容：见投标人须知前附表。</w:t>
      </w:r>
    </w:p>
    <w:p w14:paraId="0160E7F0">
      <w:pPr>
        <w:pStyle w:val="2"/>
        <w:wordWrap w:val="0"/>
        <w:spacing w:before="0" w:after="100" w:afterAutospacing="1"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隶书" w:cs="Times New Roman"/>
          <w:color w:val="auto"/>
          <w:sz w:val="24"/>
          <w:highlight w:val="none"/>
        </w:rPr>
        <w:br w:type="page"/>
      </w:r>
      <w:bookmarkStart w:id="345" w:name="_Toc12892"/>
      <w:bookmarkStart w:id="346" w:name="_Toc234832925"/>
      <w:bookmarkStart w:id="347" w:name="_Toc31950"/>
      <w:bookmarkStart w:id="348" w:name="_Toc19391"/>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开标记录表 </w:t>
      </w:r>
      <w:r>
        <w:rPr>
          <w:rStyle w:val="47"/>
          <w:rFonts w:hint="default" w:ascii="Times New Roman" w:hAnsi="Times New Roman" w:eastAsia="黑体" w:cs="Times New Roman"/>
          <w:b w:val="0"/>
          <w:color w:val="auto"/>
          <w:sz w:val="28"/>
          <w:szCs w:val="28"/>
          <w:highlight w:val="none"/>
        </w:rPr>
        <w:footnoteReference w:id="30"/>
      </w:r>
      <w:bookmarkEnd w:id="345"/>
      <w:bookmarkEnd w:id="346"/>
      <w:bookmarkEnd w:id="347"/>
      <w:bookmarkEnd w:id="348"/>
    </w:p>
    <w:p w14:paraId="53580B08">
      <w:pPr>
        <w:wordWrap w:val="0"/>
        <w:spacing w:before="0" w:after="100" w:afterAutospacing="1" w:line="240" w:lineRule="atLeast"/>
        <w:outlineLvl w:val="9"/>
        <w:rPr>
          <w:rFonts w:hint="default" w:ascii="Times New Roman" w:hAnsi="Times New Roman" w:eastAsia="黑体" w:cs="Times New Roman"/>
          <w:b w:val="0"/>
          <w:color w:val="auto"/>
          <w:sz w:val="24"/>
          <w:szCs w:val="24"/>
          <w:highlight w:val="none"/>
        </w:rPr>
      </w:pPr>
      <w:bookmarkStart w:id="349" w:name="_Toc20922"/>
      <w:bookmarkStart w:id="350" w:name="_Toc8817"/>
      <w:bookmarkStart w:id="351" w:name="_Toc2455"/>
      <w:bookmarkStart w:id="352" w:name="_Toc16381"/>
      <w:r>
        <w:rPr>
          <w:rFonts w:hint="eastAsia" w:ascii="宋体" w:hAnsi="宋体" w:eastAsia="宋体" w:cs="宋体"/>
          <w:color w:val="auto"/>
          <w:sz w:val="24"/>
          <w:szCs w:val="24"/>
          <w:highlight w:val="none"/>
          <w:u w:val="none"/>
          <w:lang w:val="en-US" w:eastAsia="zh-CN"/>
        </w:rPr>
        <w:t>以电子交易平台生成格式为准。</w:t>
      </w:r>
      <w:bookmarkEnd w:id="349"/>
      <w:bookmarkEnd w:id="350"/>
      <w:bookmarkEnd w:id="351"/>
      <w:bookmarkEnd w:id="352"/>
    </w:p>
    <w:p w14:paraId="18AEAA88">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color w:val="auto"/>
          <w:szCs w:val="21"/>
          <w:highlight w:val="none"/>
        </w:rPr>
      </w:pPr>
      <w:bookmarkStart w:id="353" w:name="_Toc24468"/>
      <w:r>
        <w:rPr>
          <w:rFonts w:hint="eastAsia" w:eastAsia="黑体" w:cs="Times New Roman"/>
          <w:color w:val="auto"/>
          <w:sz w:val="24"/>
          <w:szCs w:val="24"/>
          <w:highlight w:val="none"/>
          <w:u w:val="none"/>
          <w:lang w:val="en-US" w:eastAsia="zh-CN"/>
        </w:rPr>
        <w:t xml:space="preserve"> </w:t>
      </w:r>
      <w:r>
        <w:rPr>
          <w:rFonts w:hint="default" w:ascii="Times New Roman" w:hAnsi="Times New Roman" w:cs="Times New Roman"/>
          <w:color w:val="auto"/>
          <w:szCs w:val="24"/>
          <w:highlight w:val="none"/>
        </w:rPr>
        <w:br w:type="page"/>
      </w:r>
      <w:bookmarkEnd w:id="353"/>
    </w:p>
    <w:p w14:paraId="5ED86EB3">
      <w:pPr>
        <w:pageBreakBefore w:val="0"/>
        <w:kinsoku/>
        <w:wordWrap w:val="0"/>
        <w:bidi w:val="0"/>
        <w:spacing w:line="620" w:lineRule="exact"/>
        <w:ind w:right="630"/>
        <w:jc w:val="center"/>
        <w:rPr>
          <w:rFonts w:hint="default" w:ascii="Times New Roman" w:hAnsi="Times New Roman" w:cs="Times New Roman"/>
          <w:color w:val="auto"/>
          <w:szCs w:val="21"/>
          <w:highlight w:val="none"/>
        </w:rPr>
        <w:sectPr>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2809B6D6">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54" w:name="_Toc18880"/>
      <w:bookmarkStart w:id="355" w:name="_Toc234832926"/>
      <w:bookmarkStart w:id="356" w:name="_Toc3403"/>
      <w:bookmarkStart w:id="357" w:name="_Toc25086"/>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问题澄清通知</w:t>
      </w:r>
      <w:bookmarkEnd w:id="354"/>
      <w:bookmarkEnd w:id="355"/>
      <w:bookmarkEnd w:id="356"/>
      <w:bookmarkEnd w:id="357"/>
    </w:p>
    <w:p w14:paraId="2BD05387">
      <w:pPr>
        <w:pageBreakBefore w:val="0"/>
        <w:kinsoku/>
        <w:wordWrap w:val="0"/>
        <w:bidi w:val="0"/>
        <w:spacing w:line="440" w:lineRule="exact"/>
        <w:jc w:val="center"/>
        <w:rPr>
          <w:rFonts w:hint="default" w:ascii="Times New Roman" w:hAnsi="Times New Roman" w:cs="Times New Roman"/>
          <w:color w:val="auto"/>
          <w:sz w:val="28"/>
          <w:szCs w:val="28"/>
          <w:highlight w:val="none"/>
        </w:rPr>
      </w:pPr>
    </w:p>
    <w:p w14:paraId="28B15D4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问题澄清通知</w:t>
      </w:r>
    </w:p>
    <w:p w14:paraId="4D241592">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15E665B6">
      <w:pPr>
        <w:pageBreakBefore w:val="0"/>
        <w:kinsoku/>
        <w:wordWrap w:val="0"/>
        <w:bidi w:val="0"/>
        <w:spacing w:line="440" w:lineRule="exact"/>
        <w:rPr>
          <w:rFonts w:hint="default" w:ascii="Times New Roman" w:hAnsi="Times New Roman" w:cs="Times New Roman"/>
          <w:color w:val="auto"/>
          <w:sz w:val="24"/>
          <w:highlight w:val="none"/>
        </w:rPr>
      </w:pPr>
    </w:p>
    <w:p w14:paraId="446A90AD">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w:t>
      </w:r>
    </w:p>
    <w:p w14:paraId="322DE86A">
      <w:pPr>
        <w:pageBreakBefore w:val="0"/>
        <w:kinsoku/>
        <w:wordWrap w:val="0"/>
        <w:bidi w:val="0"/>
        <w:spacing w:line="440" w:lineRule="exact"/>
        <w:rPr>
          <w:rFonts w:hint="default" w:ascii="Times New Roman" w:hAnsi="Times New Roman" w:cs="Times New Roman"/>
          <w:color w:val="auto"/>
          <w:sz w:val="24"/>
          <w:highlight w:val="none"/>
        </w:rPr>
      </w:pPr>
    </w:p>
    <w:p w14:paraId="301EE28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标段施工招标的评标委员会，对你方的投标文件进行了仔细的审查，现需你方对下列问题以书面形式予以澄清或说明：</w:t>
      </w:r>
    </w:p>
    <w:p w14:paraId="19E4B465">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03614795">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w:t>
      </w:r>
    </w:p>
    <w:p w14:paraId="4E7B48AB">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w:t>
      </w:r>
    </w:p>
    <w:p w14:paraId="0691657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   </w:t>
      </w:r>
    </w:p>
    <w:p w14:paraId="5BF73BF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4AE1E7F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请将上述问题的澄清或说明于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分前通过</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电子交易平台</w:t>
      </w:r>
      <w:r>
        <w:rPr>
          <w:rFonts w:hint="eastAsia" w:ascii="宋体" w:hAnsi="宋体" w:eastAsia="宋体" w:cs="宋体"/>
          <w:color w:val="auto"/>
          <w:sz w:val="24"/>
          <w:highlight w:val="none"/>
          <w:lang w:eastAsia="zh-CN"/>
        </w:rPr>
        <w:t>”</w:t>
      </w:r>
      <w:r>
        <w:rPr>
          <w:rFonts w:hint="default" w:ascii="Times New Roman" w:hAnsi="Times New Roman" w:cs="Times New Roman"/>
          <w:color w:val="auto"/>
          <w:sz w:val="24"/>
          <w:highlight w:val="none"/>
        </w:rPr>
        <w:t>上传。</w:t>
      </w:r>
    </w:p>
    <w:p w14:paraId="1B073435">
      <w:pPr>
        <w:pageBreakBefore w:val="0"/>
        <w:kinsoku/>
        <w:wordWrap w:val="0"/>
        <w:bidi w:val="0"/>
        <w:spacing w:line="440" w:lineRule="exact"/>
        <w:rPr>
          <w:rFonts w:hint="default" w:ascii="Times New Roman" w:hAnsi="Times New Roman" w:cs="Times New Roman"/>
          <w:color w:val="auto"/>
          <w:sz w:val="24"/>
          <w:highlight w:val="none"/>
        </w:rPr>
      </w:pPr>
    </w:p>
    <w:p w14:paraId="44933FCC">
      <w:pPr>
        <w:pageBreakBefore w:val="0"/>
        <w:kinsoku/>
        <w:wordWrap w:val="0"/>
        <w:bidi w:val="0"/>
        <w:spacing w:line="440" w:lineRule="exact"/>
        <w:rPr>
          <w:rFonts w:hint="default" w:ascii="Times New Roman" w:hAnsi="Times New Roman" w:cs="Times New Roman"/>
          <w:color w:val="auto"/>
          <w:sz w:val="24"/>
          <w:highlight w:val="none"/>
        </w:rPr>
      </w:pPr>
    </w:p>
    <w:p w14:paraId="4B4CA9BD">
      <w:pPr>
        <w:pageBreakBefore w:val="0"/>
        <w:kinsoku/>
        <w:wordWrap w:val="0"/>
        <w:bidi w:val="0"/>
        <w:spacing w:line="440" w:lineRule="exact"/>
        <w:jc w:val="righ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评标委员会授权的招标人或招标代理机构：</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（签字或盖单位章）</w:t>
      </w:r>
    </w:p>
    <w:p w14:paraId="179BDB2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477631E5">
      <w:pPr>
        <w:pageBreakBefore w:val="0"/>
        <w:kinsoku/>
        <w:wordWrap w:val="0"/>
        <w:bidi w:val="0"/>
        <w:spacing w:line="440" w:lineRule="exact"/>
        <w:ind w:right="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2DB3BD27">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358" w:name="_Toc23171"/>
      <w:bookmarkStart w:id="359" w:name="_Toc6756"/>
      <w:bookmarkStart w:id="360" w:name="_Toc234832927"/>
      <w:bookmarkStart w:id="361" w:name="_Toc31852"/>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问题的澄清</w:t>
      </w:r>
      <w:bookmarkEnd w:id="358"/>
      <w:bookmarkEnd w:id="359"/>
      <w:bookmarkEnd w:id="360"/>
      <w:bookmarkEnd w:id="361"/>
    </w:p>
    <w:p w14:paraId="19D978A5">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问题的澄清</w:t>
      </w:r>
    </w:p>
    <w:p w14:paraId="26AE2A58">
      <w:pPr>
        <w:pageBreakBefore w:val="0"/>
        <w:kinsoku/>
        <w:wordWrap w:val="0"/>
        <w:bidi w:val="0"/>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（编号：</w:t>
      </w:r>
      <w:r>
        <w:rPr>
          <w:rFonts w:hint="default" w:ascii="Times New Roman" w:hAnsi="Times New Roman" w:eastAsia="黑体" w:cs="Times New Roman"/>
          <w:color w:val="auto"/>
          <w:sz w:val="28"/>
          <w:highlight w:val="none"/>
          <w:u w:val="single"/>
        </w:rPr>
        <w:t xml:space="preserve">           </w:t>
      </w:r>
      <w:r>
        <w:rPr>
          <w:rFonts w:hint="default" w:ascii="Times New Roman" w:hAnsi="Times New Roman" w:cs="Times New Roman"/>
          <w:color w:val="auto"/>
          <w:highlight w:val="none"/>
        </w:rPr>
        <w:t>）</w:t>
      </w:r>
    </w:p>
    <w:p w14:paraId="5BED66D9">
      <w:pPr>
        <w:pageBreakBefore w:val="0"/>
        <w:kinsoku/>
        <w:wordWrap w:val="0"/>
        <w:bidi w:val="0"/>
        <w:spacing w:line="440" w:lineRule="exact"/>
        <w:rPr>
          <w:rFonts w:hint="default" w:ascii="Times New Roman" w:hAnsi="Times New Roman" w:cs="Times New Roman"/>
          <w:color w:val="auto"/>
          <w:sz w:val="24"/>
          <w:highlight w:val="none"/>
        </w:rPr>
      </w:pPr>
    </w:p>
    <w:p w14:paraId="455AB70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标段施工招标评标委员会：</w:t>
      </w:r>
    </w:p>
    <w:p w14:paraId="2EAE90D4">
      <w:pPr>
        <w:pageBreakBefore w:val="0"/>
        <w:kinsoku/>
        <w:wordWrap w:val="0"/>
        <w:bidi w:val="0"/>
        <w:spacing w:line="440" w:lineRule="exact"/>
        <w:rPr>
          <w:rFonts w:hint="default" w:ascii="Times New Roman" w:hAnsi="Times New Roman" w:cs="Times New Roman"/>
          <w:color w:val="auto"/>
          <w:sz w:val="24"/>
          <w:highlight w:val="none"/>
        </w:rPr>
      </w:pPr>
    </w:p>
    <w:p w14:paraId="10B48768">
      <w:pPr>
        <w:pageBreakBefore w:val="0"/>
        <w:kinsoku/>
        <w:wordWrap w:val="0"/>
        <w:bidi w:val="0"/>
        <w:spacing w:line="440" w:lineRule="exact"/>
        <w:rPr>
          <w:rFonts w:hint="default" w:ascii="Times New Roman" w:hAnsi="Times New Roman" w:cs="Times New Roman"/>
          <w:color w:val="auto"/>
          <w:sz w:val="24"/>
          <w:highlight w:val="none"/>
        </w:rPr>
      </w:pPr>
    </w:p>
    <w:p w14:paraId="33C721F3">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问题澄清通知（编号：</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）已收悉，现澄清、说明如下：</w:t>
      </w:r>
    </w:p>
    <w:p w14:paraId="2B28D0B9">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w:t>
      </w:r>
    </w:p>
    <w:p w14:paraId="198D722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w:t>
      </w:r>
    </w:p>
    <w:p w14:paraId="0F91214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0DF011A1">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50CD503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1EDD544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p>
    <w:p w14:paraId="68E92985">
      <w:pPr>
        <w:pageBreakBefore w:val="0"/>
        <w:kinsoku/>
        <w:wordWrap w:val="0"/>
        <w:bidi w:val="0"/>
        <w:spacing w:line="440" w:lineRule="exact"/>
        <w:rPr>
          <w:rFonts w:hint="default" w:ascii="Times New Roman" w:hAnsi="Times New Roman" w:cs="Times New Roman"/>
          <w:color w:val="auto"/>
          <w:sz w:val="24"/>
          <w:highlight w:val="none"/>
        </w:rPr>
      </w:pPr>
    </w:p>
    <w:p w14:paraId="5A6583D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上述问题澄清或说明，不改变我方投标文件的实质性内容，构成我方投标文件的组成部分。</w:t>
      </w:r>
    </w:p>
    <w:p w14:paraId="7CE0A311">
      <w:pPr>
        <w:pageBreakBefore w:val="0"/>
        <w:kinsoku/>
        <w:wordWrap w:val="0"/>
        <w:bidi w:val="0"/>
        <w:spacing w:line="440" w:lineRule="exact"/>
        <w:rPr>
          <w:rFonts w:hint="default" w:ascii="Times New Roman" w:hAnsi="Times New Roman" w:cs="Times New Roman"/>
          <w:color w:val="auto"/>
          <w:sz w:val="24"/>
          <w:highlight w:val="none"/>
        </w:rPr>
      </w:pPr>
    </w:p>
    <w:p w14:paraId="0AE95B5C">
      <w:pPr>
        <w:pageBreakBefore w:val="0"/>
        <w:kinsoku/>
        <w:wordWrap w:val="0"/>
        <w:bidi w:val="0"/>
        <w:spacing w:line="440" w:lineRule="exact"/>
        <w:rPr>
          <w:rFonts w:hint="default" w:ascii="Times New Roman" w:hAnsi="Times New Roman" w:cs="Times New Roman"/>
          <w:color w:val="auto"/>
          <w:sz w:val="24"/>
          <w:highlight w:val="none"/>
        </w:rPr>
      </w:pPr>
    </w:p>
    <w:p w14:paraId="17F3D014">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vertAlign w:val="superscript"/>
        </w:rPr>
        <w:footnoteReference w:id="31"/>
      </w:r>
    </w:p>
    <w:p w14:paraId="4840A9E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w:t>
      </w:r>
    </w:p>
    <w:p w14:paraId="45CE1CF6">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11B42DD0">
      <w:pPr>
        <w:pStyle w:val="2"/>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0"/>
          <w:szCs w:val="20"/>
          <w:highlight w:val="none"/>
        </w:rPr>
        <w:br w:type="page"/>
      </w:r>
      <w:bookmarkStart w:id="362" w:name="_Toc22225"/>
      <w:bookmarkStart w:id="363" w:name="_Toc234832928"/>
      <w:bookmarkStart w:id="364" w:name="_Toc15693"/>
      <w:bookmarkStart w:id="365" w:name="_Toc10765"/>
      <w:r>
        <w:rPr>
          <w:rFonts w:hint="default" w:ascii="Times New Roman" w:hAnsi="Times New Roman" w:eastAsia="黑体" w:cs="Times New Roman"/>
          <w:b w:val="0"/>
          <w:color w:val="auto"/>
          <w:sz w:val="24"/>
          <w:szCs w:val="24"/>
          <w:highlight w:val="none"/>
        </w:rPr>
        <w:t>附</w:t>
      </w:r>
      <w:r>
        <w:rPr>
          <w:rFonts w:hint="default" w:ascii="Times New Roman" w:hAnsi="Times New Roman" w:eastAsia="黑体" w:cs="Times New Roman"/>
          <w:b w:val="0"/>
          <w:color w:val="auto"/>
          <w:sz w:val="24"/>
          <w:szCs w:val="24"/>
          <w:highlight w:val="none"/>
          <w:lang w:eastAsia="zh-CN"/>
        </w:rPr>
        <w:t>件</w:t>
      </w:r>
      <w:r>
        <w:rPr>
          <w:rFonts w:hint="default" w:ascii="Times New Roman" w:hAnsi="Times New Roman" w:eastAsia="黑体" w:cs="Times New Roman"/>
          <w:b w:val="0"/>
          <w:color w:val="auto"/>
          <w:sz w:val="24"/>
          <w:szCs w:val="24"/>
          <w:highlight w:val="none"/>
        </w:rPr>
        <w:t>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中标通知书</w:t>
      </w:r>
      <w:bookmarkEnd w:id="362"/>
      <w:bookmarkEnd w:id="363"/>
      <w:bookmarkEnd w:id="364"/>
      <w:bookmarkEnd w:id="365"/>
    </w:p>
    <w:p w14:paraId="774D9AAD">
      <w:pPr>
        <w:pageBreakBefore w:val="0"/>
        <w:kinsoku/>
        <w:wordWrap w:val="0"/>
        <w:bidi w:val="0"/>
        <w:spacing w:line="440" w:lineRule="exact"/>
        <w:ind w:firstLine="3640" w:firstLineChars="1300"/>
        <w:rPr>
          <w:rFonts w:hint="default" w:ascii="Times New Roman" w:hAnsi="Times New Roman" w:eastAsia="黑体" w:cs="Times New Roman"/>
          <w:color w:val="auto"/>
          <w:sz w:val="28"/>
          <w:szCs w:val="28"/>
          <w:highlight w:val="none"/>
        </w:rPr>
      </w:pPr>
    </w:p>
    <w:p w14:paraId="4BA1BB56">
      <w:pPr>
        <w:pageBreakBefore w:val="0"/>
        <w:kinsoku/>
        <w:wordWrap w:val="0"/>
        <w:bidi w:val="0"/>
        <w:spacing w:line="600" w:lineRule="exact"/>
        <w:ind w:firstLine="0" w:firstLineChars="0"/>
        <w:rPr>
          <w:rFonts w:hint="default" w:ascii="Times New Roman" w:hAnsi="Times New Roman" w:cs="Times New Roman"/>
          <w:color w:val="auto"/>
          <w:sz w:val="24"/>
          <w:highlight w:val="none"/>
        </w:rPr>
      </w:pPr>
      <w:r>
        <w:rPr>
          <w:rFonts w:hint="eastAsia" w:ascii="宋体" w:hAnsi="宋体" w:eastAsia="宋体" w:cs="宋体"/>
          <w:color w:val="auto"/>
          <w:sz w:val="24"/>
          <w:szCs w:val="24"/>
          <w:highlight w:val="none"/>
          <w:u w:val="none"/>
          <w:lang w:val="en-US" w:eastAsia="zh-CN"/>
        </w:rPr>
        <w:t>以</w:t>
      </w:r>
      <w:r>
        <w:rPr>
          <w:rFonts w:hint="eastAsia" w:cs="Times New Roman"/>
          <w:color w:val="auto"/>
          <w:sz w:val="24"/>
          <w:szCs w:val="24"/>
          <w:highlight w:val="none"/>
          <w:u w:val="none"/>
          <w:lang w:val="en-US" w:eastAsia="zh-CN"/>
        </w:rPr>
        <w:t>辽宁省招标投标监管网</w:t>
      </w:r>
      <w:r>
        <w:rPr>
          <w:rFonts w:hint="default" w:cs="Times New Roman"/>
          <w:color w:val="auto"/>
          <w:sz w:val="24"/>
          <w:szCs w:val="24"/>
          <w:highlight w:val="none"/>
          <w:u w:val="none"/>
          <w:lang w:val="en-US" w:eastAsia="zh-CN"/>
        </w:rPr>
        <w:t>生成格式为准</w:t>
      </w:r>
      <w:r>
        <w:rPr>
          <w:rFonts w:hint="eastAsia" w:cs="Times New Roman"/>
          <w:color w:val="auto"/>
          <w:sz w:val="24"/>
          <w:szCs w:val="24"/>
          <w:highlight w:val="none"/>
          <w:u w:val="none"/>
          <w:lang w:val="en-US" w:eastAsia="zh-CN"/>
        </w:rPr>
        <w:t>（如有）</w:t>
      </w:r>
      <w:r>
        <w:rPr>
          <w:rFonts w:hint="default" w:cs="Times New Roman"/>
          <w:color w:val="auto"/>
          <w:sz w:val="24"/>
          <w:szCs w:val="24"/>
          <w:highlight w:val="none"/>
          <w:u w:val="none"/>
          <w:lang w:val="en-US" w:eastAsia="zh-CN"/>
        </w:rPr>
        <w:t>。</w:t>
      </w:r>
    </w:p>
    <w:p w14:paraId="0C674B26">
      <w:pPr>
        <w:pageBreakBefore w:val="0"/>
        <w:kinsoku/>
        <w:wordWrap w:val="0"/>
        <w:bidi w:val="0"/>
        <w:spacing w:line="440" w:lineRule="exact"/>
        <w:rPr>
          <w:rFonts w:hint="default" w:ascii="Times New Roman" w:hAnsi="Times New Roman" w:eastAsia="黑体" w:cs="Times New Roman"/>
          <w:color w:val="auto"/>
          <w:sz w:val="24"/>
          <w:highlight w:val="none"/>
        </w:rPr>
      </w:pPr>
    </w:p>
    <w:p w14:paraId="23209AFD">
      <w:pPr>
        <w:pageBreakBefore w:val="0"/>
        <w:kinsoku/>
        <w:wordWrap w:val="0"/>
        <w:bidi w:val="0"/>
        <w:spacing w:line="440" w:lineRule="exact"/>
        <w:rPr>
          <w:rFonts w:hint="default" w:ascii="Times New Roman" w:hAnsi="Times New Roman" w:cs="Times New Roman"/>
          <w:color w:val="auto"/>
          <w:sz w:val="20"/>
          <w:szCs w:val="20"/>
          <w:highlight w:val="none"/>
        </w:rPr>
      </w:pPr>
    </w:p>
    <w:p w14:paraId="27CB33D9">
      <w:pPr>
        <w:pageBreakBefore w:val="0"/>
        <w:kinsoku/>
        <w:wordWrap w:val="0"/>
        <w:bidi w:val="0"/>
        <w:spacing w:line="440" w:lineRule="exact"/>
        <w:rPr>
          <w:rFonts w:hint="default" w:ascii="Times New Roman" w:hAnsi="Times New Roman" w:cs="Times New Roman"/>
          <w:color w:val="auto"/>
          <w:sz w:val="20"/>
          <w:szCs w:val="20"/>
          <w:highlight w:val="none"/>
        </w:rPr>
      </w:pPr>
    </w:p>
    <w:p w14:paraId="3B4FE281">
      <w:pPr>
        <w:pageBreakBefore w:val="0"/>
        <w:kinsoku/>
        <w:wordWrap w:val="0"/>
        <w:bidi w:val="0"/>
        <w:spacing w:line="440" w:lineRule="exact"/>
        <w:rPr>
          <w:rFonts w:hint="default" w:ascii="Times New Roman" w:hAnsi="Times New Roman" w:cs="Times New Roman"/>
          <w:color w:val="auto"/>
          <w:sz w:val="20"/>
          <w:szCs w:val="20"/>
          <w:highlight w:val="none"/>
        </w:rPr>
      </w:pPr>
    </w:p>
    <w:p w14:paraId="0B6F8760">
      <w:pPr>
        <w:pageBreakBefore w:val="0"/>
        <w:kinsoku/>
        <w:wordWrap w:val="0"/>
        <w:bidi w:val="0"/>
        <w:spacing w:line="440" w:lineRule="exact"/>
        <w:rPr>
          <w:rFonts w:hint="default" w:ascii="Times New Roman" w:hAnsi="Times New Roman" w:cs="Times New Roman"/>
          <w:color w:val="auto"/>
          <w:sz w:val="20"/>
          <w:szCs w:val="20"/>
          <w:highlight w:val="none"/>
        </w:rPr>
      </w:pPr>
    </w:p>
    <w:p w14:paraId="172F304A">
      <w:pPr>
        <w:pageBreakBefore w:val="0"/>
        <w:kinsoku/>
        <w:wordWrap w:val="0"/>
        <w:bidi w:val="0"/>
        <w:spacing w:line="440" w:lineRule="exact"/>
        <w:rPr>
          <w:rFonts w:hint="default" w:ascii="Times New Roman" w:hAnsi="Times New Roman" w:cs="Times New Roman"/>
          <w:color w:val="auto"/>
          <w:sz w:val="20"/>
          <w:szCs w:val="20"/>
          <w:highlight w:val="none"/>
        </w:rPr>
      </w:pPr>
    </w:p>
    <w:p w14:paraId="57C73C54">
      <w:pPr>
        <w:pageBreakBefore w:val="0"/>
        <w:kinsoku/>
        <w:wordWrap w:val="0"/>
        <w:bidi w:val="0"/>
        <w:spacing w:line="440" w:lineRule="exact"/>
        <w:rPr>
          <w:rFonts w:hint="default" w:ascii="Times New Roman" w:hAnsi="Times New Roman" w:cs="Times New Roman"/>
          <w:color w:val="auto"/>
          <w:sz w:val="20"/>
          <w:szCs w:val="20"/>
          <w:highlight w:val="none"/>
        </w:rPr>
      </w:pPr>
    </w:p>
    <w:p w14:paraId="14874330">
      <w:pPr>
        <w:pageBreakBefore w:val="0"/>
        <w:kinsoku/>
        <w:wordWrap w:val="0"/>
        <w:bidi w:val="0"/>
        <w:spacing w:line="440" w:lineRule="exact"/>
        <w:rPr>
          <w:rFonts w:hint="default" w:ascii="Times New Roman" w:hAnsi="Times New Roman" w:cs="Times New Roman"/>
          <w:color w:val="auto"/>
          <w:sz w:val="20"/>
          <w:szCs w:val="20"/>
          <w:highlight w:val="none"/>
        </w:rPr>
      </w:pPr>
    </w:p>
    <w:p w14:paraId="1A5EFF28">
      <w:pPr>
        <w:pageBreakBefore w:val="0"/>
        <w:kinsoku/>
        <w:wordWrap w:val="0"/>
        <w:bidi w:val="0"/>
        <w:spacing w:before="0" w:after="0" w:line="240" w:lineRule="atLeast"/>
        <w:rPr>
          <w:rFonts w:hint="default" w:ascii="Times New Roman" w:hAnsi="Times New Roman" w:eastAsia="黑体" w:cs="Times New Roman"/>
          <w:b w:val="0"/>
          <w:color w:val="auto"/>
          <w:sz w:val="24"/>
          <w:szCs w:val="24"/>
          <w:highlight w:val="none"/>
        </w:rPr>
      </w:pPr>
      <w:bookmarkStart w:id="366" w:name="_Toc234832929"/>
      <w:r>
        <w:rPr>
          <w:rFonts w:hint="default" w:ascii="Times New Roman" w:hAnsi="Times New Roman" w:eastAsia="黑体" w:cs="Times New Roman"/>
          <w:b w:val="0"/>
          <w:color w:val="auto"/>
          <w:sz w:val="24"/>
          <w:szCs w:val="24"/>
          <w:highlight w:val="none"/>
        </w:rPr>
        <w:br w:type="page"/>
      </w:r>
    </w:p>
    <w:bookmarkEnd w:id="366"/>
    <w:p w14:paraId="5671389B">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41302D71">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B41DCA0">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2704DE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06523F3">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1E46367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DB641B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73926E4D">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2A543666">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5BBCA9FC">
      <w:pPr>
        <w:pageBreakBefore w:val="0"/>
        <w:kinsoku/>
        <w:wordWrap w:val="0"/>
        <w:topLinePunct/>
        <w:bidi w:val="0"/>
        <w:spacing w:line="440" w:lineRule="exact"/>
        <w:ind w:right="31" w:rightChars="15"/>
        <w:jc w:val="center"/>
        <w:rPr>
          <w:rFonts w:hint="default" w:ascii="Times New Roman" w:hAnsi="Times New Roman" w:eastAsia="黑体" w:cs="Times New Roman"/>
          <w:color w:val="auto"/>
          <w:sz w:val="32"/>
          <w:szCs w:val="32"/>
          <w:highlight w:val="none"/>
        </w:rPr>
      </w:pPr>
    </w:p>
    <w:p w14:paraId="325B1AF3">
      <w:pPr>
        <w:pageBreakBefore w:val="0"/>
        <w:kinsoku/>
        <w:wordWrap w:val="0"/>
        <w:topLinePunct/>
        <w:bidi w:val="0"/>
        <w:spacing w:line="240" w:lineRule="atLeast"/>
        <w:ind w:right="31" w:rightChars="15"/>
        <w:jc w:val="center"/>
        <w:rPr>
          <w:rFonts w:hint="default" w:ascii="Times New Roman" w:hAnsi="Times New Roman" w:eastAsia="黑体" w:cs="Times New Roman"/>
          <w:color w:val="auto"/>
          <w:sz w:val="36"/>
          <w:szCs w:val="36"/>
          <w:highlight w:val="none"/>
        </w:rPr>
        <w:sectPr>
          <w:headerReference r:id="rId27" w:type="default"/>
          <w:footerReference r:id="rId29" w:type="default"/>
          <w:headerReference r:id="rId28" w:type="even"/>
          <w:footerReference r:id="rId30"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eastAsia="黑体" w:cs="Times New Roman"/>
          <w:color w:val="auto"/>
          <w:sz w:val="56"/>
          <w:szCs w:val="56"/>
          <w:highlight w:val="none"/>
        </w:rPr>
        <w:t>第三章  评标办法</w:t>
      </w:r>
    </w:p>
    <w:p w14:paraId="500C3D81">
      <w:pPr>
        <w:spacing w:line="400" w:lineRule="atLeast"/>
        <w:rPr>
          <w:rFonts w:hint="default" w:ascii="Times New Roman" w:hAnsi="Times New Roman" w:eastAsia="宋体" w:cs="Times New Roman"/>
          <w:color w:val="auto"/>
          <w:sz w:val="24"/>
          <w:highlight w:val="none"/>
        </w:rPr>
      </w:pPr>
      <w:bookmarkStart w:id="367" w:name="_Toc234832931"/>
    </w:p>
    <w:p w14:paraId="27E7FD13">
      <w:pPr>
        <w:pStyle w:val="2"/>
        <w:pageBreakBefore w:val="0"/>
        <w:kinsoku/>
        <w:wordWrap w:val="0"/>
        <w:bidi w:val="0"/>
        <w:spacing w:before="0" w:after="120" w:afterLines="50" w:line="240" w:lineRule="atLeast"/>
        <w:jc w:val="center"/>
        <w:rPr>
          <w:rFonts w:hint="default" w:ascii="Times New Roman" w:hAnsi="Times New Roman" w:eastAsia="黑体" w:cs="Times New Roman"/>
          <w:b w:val="0"/>
          <w:color w:val="auto"/>
          <w:sz w:val="42"/>
          <w:szCs w:val="42"/>
          <w:highlight w:val="none"/>
        </w:rPr>
      </w:pPr>
      <w:bookmarkStart w:id="368" w:name="_Toc14682"/>
      <w:bookmarkStart w:id="369" w:name="_Toc26505"/>
      <w:bookmarkStart w:id="370" w:name="_Toc10728"/>
      <w:r>
        <w:rPr>
          <w:rFonts w:hint="default" w:ascii="Times New Roman" w:hAnsi="Times New Roman" w:eastAsia="黑体" w:cs="Times New Roman"/>
          <w:b w:val="0"/>
          <w:color w:val="auto"/>
          <w:sz w:val="42"/>
          <w:szCs w:val="42"/>
          <w:highlight w:val="none"/>
        </w:rPr>
        <w:t>第三章  评标办法（合理低价法）</w:t>
      </w:r>
      <w:r>
        <w:rPr>
          <w:rStyle w:val="47"/>
          <w:rFonts w:hint="default" w:ascii="Times New Roman" w:hAnsi="Times New Roman" w:eastAsia="黑体" w:cs="Times New Roman"/>
          <w:color w:val="auto"/>
          <w:sz w:val="42"/>
          <w:szCs w:val="42"/>
          <w:highlight w:val="none"/>
        </w:rPr>
        <w:footnoteReference w:id="32"/>
      </w:r>
      <w:bookmarkEnd w:id="367"/>
      <w:bookmarkEnd w:id="368"/>
      <w:bookmarkEnd w:id="369"/>
      <w:bookmarkEnd w:id="370"/>
    </w:p>
    <w:p w14:paraId="2D2DF495">
      <w:pPr>
        <w:pageBreakBefore w:val="0"/>
        <w:kinsoku/>
        <w:wordWrap w:val="0"/>
        <w:bidi w:val="0"/>
        <w:spacing w:line="420" w:lineRule="atLeast"/>
        <w:rPr>
          <w:rFonts w:hint="default" w:ascii="Times New Roman" w:hAnsi="Times New Roman" w:eastAsia="黑体" w:cs="Times New Roman"/>
          <w:color w:val="auto"/>
          <w:sz w:val="20"/>
          <w:szCs w:val="20"/>
          <w:highlight w:val="none"/>
        </w:rPr>
      </w:pPr>
    </w:p>
    <w:p w14:paraId="07BBF582">
      <w:pPr>
        <w:pStyle w:val="2"/>
        <w:pageBreakBefore w:val="0"/>
        <w:kinsoku/>
        <w:wordWrap w:val="0"/>
        <w:bidi w:val="0"/>
        <w:spacing w:before="0" w:after="0" w:line="240" w:lineRule="atLeast"/>
        <w:outlineLvl w:val="1"/>
        <w:rPr>
          <w:rFonts w:hint="default" w:ascii="Times New Roman" w:hAnsi="Times New Roman" w:eastAsia="黑体" w:cs="Times New Roman"/>
          <w:b w:val="0"/>
          <w:color w:val="auto"/>
          <w:sz w:val="28"/>
          <w:szCs w:val="28"/>
          <w:highlight w:val="none"/>
        </w:rPr>
      </w:pPr>
      <w:bookmarkStart w:id="371" w:name="_Toc234832932"/>
      <w:bookmarkStart w:id="372" w:name="_Toc17606"/>
      <w:bookmarkStart w:id="373" w:name="_Toc8233"/>
      <w:bookmarkStart w:id="374" w:name="_Toc11316"/>
      <w:r>
        <w:rPr>
          <w:rFonts w:hint="default" w:ascii="Times New Roman" w:hAnsi="Times New Roman" w:eastAsia="黑体" w:cs="Times New Roman"/>
          <w:b w:val="0"/>
          <w:color w:val="auto"/>
          <w:sz w:val="24"/>
          <w:szCs w:val="24"/>
          <w:highlight w:val="none"/>
        </w:rPr>
        <w:t>评标办法前附表</w:t>
      </w:r>
      <w:r>
        <w:rPr>
          <w:rFonts w:hint="default" w:ascii="Times New Roman" w:hAnsi="Times New Roman" w:eastAsia="黑体" w:cs="Times New Roman"/>
          <w:b w:val="0"/>
          <w:color w:val="auto"/>
          <w:sz w:val="28"/>
          <w:szCs w:val="28"/>
          <w:highlight w:val="none"/>
        </w:rPr>
        <w:t xml:space="preserve"> </w:t>
      </w:r>
      <w:r>
        <w:rPr>
          <w:rStyle w:val="47"/>
          <w:rFonts w:hint="default" w:ascii="Times New Roman" w:hAnsi="Times New Roman" w:cs="Times New Roman"/>
          <w:color w:val="auto"/>
          <w:sz w:val="28"/>
          <w:szCs w:val="28"/>
          <w:highlight w:val="none"/>
        </w:rPr>
        <w:footnoteReference w:id="33"/>
      </w:r>
      <w:bookmarkEnd w:id="371"/>
      <w:bookmarkEnd w:id="372"/>
      <w:bookmarkEnd w:id="373"/>
      <w:bookmarkEnd w:id="374"/>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0C515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71820297">
            <w:pPr>
              <w:pageBreakBefore w:val="0"/>
              <w:kinsoku/>
              <w:wordWrap w:val="0"/>
              <w:bidi w:val="0"/>
              <w:spacing w:line="400" w:lineRule="atLeast"/>
              <w:jc w:val="center"/>
              <w:rPr>
                <w:rFonts w:hint="default" w:ascii="Times New Roman" w:hAnsi="Times New Roman" w:cs="Times New Roman"/>
                <w:b/>
                <w:szCs w:val="21"/>
                <w:highlight w:val="yellow"/>
              </w:rPr>
            </w:pPr>
            <w:r>
              <w:rPr>
                <w:rFonts w:hint="default" w:ascii="Times New Roman" w:hAnsi="Times New Roman" w:cs="Times New Roman"/>
                <w:b/>
                <w:szCs w:val="21"/>
                <w:highlight w:val="yellow"/>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172B4E0D">
            <w:pPr>
              <w:pageBreakBefore w:val="0"/>
              <w:kinsoku/>
              <w:wordWrap w:val="0"/>
              <w:bidi w:val="0"/>
              <w:spacing w:line="400" w:lineRule="atLeast"/>
              <w:jc w:val="center"/>
              <w:rPr>
                <w:rFonts w:hint="default" w:ascii="Times New Roman" w:hAnsi="Times New Roman" w:cs="Times New Roman"/>
                <w:b/>
                <w:szCs w:val="21"/>
                <w:highlight w:val="yellow"/>
              </w:rPr>
            </w:pPr>
            <w:r>
              <w:rPr>
                <w:rFonts w:hint="default" w:ascii="Times New Roman" w:hAnsi="Times New Roman" w:cs="Times New Roman"/>
                <w:b/>
                <w:szCs w:val="21"/>
                <w:highlight w:val="yellow"/>
              </w:rPr>
              <w:t>评审因素与评审标准</w:t>
            </w:r>
          </w:p>
        </w:tc>
      </w:tr>
      <w:tr w14:paraId="4B80A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71FF52F2">
            <w:pPr>
              <w:pageBreakBefore w:val="0"/>
              <w:kinsoku/>
              <w:wordWrap w:val="0"/>
              <w:bidi w:val="0"/>
              <w:spacing w:line="40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1</w:t>
            </w:r>
          </w:p>
        </w:tc>
        <w:tc>
          <w:tcPr>
            <w:tcW w:w="1124" w:type="dxa"/>
            <w:tcBorders>
              <w:top w:val="single" w:color="auto" w:sz="4" w:space="0"/>
              <w:bottom w:val="single" w:color="auto" w:sz="4" w:space="0"/>
              <w:right w:val="single" w:color="auto" w:sz="4" w:space="0"/>
            </w:tcBorders>
            <w:noWrap w:val="0"/>
            <w:vAlign w:val="center"/>
          </w:tcPr>
          <w:p w14:paraId="3A4EE452">
            <w:pPr>
              <w:pageBreakBefore w:val="0"/>
              <w:kinsoku/>
              <w:wordWrap w:val="0"/>
              <w:bidi w:val="0"/>
              <w:spacing w:line="40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评标方法</w:t>
            </w:r>
          </w:p>
        </w:tc>
        <w:tc>
          <w:tcPr>
            <w:tcW w:w="6616" w:type="dxa"/>
            <w:gridSpan w:val="3"/>
            <w:tcBorders>
              <w:top w:val="single" w:color="auto" w:sz="4" w:space="0"/>
              <w:left w:val="single" w:color="auto" w:sz="4" w:space="0"/>
              <w:right w:val="single" w:color="auto" w:sz="4" w:space="0"/>
            </w:tcBorders>
            <w:noWrap w:val="0"/>
            <w:vAlign w:val="center"/>
          </w:tcPr>
          <w:p w14:paraId="1296B38F">
            <w:pPr>
              <w:spacing w:before="154" w:line="369" w:lineRule="auto"/>
              <w:ind w:left="103" w:right="96" w:firstLine="437"/>
              <w:rPr>
                <w:rFonts w:ascii="宋体" w:hAnsi="宋体" w:eastAsia="宋体" w:cs="宋体"/>
                <w:spacing w:val="6"/>
                <w:sz w:val="20"/>
                <w:szCs w:val="20"/>
                <w:highlight w:val="yellow"/>
              </w:rPr>
            </w:pPr>
            <w:r>
              <w:rPr>
                <w:rFonts w:ascii="Times New Roman" w:hAnsi="Times New Roman" w:eastAsia="Times New Roman" w:cs="Times New Roman"/>
                <w:spacing w:val="6"/>
                <w:sz w:val="20"/>
                <w:szCs w:val="20"/>
                <w:highlight w:val="yellow"/>
              </w:rPr>
              <w:t xml:space="preserve">1. 1 </w:t>
            </w:r>
            <w:r>
              <w:rPr>
                <w:rFonts w:ascii="宋体" w:hAnsi="宋体" w:eastAsia="宋体" w:cs="宋体"/>
                <w:spacing w:val="6"/>
                <w:sz w:val="20"/>
                <w:szCs w:val="20"/>
                <w:highlight w:val="yellow"/>
              </w:rPr>
              <w:t>本次评标采用双信封形式合理低价法，评标委员会首先对投标文件第一个信封 (商</w:t>
            </w:r>
            <w:r>
              <w:rPr>
                <w:rFonts w:ascii="宋体" w:hAnsi="宋体" w:eastAsia="宋体" w:cs="宋体"/>
                <w:spacing w:val="3"/>
                <w:sz w:val="20"/>
                <w:szCs w:val="20"/>
                <w:highlight w:val="yellow"/>
              </w:rPr>
              <w:t>务</w:t>
            </w:r>
            <w:r>
              <w:rPr>
                <w:rFonts w:ascii="宋体" w:hAnsi="宋体" w:eastAsia="宋体" w:cs="宋体"/>
                <w:sz w:val="20"/>
                <w:szCs w:val="20"/>
                <w:highlight w:val="yellow"/>
              </w:rPr>
              <w:t xml:space="preserve">与 </w:t>
            </w:r>
            <w:r>
              <w:rPr>
                <w:rFonts w:ascii="宋体" w:hAnsi="宋体" w:eastAsia="宋体" w:cs="宋体"/>
                <w:spacing w:val="12"/>
                <w:sz w:val="20"/>
                <w:szCs w:val="20"/>
                <w:highlight w:val="yellow"/>
              </w:rPr>
              <w:t>技</w:t>
            </w:r>
            <w:r>
              <w:rPr>
                <w:rFonts w:ascii="宋体" w:hAnsi="宋体" w:eastAsia="宋体" w:cs="宋体"/>
                <w:spacing w:val="10"/>
                <w:sz w:val="20"/>
                <w:szCs w:val="20"/>
                <w:highlight w:val="yellow"/>
              </w:rPr>
              <w:t>术文件) 进行初步评审 (形式评审与响应性评审、资格评审) ，通过第一个信封初步评审后</w:t>
            </w:r>
            <w:r>
              <w:rPr>
                <w:rFonts w:ascii="宋体" w:hAnsi="宋体" w:eastAsia="宋体" w:cs="宋体"/>
                <w:sz w:val="20"/>
                <w:szCs w:val="20"/>
                <w:highlight w:val="yellow"/>
              </w:rPr>
              <w:t xml:space="preserve"> </w:t>
            </w:r>
            <w:r>
              <w:rPr>
                <w:rFonts w:ascii="宋体" w:hAnsi="宋体" w:eastAsia="宋体" w:cs="宋体"/>
                <w:spacing w:val="20"/>
                <w:sz w:val="20"/>
                <w:szCs w:val="20"/>
                <w:highlight w:val="yellow"/>
              </w:rPr>
              <w:t>的</w:t>
            </w:r>
            <w:r>
              <w:rPr>
                <w:rFonts w:ascii="宋体" w:hAnsi="宋体" w:eastAsia="宋体" w:cs="宋体"/>
                <w:spacing w:val="12"/>
                <w:sz w:val="20"/>
                <w:szCs w:val="20"/>
                <w:highlight w:val="yellow"/>
              </w:rPr>
              <w:t>投</w:t>
            </w:r>
            <w:r>
              <w:rPr>
                <w:rFonts w:ascii="宋体" w:hAnsi="宋体" w:eastAsia="宋体" w:cs="宋体"/>
                <w:spacing w:val="10"/>
                <w:sz w:val="20"/>
                <w:szCs w:val="20"/>
                <w:highlight w:val="yellow"/>
              </w:rPr>
              <w:t>标文件方可进入第二个信封 (报价文件) 的开标。第二个信封的开标在监督人的监督</w:t>
            </w:r>
            <w:r>
              <w:rPr>
                <w:rFonts w:ascii="宋体" w:hAnsi="宋体" w:eastAsia="宋体" w:cs="宋体"/>
                <w:spacing w:val="6"/>
                <w:sz w:val="20"/>
                <w:szCs w:val="20"/>
                <w:highlight w:val="yellow"/>
              </w:rPr>
              <w:t>下进 行，未通过第一个信封初步评审投标人的第二个信封原封退回，不参与第二个信封的开标。评 标委员会对投标文件第二个信封进行形式和响应性评审，并按照本章第 2.2 款规定的评分标准 进行评分，然后按评标价得分由高到低顺序推荐中标候选人，但投标报价低于其成本的除外。</w:t>
            </w:r>
          </w:p>
          <w:p w14:paraId="71006A3C">
            <w:pPr>
              <w:spacing w:before="154" w:line="369" w:lineRule="auto"/>
              <w:ind w:left="103" w:right="96" w:firstLine="437"/>
              <w:rPr>
                <w:rFonts w:hint="eastAsia" w:ascii="宋体" w:hAnsi="宋体" w:eastAsia="宋体" w:cs="宋体"/>
                <w:spacing w:val="6"/>
                <w:sz w:val="20"/>
                <w:szCs w:val="20"/>
                <w:highlight w:val="yellow"/>
              </w:rPr>
            </w:pPr>
            <w:r>
              <w:rPr>
                <w:rFonts w:ascii="宋体" w:hAnsi="宋体" w:eastAsia="宋体" w:cs="宋体"/>
                <w:spacing w:val="6"/>
                <w:sz w:val="20"/>
                <w:szCs w:val="20"/>
                <w:highlight w:val="yellow"/>
              </w:rPr>
              <w:t xml:space="preserve">1.2 </w:t>
            </w:r>
            <w:r>
              <w:rPr>
                <w:rFonts w:hint="eastAsia" w:ascii="宋体" w:hAnsi="宋体" w:eastAsia="宋体" w:cs="宋体"/>
                <w:spacing w:val="6"/>
                <w:sz w:val="20"/>
                <w:szCs w:val="20"/>
                <w:highlight w:val="yellow"/>
              </w:rPr>
              <w:t>当两家及以上投标人在标段中的评标价得分相等时，若评标价不相等，以评标价较低者 优先；当两家及以上投标人在标段中的评标价得分相等且评标价也相等时，若各投标人工程量 清单子目单价也相同时，视为串标，其投标均被否决。</w:t>
            </w:r>
          </w:p>
          <w:p w14:paraId="40B883C4">
            <w:pPr>
              <w:spacing w:before="154" w:line="369" w:lineRule="auto"/>
              <w:ind w:left="103" w:right="96" w:firstLine="437"/>
              <w:rPr>
                <w:rFonts w:hint="eastAsia" w:ascii="宋体" w:hAnsi="宋体" w:eastAsia="宋体" w:cs="宋体"/>
                <w:spacing w:val="6"/>
                <w:sz w:val="20"/>
                <w:szCs w:val="20"/>
                <w:highlight w:val="yellow"/>
              </w:rPr>
            </w:pPr>
            <w:r>
              <w:rPr>
                <w:rFonts w:hint="eastAsia" w:ascii="宋体" w:hAnsi="宋体" w:eastAsia="宋体" w:cs="宋体"/>
                <w:spacing w:val="6"/>
                <w:sz w:val="20"/>
                <w:szCs w:val="20"/>
                <w:highlight w:val="yellow"/>
              </w:rPr>
              <w:t>当两家及以上投标人在标段中的评标价得分相等且评标价也相等时，若各投标人工程量清单子目单价不尽相同时，则由评标委员会根据施工组织设计的编制情况投票确定其推荐顺序。</w:t>
            </w:r>
          </w:p>
          <w:p w14:paraId="0ACD8D28">
            <w:pPr>
              <w:spacing w:before="154" w:line="369" w:lineRule="auto"/>
              <w:ind w:left="103" w:right="96" w:firstLine="437"/>
              <w:rPr>
                <w:rFonts w:ascii="宋体" w:hAnsi="宋体" w:eastAsia="宋体" w:cs="宋体"/>
                <w:spacing w:val="6"/>
                <w:sz w:val="20"/>
                <w:szCs w:val="20"/>
                <w:highlight w:val="yellow"/>
              </w:rPr>
            </w:pPr>
            <w:r>
              <w:rPr>
                <w:rFonts w:ascii="宋体" w:hAnsi="宋体" w:eastAsia="宋体" w:cs="宋体"/>
                <w:spacing w:val="6"/>
                <w:sz w:val="20"/>
                <w:szCs w:val="20"/>
                <w:highlight w:val="yellow"/>
              </w:rPr>
              <w:t>1.3 评标委员会将按照确定的推荐次序推荐中标候选人。</w:t>
            </w:r>
          </w:p>
          <w:p w14:paraId="3DBA63F9">
            <w:pPr>
              <w:spacing w:before="154" w:line="369" w:lineRule="auto"/>
              <w:ind w:left="103" w:right="96" w:firstLine="437"/>
              <w:rPr>
                <w:rFonts w:ascii="宋体" w:hAnsi="宋体" w:eastAsia="宋体" w:cs="宋体"/>
                <w:spacing w:val="6"/>
                <w:sz w:val="20"/>
                <w:szCs w:val="20"/>
                <w:highlight w:val="yellow"/>
              </w:rPr>
            </w:pPr>
            <w:r>
              <w:rPr>
                <w:rFonts w:ascii="宋体" w:hAnsi="宋体" w:eastAsia="宋体" w:cs="宋体"/>
                <w:spacing w:val="6"/>
                <w:sz w:val="20"/>
                <w:szCs w:val="20"/>
                <w:highlight w:val="yellow"/>
              </w:rPr>
              <w:t>1.4 某一标段通过第一个信封评审且参与第二个信封开标的投标人在 3 个及以上的，招标人 将按规定的程序进行第二个信封开标；在对第二个信封进行评审后，有效投标不足 3 个使得投 标明显缺乏竞争的，评标委员会可以否决这一标段的全部投标。评标委员会未否决全部投标的， 应当在评标报告中阐明理由并推荐这一标段中标候选人。</w:t>
            </w:r>
          </w:p>
          <w:p w14:paraId="539EF152">
            <w:pPr>
              <w:spacing w:before="154" w:line="369" w:lineRule="auto"/>
              <w:ind w:left="103" w:right="96" w:firstLine="437"/>
              <w:rPr>
                <w:rFonts w:hint="default" w:ascii="Times New Roman" w:hAnsi="Times New Roman" w:cs="Times New Roman"/>
                <w:szCs w:val="21"/>
                <w:highlight w:val="yellow"/>
              </w:rPr>
            </w:pPr>
            <w:r>
              <w:rPr>
                <w:rFonts w:ascii="宋体" w:hAnsi="宋体" w:eastAsia="宋体" w:cs="宋体"/>
                <w:spacing w:val="6"/>
                <w:sz w:val="20"/>
                <w:szCs w:val="20"/>
                <w:highlight w:val="yellow"/>
              </w:rPr>
              <w:t>某一标段通过第一个信封评审且参与第二个信封开标的投标人少于 3 个的，评标委员会可 以否决这一标段全部投标；未否决这一标段全部投标的，评标委员会应当在评标报告中阐明理 由，招标人将按规定的程序进行第二个信封开标，但评标委员会在进行第二个信封评审时仍有 权否决这一标段全部投标；评标委员会未在第二个信封评审时否决全部投标的，应当在评标报告中阐明理由并推荐这一标段中标候选人。</w:t>
            </w:r>
          </w:p>
        </w:tc>
      </w:tr>
      <w:tr w14:paraId="5BB24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0BD8DC18">
            <w:pPr>
              <w:pageBreakBefore w:val="0"/>
              <w:kinsoku/>
              <w:wordWrap w:val="0"/>
              <w:bidi w:val="0"/>
              <w:spacing w:line="40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2.1.1</w:t>
            </w:r>
          </w:p>
          <w:p w14:paraId="35682629">
            <w:pPr>
              <w:pageBreakBefore w:val="0"/>
              <w:kinsoku/>
              <w:wordWrap w:val="0"/>
              <w:bidi w:val="0"/>
              <w:spacing w:line="40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2.1.3</w:t>
            </w:r>
          </w:p>
        </w:tc>
        <w:tc>
          <w:tcPr>
            <w:tcW w:w="1124" w:type="dxa"/>
            <w:tcBorders>
              <w:top w:val="single" w:color="auto" w:sz="4" w:space="0"/>
              <w:bottom w:val="single" w:color="auto" w:sz="4" w:space="0"/>
              <w:right w:val="single" w:color="auto" w:sz="4" w:space="0"/>
            </w:tcBorders>
            <w:noWrap w:val="0"/>
            <w:vAlign w:val="center"/>
          </w:tcPr>
          <w:p w14:paraId="3EABD90B">
            <w:pPr>
              <w:pageBreakBefore w:val="0"/>
              <w:kinsoku/>
              <w:wordWrap w:val="0"/>
              <w:bidi w:val="0"/>
              <w:spacing w:line="40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38D6558A">
            <w:pPr>
              <w:pageBreakBefore w:val="0"/>
              <w:kinsoku/>
              <w:wordWrap w:val="0"/>
              <w:bidi w:val="0"/>
              <w:spacing w:line="360" w:lineRule="atLeast"/>
              <w:ind w:firstLine="422" w:firstLineChars="200"/>
              <w:rPr>
                <w:rFonts w:hint="default" w:ascii="Times New Roman" w:hAnsi="Times New Roman" w:cs="Times New Roman"/>
                <w:b/>
                <w:szCs w:val="21"/>
                <w:highlight w:val="yellow"/>
              </w:rPr>
            </w:pPr>
            <w:r>
              <w:rPr>
                <w:rFonts w:hint="default" w:ascii="Times New Roman" w:hAnsi="Times New Roman" w:cs="Times New Roman"/>
                <w:b/>
                <w:szCs w:val="21"/>
                <w:highlight w:val="yellow"/>
              </w:rPr>
              <w:t>第一个信封（商务及技术文件）评审标准：</w:t>
            </w:r>
          </w:p>
          <w:p w14:paraId="3234522A">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（1）投标文件按照招标文件规定的格式、内容填写，字迹清晰可辨：</w:t>
            </w:r>
          </w:p>
          <w:p w14:paraId="378EAEBA">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a.投标函按招标文件规定填报了项目名称、标段号、补遗书编号（如有）、工期、工程质量要求及安全目标；</w:t>
            </w:r>
          </w:p>
          <w:p w14:paraId="62BD457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b.投标函附录的所有数据均符合招标文件规定；</w:t>
            </w:r>
          </w:p>
          <w:p w14:paraId="6CAE701C">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c.投标文件组成齐全完整，内容均按规定填写。</w:t>
            </w:r>
          </w:p>
          <w:p w14:paraId="65FC3D93">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（2）投标文件上法定代表人或其委托代理人的签字、投标人的单位章盖章齐全，符合招标文件规定。</w:t>
            </w:r>
          </w:p>
          <w:p w14:paraId="25E3D1DC">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eastAsia" w:cs="Times New Roman"/>
                <w:szCs w:val="21"/>
                <w:highlight w:val="yellow"/>
                <w:lang w:val="en-US" w:eastAsia="zh-CN"/>
              </w:rPr>
              <w:t>3</w:t>
            </w:r>
            <w:r>
              <w:rPr>
                <w:rFonts w:hint="default" w:ascii="Times New Roman" w:hAnsi="Times New Roman" w:cs="Times New Roman"/>
                <w:szCs w:val="21"/>
                <w:highlight w:val="yellow"/>
              </w:rPr>
              <w:t>）投标人按照招标文件的规定提供了投标保证金：</w:t>
            </w:r>
          </w:p>
          <w:p w14:paraId="210A23F5">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a.投标保证金金额符合招标文件规定的金额，且投标保证金有效期不少于投标有效期；</w:t>
            </w:r>
          </w:p>
          <w:p w14:paraId="1B4921B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b.若投标保证金采用现金或支票形式提交，投标人应在递交投标文件截止时间之前，将投标保证金由投标人的基本账户转入招标人指定账户；</w:t>
            </w:r>
          </w:p>
          <w:p w14:paraId="74606518">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c.若投标保证金采用银行保函形式提交，银行保函的格式、开具保函的银行均满足招标文件要求。</w:t>
            </w:r>
          </w:p>
          <w:p w14:paraId="2836355C">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（4）投标人法定代表人授权委托代理人签署投标文件的，须提交授权委托书，且授权人和被授权人均在授权委托书上使用CA 数字证书加盖个人电子印章或电子签名章。</w:t>
            </w:r>
          </w:p>
          <w:p w14:paraId="10B49899">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（5）投标人法定代表人亲自签署投标文件的，提供了法定代表人身份证明，且法定代表人在法定代表人身份证明上使用CA 数字证书加盖个人电子印章或电子签名章。</w:t>
            </w:r>
          </w:p>
          <w:p w14:paraId="5D566FE9">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（6）投标人以联合体形式投标时，联合体满足招标文件的要求：投标人按照招标文件提供的格式签订了联合体协议书，明确各方承担连带责任，并明确了联合体牵头人。</w:t>
            </w:r>
          </w:p>
          <w:p w14:paraId="54753C79">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（7）投标人如有分包计划，符合招标文件第二章“投标人须知”第1.11款规定，且按招标文件第九章“投标文件格式”的要求填写了“拟分包项目情况表”。</w:t>
            </w:r>
          </w:p>
          <w:p w14:paraId="459BD796">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（8）同一投标人未提交两个以上不同的投标文件，但招标文件要求提交备选投标的除外。</w:t>
            </w:r>
          </w:p>
          <w:p w14:paraId="18BE6446">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（9）投标文件中未出现有关投标报价的内容。</w:t>
            </w:r>
          </w:p>
          <w:p w14:paraId="312B1918">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（10）投标文件载明的招标项目完成期限未超过招标文件规定的时限。</w:t>
            </w:r>
          </w:p>
          <w:p w14:paraId="68F19F00">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（11）投标文件对招标文件的实质性要求和条件作出响应。</w:t>
            </w:r>
          </w:p>
          <w:p w14:paraId="33F1A070">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（12）权利义务符合招标文件规定：</w:t>
            </w:r>
          </w:p>
          <w:p w14:paraId="405C0CE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a.投标人应接受招标文件规定的风险划分原则，未提出新的风险划分办法；</w:t>
            </w:r>
          </w:p>
          <w:p w14:paraId="53865815">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b.投标人未增加发包人的责任范围，或减少投标人义务；</w:t>
            </w:r>
          </w:p>
          <w:p w14:paraId="4F916527">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c.投标人未提出不同的工程验收、计量、支付办法；</w:t>
            </w:r>
          </w:p>
          <w:p w14:paraId="5649F30F">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d.投标人对合同纠纷、事故处理办法未提出异议；</w:t>
            </w:r>
          </w:p>
          <w:p w14:paraId="09762523">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e.投标人在投标活动中无欺诈行为；</w:t>
            </w:r>
          </w:p>
          <w:p w14:paraId="289FA3E5">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f.投标人未对合同条款有重要保留。</w:t>
            </w:r>
          </w:p>
          <w:p w14:paraId="4819F4AE">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（13）“施工组织设计”采用暗标形式，其编制须满足招标文件要求。</w:t>
            </w:r>
          </w:p>
          <w:p w14:paraId="7C7B263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（14）未发现投标人与其他投标人存在使用同一不可篡改的唯一标识软硬件设备投标的（如：MAC地址、标书制作特征码、标书唯一特征码等）。</w:t>
            </w:r>
          </w:p>
          <w:p w14:paraId="034A263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p>
          <w:p w14:paraId="564506E2">
            <w:pPr>
              <w:pageBreakBefore w:val="0"/>
              <w:kinsoku/>
              <w:wordWrap w:val="0"/>
              <w:bidi w:val="0"/>
              <w:spacing w:line="360" w:lineRule="atLeast"/>
              <w:ind w:firstLine="420" w:firstLineChars="200"/>
              <w:rPr>
                <w:rFonts w:hint="default" w:ascii="Times New Roman" w:hAnsi="Times New Roman" w:cs="Times New Roman"/>
                <w:szCs w:val="21"/>
                <w:highlight w:val="yellow"/>
              </w:rPr>
            </w:pPr>
          </w:p>
          <w:p w14:paraId="2D78C93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第二个信封（报价文件）评审标准：</w:t>
            </w:r>
          </w:p>
          <w:p w14:paraId="28F88B4A">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（1）投标文件按照招标文件规定的格式、内容填写，字迹清晰可辨：</w:t>
            </w:r>
          </w:p>
          <w:p w14:paraId="27362168">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a.投标函按招标文件规定填报了项目名称、标段号、补遗书编号（如有）、投标价（包括大写金额和小写金额）；</w:t>
            </w:r>
          </w:p>
          <w:p w14:paraId="144966EC">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b.已标价工程量清单说明文字与招标文件规定一致，未进行实质性修改和删减；</w:t>
            </w:r>
          </w:p>
          <w:p w14:paraId="36DE1AAD">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c.投标文件组成齐全完整，内容均按规定填写。</w:t>
            </w:r>
          </w:p>
          <w:p w14:paraId="4840C857">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（2）投标文件上法定代表人或其委托代理人的签字、投标人的单位章盖章齐全，符合招标文件规定。</w:t>
            </w:r>
          </w:p>
          <w:p w14:paraId="45E5BD9F">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（3）投标报价或调价函中的报价未超过招标文件设定的最高投标限价（如有）。</w:t>
            </w:r>
          </w:p>
          <w:p w14:paraId="15FAFD6C">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（4）投标报价或调价函中报价的大写金额能够确定具体数值。</w:t>
            </w:r>
          </w:p>
          <w:p w14:paraId="26E9E763">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（5）同一投标人未提交两个以上不同的投标报价，但招标文件要求提交备选投标的除外。</w:t>
            </w:r>
          </w:p>
          <w:p w14:paraId="41ABDFFC">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（6）投标人若提交调价函，调价函符合招标文件第二章“投标人须知”第3.2.6项要求。</w:t>
            </w:r>
          </w:p>
          <w:p w14:paraId="2542F162">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（7）投标人若填写</w:t>
            </w:r>
            <w:r>
              <w:rPr>
                <w:rFonts w:hint="eastAsia" w:cs="Times New Roman"/>
                <w:szCs w:val="21"/>
                <w:highlight w:val="yellow"/>
                <w:lang w:eastAsia="zh-CN"/>
              </w:rPr>
              <w:t>工程量清单</w:t>
            </w:r>
            <w:r>
              <w:rPr>
                <w:rFonts w:hint="default" w:ascii="Times New Roman" w:hAnsi="Times New Roman" w:cs="Times New Roman"/>
                <w:szCs w:val="21"/>
                <w:highlight w:val="yellow"/>
              </w:rPr>
              <w:t>，填写完毕的</w:t>
            </w:r>
            <w:r>
              <w:rPr>
                <w:rFonts w:hint="eastAsia" w:cs="Times New Roman"/>
                <w:szCs w:val="21"/>
                <w:highlight w:val="yellow"/>
                <w:lang w:eastAsia="zh-CN"/>
              </w:rPr>
              <w:t>工程量清单</w:t>
            </w:r>
            <w:r>
              <w:rPr>
                <w:rFonts w:hint="default" w:ascii="Times New Roman" w:hAnsi="Times New Roman" w:cs="Times New Roman"/>
                <w:szCs w:val="21"/>
                <w:highlight w:val="yellow"/>
              </w:rPr>
              <w:t>未对</w:t>
            </w:r>
            <w:r>
              <w:rPr>
                <w:rFonts w:hint="eastAsia" w:cs="Times New Roman"/>
                <w:szCs w:val="21"/>
                <w:highlight w:val="yellow"/>
                <w:lang w:eastAsia="zh-CN"/>
              </w:rPr>
              <w:t>工程量清单</w:t>
            </w:r>
            <w:r>
              <w:rPr>
                <w:rFonts w:hint="default" w:ascii="Times New Roman" w:hAnsi="Times New Roman" w:cs="Times New Roman"/>
                <w:szCs w:val="21"/>
                <w:highlight w:val="yellow"/>
              </w:rPr>
              <w:t>电子文件中的数据、格式和运算定义进行修改；</w:t>
            </w:r>
            <w:r>
              <w:rPr>
                <w:rFonts w:hint="eastAsia" w:cs="Times New Roman"/>
                <w:szCs w:val="21"/>
                <w:highlight w:val="yellow"/>
                <w:lang w:eastAsia="zh-CN"/>
              </w:rPr>
              <w:t>工程量清单</w:t>
            </w:r>
            <w:r>
              <w:rPr>
                <w:rFonts w:hint="default" w:ascii="Times New Roman" w:hAnsi="Times New Roman" w:cs="Times New Roman"/>
                <w:szCs w:val="21"/>
                <w:highlight w:val="yellow"/>
              </w:rPr>
              <w:t>中的投标报价和投标函大写金额报价一致。</w:t>
            </w:r>
          </w:p>
          <w:p w14:paraId="18B17A80">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eastAsia" w:cs="Times New Roman"/>
                <w:szCs w:val="21"/>
                <w:highlight w:val="yellow"/>
                <w:lang w:val="en-US" w:eastAsia="zh-CN"/>
              </w:rPr>
              <w:t>8</w:t>
            </w:r>
            <w:r>
              <w:rPr>
                <w:rFonts w:hint="default" w:ascii="Times New Roman" w:hAnsi="Times New Roman" w:cs="Times New Roman"/>
                <w:szCs w:val="21"/>
                <w:highlight w:val="yellow"/>
              </w:rPr>
              <w:t>）未发现投标人与其他投标人存在使用同一不可篡改的唯一标识软硬件设备投标的（如：MAC地址、标书制作特征码、标书唯一特征码等）。</w:t>
            </w:r>
          </w:p>
          <w:p w14:paraId="5C6F9DB2">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p>
        </w:tc>
      </w:tr>
      <w:tr w14:paraId="4246C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17961BAE">
            <w:pPr>
              <w:pageBreakBefore w:val="0"/>
              <w:kinsoku/>
              <w:wordWrap w:val="0"/>
              <w:bidi w:val="0"/>
              <w:spacing w:line="40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2.1.2</w:t>
            </w:r>
          </w:p>
        </w:tc>
        <w:tc>
          <w:tcPr>
            <w:tcW w:w="1136" w:type="dxa"/>
            <w:gridSpan w:val="2"/>
            <w:tcBorders>
              <w:top w:val="single" w:color="auto" w:sz="4" w:space="0"/>
              <w:right w:val="single" w:color="auto" w:sz="4" w:space="0"/>
            </w:tcBorders>
            <w:noWrap w:val="0"/>
            <w:vAlign w:val="center"/>
          </w:tcPr>
          <w:p w14:paraId="49D53729">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4DCCA8DD">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（1）投标人的资质等级符合招标文件规定。</w:t>
            </w:r>
          </w:p>
          <w:p w14:paraId="64B12FE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2</w:t>
            </w:r>
            <w:r>
              <w:rPr>
                <w:rFonts w:hint="default" w:ascii="Times New Roman" w:hAnsi="Times New Roman" w:cs="Times New Roman"/>
                <w:szCs w:val="21"/>
                <w:highlight w:val="yellow"/>
              </w:rPr>
              <w:t>）投标人的财务状况符合招标文件规定。</w:t>
            </w:r>
          </w:p>
          <w:p w14:paraId="0F678C5D">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3</w:t>
            </w:r>
            <w:r>
              <w:rPr>
                <w:rFonts w:hint="default" w:ascii="Times New Roman" w:hAnsi="Times New Roman" w:cs="Times New Roman"/>
                <w:szCs w:val="21"/>
                <w:highlight w:val="yellow"/>
              </w:rPr>
              <w:t>）投标人的类似项目业绩符合招标文件规定。</w:t>
            </w:r>
          </w:p>
          <w:p w14:paraId="1F0EFBB1">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4</w:t>
            </w:r>
            <w:r>
              <w:rPr>
                <w:rFonts w:hint="default" w:ascii="Times New Roman" w:hAnsi="Times New Roman" w:cs="Times New Roman"/>
                <w:szCs w:val="21"/>
                <w:highlight w:val="yellow"/>
              </w:rPr>
              <w:t>）投标人的信誉符合招标文件规定。</w:t>
            </w:r>
          </w:p>
          <w:p w14:paraId="3C699994">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5</w:t>
            </w:r>
            <w:r>
              <w:rPr>
                <w:rFonts w:hint="default" w:ascii="Times New Roman" w:hAnsi="Times New Roman" w:cs="Times New Roman"/>
                <w:szCs w:val="21"/>
                <w:highlight w:val="yellow"/>
              </w:rPr>
              <w:t>）投标人的项目经理和项目总工资格、在岗情况符合招标文件规定。</w:t>
            </w:r>
          </w:p>
          <w:p w14:paraId="25CC1F0D">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6</w:t>
            </w:r>
            <w:r>
              <w:rPr>
                <w:rFonts w:hint="default" w:ascii="Times New Roman" w:hAnsi="Times New Roman" w:cs="Times New Roman"/>
                <w:szCs w:val="21"/>
                <w:highlight w:val="yellow"/>
              </w:rPr>
              <w:t>）投标人的其他要求符合招标文件规定。</w:t>
            </w:r>
            <w:r>
              <w:rPr>
                <w:rFonts w:hint="default" w:ascii="Times New Roman" w:hAnsi="Times New Roman" w:cs="Times New Roman"/>
                <w:szCs w:val="21"/>
                <w:highlight w:val="yellow"/>
                <w:vertAlign w:val="superscript"/>
              </w:rPr>
              <w:footnoteReference w:id="34"/>
            </w:r>
          </w:p>
          <w:p w14:paraId="2B719D41">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7</w:t>
            </w:r>
            <w:r>
              <w:rPr>
                <w:rFonts w:hint="default" w:ascii="Times New Roman" w:hAnsi="Times New Roman" w:cs="Times New Roman"/>
                <w:szCs w:val="21"/>
                <w:highlight w:val="yellow"/>
              </w:rPr>
              <w:t>）投标人不存在第二章</w:t>
            </w:r>
            <w:r>
              <w:rPr>
                <w:rFonts w:hint="eastAsia" w:ascii="宋体" w:hAnsi="宋体" w:eastAsia="宋体" w:cs="宋体"/>
                <w:szCs w:val="21"/>
                <w:highlight w:val="yellow"/>
              </w:rPr>
              <w:t>“</w:t>
            </w:r>
            <w:r>
              <w:rPr>
                <w:rFonts w:hint="default" w:ascii="Times New Roman" w:hAnsi="Times New Roman" w:cs="Times New Roman"/>
                <w:szCs w:val="21"/>
                <w:highlight w:val="yellow"/>
              </w:rPr>
              <w:t>投标人须知</w:t>
            </w:r>
            <w:r>
              <w:rPr>
                <w:rFonts w:hint="eastAsia" w:ascii="宋体" w:hAnsi="宋体" w:eastAsia="宋体" w:cs="宋体"/>
                <w:szCs w:val="21"/>
                <w:highlight w:val="yellow"/>
              </w:rPr>
              <w:t>”</w:t>
            </w:r>
            <w:r>
              <w:rPr>
                <w:rFonts w:hint="default" w:ascii="Times New Roman" w:hAnsi="Times New Roman" w:cs="Times New Roman"/>
                <w:szCs w:val="21"/>
                <w:highlight w:val="yellow"/>
              </w:rPr>
              <w:t xml:space="preserve">第1.4.3项或第1.4.4项规定的任何一种情形。 </w:t>
            </w:r>
          </w:p>
          <w:p w14:paraId="46D5DFF2">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8</w:t>
            </w:r>
            <w:r>
              <w:rPr>
                <w:rFonts w:hint="default" w:ascii="Times New Roman" w:hAnsi="Times New Roman" w:cs="Times New Roman"/>
                <w:szCs w:val="21"/>
                <w:highlight w:val="yellow"/>
              </w:rPr>
              <w:t>）投标人符合第二章</w:t>
            </w:r>
            <w:r>
              <w:rPr>
                <w:rFonts w:hint="eastAsia" w:ascii="宋体" w:hAnsi="宋体" w:eastAsia="宋体" w:cs="宋体"/>
                <w:szCs w:val="21"/>
                <w:highlight w:val="yellow"/>
              </w:rPr>
              <w:t>“</w:t>
            </w:r>
            <w:r>
              <w:rPr>
                <w:rFonts w:hint="default" w:ascii="Times New Roman" w:hAnsi="Times New Roman" w:cs="Times New Roman"/>
                <w:szCs w:val="21"/>
                <w:highlight w:val="yellow"/>
              </w:rPr>
              <w:t>投标人须知</w:t>
            </w:r>
            <w:r>
              <w:rPr>
                <w:rFonts w:hint="eastAsia" w:ascii="宋体" w:hAnsi="宋体" w:eastAsia="宋体" w:cs="宋体"/>
                <w:szCs w:val="21"/>
                <w:highlight w:val="yellow"/>
              </w:rPr>
              <w:t>”</w:t>
            </w:r>
            <w:r>
              <w:rPr>
                <w:rFonts w:hint="default" w:ascii="Times New Roman" w:hAnsi="Times New Roman" w:cs="Times New Roman"/>
                <w:szCs w:val="21"/>
                <w:highlight w:val="yellow"/>
              </w:rPr>
              <w:t>第1.4.5项规定。</w:t>
            </w:r>
            <w:r>
              <w:rPr>
                <w:rStyle w:val="47"/>
                <w:rFonts w:hint="default" w:ascii="Times New Roman" w:hAnsi="Times New Roman" w:cs="Times New Roman"/>
                <w:highlight w:val="yellow"/>
              </w:rPr>
              <w:footnoteReference w:id="35"/>
            </w:r>
          </w:p>
          <w:p w14:paraId="4463F04D">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r>
              <w:rPr>
                <w:rFonts w:hint="default" w:ascii="Times New Roman" w:hAnsi="Times New Roman" w:cs="Times New Roman"/>
                <w:szCs w:val="21"/>
                <w:highlight w:val="yellow"/>
                <w:lang w:val="en-US" w:eastAsia="zh-CN"/>
              </w:rPr>
              <w:t>9</w:t>
            </w:r>
            <w:r>
              <w:rPr>
                <w:rFonts w:hint="default" w:ascii="Times New Roman" w:hAnsi="Times New Roman" w:cs="Times New Roman"/>
                <w:szCs w:val="21"/>
                <w:highlight w:val="yellow"/>
              </w:rPr>
              <w:t>）以联合体形式参与投标的，联合体各方均未再以自己名义单独或参加其他联合体在同一标段中投标；独立参与投标的，投标人未同时参加联合体在同一标段中投标。</w:t>
            </w:r>
          </w:p>
          <w:p w14:paraId="35DBC77B">
            <w:pPr>
              <w:pageBreakBefore w:val="0"/>
              <w:kinsoku/>
              <w:wordWrap w:val="0"/>
              <w:bidi w:val="0"/>
              <w:spacing w:line="360" w:lineRule="atLeast"/>
              <w:ind w:firstLine="420" w:firstLineChars="200"/>
              <w:rPr>
                <w:rFonts w:hint="default" w:ascii="Times New Roman" w:hAnsi="Times New Roman" w:cs="Times New Roman"/>
                <w:szCs w:val="21"/>
                <w:highlight w:val="yellow"/>
              </w:rPr>
            </w:pPr>
            <w:r>
              <w:rPr>
                <w:rFonts w:hint="default" w:ascii="Times New Roman" w:hAnsi="Times New Roman" w:cs="Times New Roman"/>
                <w:szCs w:val="21"/>
                <w:highlight w:val="yellow"/>
              </w:rPr>
              <w:t>……</w:t>
            </w:r>
          </w:p>
        </w:tc>
      </w:tr>
      <w:tr w14:paraId="1CEFD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AA6509F">
            <w:pPr>
              <w:pageBreakBefore w:val="0"/>
              <w:kinsoku/>
              <w:wordWrap w:val="0"/>
              <w:bidi w:val="0"/>
              <w:spacing w:line="360" w:lineRule="atLeast"/>
              <w:jc w:val="center"/>
              <w:rPr>
                <w:rFonts w:hint="default" w:ascii="Times New Roman" w:hAnsi="Times New Roman" w:cs="Times New Roman"/>
                <w:b/>
                <w:szCs w:val="21"/>
                <w:highlight w:val="yellow"/>
              </w:rPr>
            </w:pPr>
            <w:r>
              <w:rPr>
                <w:rFonts w:hint="default" w:ascii="Times New Roman" w:hAnsi="Times New Roman" w:cs="Times New Roman"/>
                <w:b/>
                <w:szCs w:val="21"/>
                <w:highlight w:val="yellow"/>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890EF07">
            <w:pPr>
              <w:pageBreakBefore w:val="0"/>
              <w:kinsoku/>
              <w:wordWrap w:val="0"/>
              <w:bidi w:val="0"/>
              <w:spacing w:line="360" w:lineRule="atLeast"/>
              <w:jc w:val="center"/>
              <w:rPr>
                <w:rFonts w:hint="default" w:ascii="Times New Roman" w:hAnsi="Times New Roman" w:cs="Times New Roman"/>
                <w:b/>
                <w:szCs w:val="21"/>
                <w:highlight w:val="yellow"/>
              </w:rPr>
            </w:pPr>
            <w:r>
              <w:rPr>
                <w:rFonts w:hint="default" w:ascii="Times New Roman" w:hAnsi="Times New Roman" w:cs="Times New Roman"/>
                <w:b/>
                <w:szCs w:val="21"/>
                <w:highlight w:val="yellow"/>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994F90E">
            <w:pPr>
              <w:pageBreakBefore w:val="0"/>
              <w:kinsoku/>
              <w:wordWrap w:val="0"/>
              <w:bidi w:val="0"/>
              <w:spacing w:line="360" w:lineRule="atLeast"/>
              <w:jc w:val="center"/>
              <w:rPr>
                <w:rFonts w:hint="default" w:ascii="Times New Roman" w:hAnsi="Times New Roman" w:cs="Times New Roman"/>
                <w:b/>
                <w:szCs w:val="21"/>
                <w:highlight w:val="yellow"/>
              </w:rPr>
            </w:pPr>
            <w:r>
              <w:rPr>
                <w:rFonts w:hint="default" w:ascii="Times New Roman" w:hAnsi="Times New Roman" w:cs="Times New Roman"/>
                <w:b/>
                <w:szCs w:val="21"/>
                <w:highlight w:val="yellow"/>
              </w:rPr>
              <w:t>编列内容</w:t>
            </w:r>
          </w:p>
        </w:tc>
      </w:tr>
      <w:tr w14:paraId="5BBAC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59E3485B">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CDC070A">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分值构成</w:t>
            </w:r>
          </w:p>
          <w:p w14:paraId="20A36BA6">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2B4DF90">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评标价：100分</w:t>
            </w:r>
          </w:p>
        </w:tc>
      </w:tr>
      <w:tr w14:paraId="7618D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3242207D">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2.2.2</w:t>
            </w:r>
          </w:p>
        </w:tc>
        <w:tc>
          <w:tcPr>
            <w:tcW w:w="1505" w:type="dxa"/>
            <w:tcBorders>
              <w:top w:val="single" w:color="auto" w:sz="4" w:space="0"/>
              <w:left w:val="single" w:color="auto" w:sz="4" w:space="0"/>
              <w:right w:val="single" w:color="auto" w:sz="4" w:space="0"/>
            </w:tcBorders>
            <w:noWrap w:val="0"/>
            <w:vAlign w:val="center"/>
          </w:tcPr>
          <w:p w14:paraId="334A8C00">
            <w:pPr>
              <w:pageBreakBefore w:val="0"/>
              <w:kinsoku/>
              <w:wordWrap w:val="0"/>
              <w:bidi w:val="0"/>
              <w:spacing w:line="360" w:lineRule="atLeast"/>
              <w:jc w:val="center"/>
              <w:rPr>
                <w:rFonts w:hint="default" w:ascii="Times New Roman" w:hAnsi="Times New Roman" w:cs="Times New Roman"/>
                <w:b/>
                <w:szCs w:val="21"/>
                <w:highlight w:val="yellow"/>
              </w:rPr>
            </w:pPr>
            <w:r>
              <w:rPr>
                <w:rFonts w:hint="default" w:ascii="Times New Roman" w:hAnsi="Times New Roman" w:cs="Times New Roman"/>
                <w:szCs w:val="21"/>
                <w:highlight w:val="yellow"/>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477DEF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0FFE298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highlight w:val="yellow"/>
                <w:lang w:bidi="ar"/>
              </w:rPr>
              <w:t>计算差错，仅限于以下两种情况：</w:t>
            </w:r>
            <w:r>
              <w:rPr>
                <w:rFonts w:hint="eastAsia" w:ascii="Times New Roman" w:hAnsi="Times New Roman" w:eastAsia="宋体" w:cs="Times New Roman"/>
                <w:color w:val="000000"/>
                <w:kern w:val="0"/>
                <w:szCs w:val="21"/>
                <w:highlight w:val="yellow"/>
                <w:lang w:bidi="ar"/>
              </w:rPr>
              <w:t>1、</w:t>
            </w:r>
            <w:r>
              <w:rPr>
                <w:rFonts w:ascii="Times New Roman" w:hAnsi="Times New Roman" w:eastAsia="宋体" w:cs="Times New Roman"/>
                <w:color w:val="000000"/>
                <w:kern w:val="0"/>
                <w:szCs w:val="21"/>
                <w:highlight w:val="yellow"/>
                <w:lang w:bidi="ar"/>
              </w:rPr>
              <w:t>纯算术性四则运算差错；</w:t>
            </w:r>
            <w:r>
              <w:rPr>
                <w:rFonts w:hint="eastAsia" w:ascii="Times New Roman" w:hAnsi="Times New Roman" w:eastAsia="宋体" w:cs="Times New Roman"/>
                <w:color w:val="000000"/>
                <w:kern w:val="0"/>
                <w:szCs w:val="21"/>
                <w:highlight w:val="yellow"/>
                <w:lang w:bidi="ar"/>
              </w:rPr>
              <w:t>2、</w:t>
            </w:r>
            <w:r>
              <w:rPr>
                <w:rFonts w:ascii="Times New Roman" w:hAnsi="Times New Roman" w:eastAsia="宋体" w:cs="Times New Roman"/>
                <w:color w:val="000000"/>
                <w:kern w:val="0"/>
                <w:szCs w:val="21"/>
                <w:highlight w:val="yellow"/>
                <w:lang w:bidi="ar"/>
              </w:rPr>
              <w:t>未按约定的</w:t>
            </w:r>
            <w:r>
              <w:rPr>
                <w:rFonts w:hint="eastAsia" w:ascii="Times New Roman" w:hAnsi="Times New Roman" w:eastAsia="宋体" w:cs="Times New Roman"/>
                <w:color w:val="000000"/>
                <w:kern w:val="0"/>
                <w:szCs w:val="21"/>
                <w:highlight w:val="yellow"/>
                <w:lang w:bidi="ar"/>
              </w:rPr>
              <w:t>规则</w:t>
            </w:r>
            <w:r>
              <w:rPr>
                <w:rFonts w:ascii="Times New Roman" w:hAnsi="Times New Roman" w:eastAsia="宋体" w:cs="Times New Roman"/>
                <w:color w:val="000000"/>
                <w:kern w:val="0"/>
                <w:szCs w:val="21"/>
                <w:highlight w:val="yellow"/>
                <w:lang w:bidi="ar"/>
              </w:rPr>
              <w:t>，多计或少计</w:t>
            </w:r>
            <w:r>
              <w:rPr>
                <w:rFonts w:hint="eastAsia" w:ascii="Times New Roman" w:hAnsi="Times New Roman" w:eastAsia="宋体" w:cs="Times New Roman"/>
                <w:color w:val="000000"/>
                <w:kern w:val="0"/>
                <w:szCs w:val="21"/>
                <w:highlight w:val="yellow"/>
                <w:lang w:bidi="ar"/>
              </w:rPr>
              <w:t>参加评标价平均值计算的评标价</w:t>
            </w:r>
            <w:r>
              <w:rPr>
                <w:rFonts w:ascii="Times New Roman" w:hAnsi="Times New Roman" w:eastAsia="宋体" w:cs="Times New Roman"/>
                <w:color w:val="000000"/>
                <w:kern w:val="0"/>
                <w:szCs w:val="21"/>
                <w:highlight w:val="yellow"/>
                <w:lang w:bidi="ar"/>
              </w:rPr>
              <w:t>。</w:t>
            </w:r>
          </w:p>
          <w:p w14:paraId="0FAEB4C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yellow"/>
              </w:rPr>
            </w:pPr>
            <w:r>
              <w:rPr>
                <w:rFonts w:hint="eastAsia" w:ascii="Times New Roman" w:hAnsi="Times New Roman" w:eastAsia="宋体" w:cs="Times New Roman"/>
                <w:highlight w:val="yellow"/>
              </w:rPr>
              <w:t>本次招标设定</w:t>
            </w:r>
            <w:r>
              <w:rPr>
                <w:rFonts w:ascii="Times New Roman" w:hAnsi="Times New Roman" w:eastAsia="宋体" w:cs="Times New Roman"/>
                <w:highlight w:val="yellow"/>
              </w:rPr>
              <w:t>3</w:t>
            </w:r>
            <w:r>
              <w:rPr>
                <w:rFonts w:hint="eastAsia" w:ascii="Times New Roman" w:hAnsi="Times New Roman" w:eastAsia="宋体" w:cs="Times New Roman"/>
                <w:highlight w:val="yellow"/>
              </w:rPr>
              <w:t>种评标价平均值（B）计算方法，在第二个信封（报价文件）开标现场，每个标段随机抽取其中1种作为该标段的评标价平均值计算方法。</w:t>
            </w:r>
          </w:p>
          <w:p w14:paraId="3748CF62">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kern w:val="2"/>
                <w:sz w:val="21"/>
                <w:szCs w:val="24"/>
                <w:highlight w:val="yellow"/>
                <w:lang w:val="en-US" w:eastAsia="zh-CN" w:bidi="ar-SA"/>
              </w:rPr>
            </w:pPr>
            <w:r>
              <w:rPr>
                <w:rFonts w:hint="eastAsia" w:ascii="Times New Roman" w:hAnsi="Times New Roman" w:eastAsia="宋体" w:cs="Times New Roman"/>
                <w:b/>
                <w:bCs/>
                <w:color w:val="000000"/>
                <w:kern w:val="0"/>
                <w:sz w:val="21"/>
                <w:szCs w:val="21"/>
                <w:highlight w:val="yellow"/>
                <w:lang w:val="en-US" w:eastAsia="zh-CN" w:bidi="ar"/>
              </w:rPr>
              <w:t>一、</w:t>
            </w:r>
            <w:r>
              <w:rPr>
                <w:rFonts w:ascii="Times New Roman" w:hAnsi="Times New Roman" w:eastAsia="宋体" w:cs="Times New Roman"/>
                <w:b/>
                <w:bCs/>
                <w:color w:val="000000"/>
                <w:kern w:val="0"/>
                <w:sz w:val="21"/>
                <w:szCs w:val="21"/>
                <w:highlight w:val="yellow"/>
                <w:lang w:val="en-US" w:eastAsia="zh-CN" w:bidi="ar"/>
              </w:rPr>
              <w:t>评标价</w:t>
            </w:r>
            <w:r>
              <w:rPr>
                <w:rFonts w:hint="eastAsia" w:ascii="Times New Roman" w:hAnsi="Times New Roman" w:eastAsia="宋体" w:cs="Times New Roman"/>
                <w:b/>
                <w:bCs/>
                <w:color w:val="000000"/>
                <w:kern w:val="0"/>
                <w:sz w:val="21"/>
                <w:szCs w:val="21"/>
                <w:highlight w:val="yellow"/>
                <w:lang w:val="en-US" w:eastAsia="zh-CN" w:bidi="ar"/>
              </w:rPr>
              <w:t>（A）</w:t>
            </w:r>
          </w:p>
          <w:p w14:paraId="19B01FF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yellow"/>
              </w:rPr>
            </w:pPr>
            <w:r>
              <w:rPr>
                <w:rFonts w:ascii="Times New Roman" w:hAnsi="Times New Roman" w:eastAsia="宋体" w:cs="Times New Roman"/>
                <w:color w:val="000000"/>
                <w:kern w:val="0"/>
                <w:szCs w:val="21"/>
                <w:highlight w:val="yellow"/>
                <w:lang w:bidi="ar"/>
              </w:rPr>
              <w:t>评标价=投标函的文字报价</w:t>
            </w:r>
          </w:p>
          <w:p w14:paraId="7D0CF8A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如果投标文件出现以下1～5任一情况，不参加评标价平均值的计算：</w:t>
            </w:r>
          </w:p>
          <w:p w14:paraId="1062D57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1、未按要求在投标函上填写投标总价；</w:t>
            </w:r>
          </w:p>
          <w:p w14:paraId="0C49357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000000"/>
                <w:kern w:val="0"/>
                <w:szCs w:val="21"/>
                <w:highlight w:val="yellow"/>
                <w:lang w:bidi="ar"/>
              </w:rPr>
            </w:pPr>
            <w:r>
              <w:rPr>
                <w:rFonts w:ascii="Times New Roman" w:hAnsi="Times New Roman" w:eastAsia="宋体" w:cs="Times New Roman"/>
                <w:color w:val="000000"/>
                <w:kern w:val="0"/>
                <w:szCs w:val="21"/>
                <w:highlight w:val="yellow"/>
                <w:lang w:bidi="ar"/>
              </w:rPr>
              <w:t>2</w:t>
            </w:r>
            <w:r>
              <w:rPr>
                <w:rFonts w:hint="eastAsia" w:ascii="Times New Roman" w:hAnsi="Times New Roman" w:eastAsia="宋体" w:cs="Times New Roman"/>
                <w:color w:val="000000"/>
                <w:kern w:val="0"/>
                <w:szCs w:val="21"/>
                <w:highlight w:val="yellow"/>
                <w:lang w:bidi="ar"/>
              </w:rPr>
              <w:t>、投标报价超出招标人公布的最高投标限价，或低于招标人公布的最高投标限价的</w:t>
            </w:r>
            <w:r>
              <w:rPr>
                <w:rFonts w:hint="eastAsia" w:ascii="Times New Roman" w:hAnsi="Times New Roman" w:eastAsia="宋体" w:cs="Times New Roman"/>
                <w:color w:val="000000"/>
                <w:kern w:val="0"/>
                <w:szCs w:val="21"/>
                <w:highlight w:val="yellow"/>
                <w:u w:val="single"/>
                <w:lang w:bidi="ar"/>
              </w:rPr>
              <w:t xml:space="preserve"> </w:t>
            </w:r>
            <w:r>
              <w:rPr>
                <w:rFonts w:ascii="Times New Roman" w:hAnsi="Times New Roman" w:eastAsia="宋体" w:cs="Times New Roman"/>
                <w:color w:val="000000"/>
                <w:kern w:val="0"/>
                <w:szCs w:val="21"/>
                <w:highlight w:val="green"/>
                <w:u w:val="single"/>
                <w:lang w:bidi="ar"/>
              </w:rPr>
              <w:t xml:space="preserve"> </w:t>
            </w:r>
            <w:r>
              <w:rPr>
                <w:rFonts w:hint="eastAsia" w:cs="Times New Roman"/>
                <w:color w:val="000000"/>
                <w:kern w:val="0"/>
                <w:szCs w:val="21"/>
                <w:highlight w:val="green"/>
                <w:u w:val="single"/>
                <w:lang w:val="en-US" w:eastAsia="zh-CN" w:bidi="ar"/>
              </w:rPr>
              <w:t>90</w:t>
            </w:r>
            <w:r>
              <w:rPr>
                <w:rFonts w:ascii="Times New Roman" w:hAnsi="Times New Roman" w:eastAsia="宋体" w:cs="Times New Roman"/>
                <w:color w:val="000000"/>
                <w:kern w:val="0"/>
                <w:szCs w:val="21"/>
                <w:highlight w:val="green"/>
                <w:u w:val="single"/>
                <w:lang w:bidi="ar"/>
              </w:rPr>
              <w:t xml:space="preserve"> </w:t>
            </w:r>
            <w:r>
              <w:rPr>
                <w:rFonts w:ascii="Times New Roman" w:hAnsi="Times New Roman" w:eastAsia="宋体" w:cs="Times New Roman"/>
                <w:color w:val="000000"/>
                <w:kern w:val="0"/>
                <w:szCs w:val="21"/>
                <w:highlight w:val="yellow"/>
                <w:u w:val="single"/>
                <w:lang w:bidi="ar"/>
              </w:rPr>
              <w:t xml:space="preserve"> </w:t>
            </w:r>
            <w:r>
              <w:rPr>
                <w:rFonts w:ascii="Times New Roman" w:hAnsi="Times New Roman" w:eastAsia="宋体" w:cs="Times New Roman"/>
                <w:color w:val="000000"/>
                <w:kern w:val="0"/>
                <w:szCs w:val="21"/>
                <w:highlight w:val="yellow"/>
                <w:lang w:bidi="ar"/>
              </w:rPr>
              <w:t>%</w:t>
            </w:r>
            <w:r>
              <w:rPr>
                <w:rFonts w:hint="eastAsia" w:ascii="Times New Roman" w:hAnsi="Times New Roman" w:eastAsia="宋体" w:cs="Times New Roman"/>
                <w:color w:val="000000"/>
                <w:kern w:val="0"/>
                <w:szCs w:val="21"/>
                <w:highlight w:val="yellow"/>
                <w:lang w:bidi="ar"/>
              </w:rPr>
              <w:t>；</w:t>
            </w:r>
            <w:r>
              <w:rPr>
                <w:rFonts w:ascii="Times New Roman" w:hAnsi="Times New Roman" w:eastAsia="黑体" w:cs="Times New Roman"/>
                <w:color w:val="000000"/>
                <w:kern w:val="0"/>
                <w:szCs w:val="21"/>
                <w:highlight w:val="yellow"/>
                <w:lang w:bidi="ar"/>
              </w:rPr>
              <w:t>（注：由招标人在招标文件中约定低于投标最高限价一定范围值的投标报价不参与评标基准价的计算，G%原则上在85%～90%之间取值。）</w:t>
            </w:r>
          </w:p>
          <w:p w14:paraId="7F6F757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highlight w:val="yellow"/>
                <w:lang w:bidi="ar"/>
              </w:rPr>
              <w:t>3</w:t>
            </w:r>
            <w:r>
              <w:rPr>
                <w:rFonts w:hint="eastAsia" w:ascii="Times New Roman" w:hAnsi="Times New Roman" w:eastAsia="宋体" w:cs="Times New Roman"/>
                <w:color w:val="000000"/>
                <w:kern w:val="0"/>
                <w:szCs w:val="21"/>
                <w:highlight w:val="yellow"/>
                <w:lang w:bidi="ar"/>
              </w:rPr>
              <w:t>、无法确定投标报价具体数值；</w:t>
            </w:r>
          </w:p>
          <w:p w14:paraId="7EC5A7F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highlight w:val="yellow"/>
                <w:lang w:bidi="ar"/>
              </w:rPr>
              <w:t>4</w:t>
            </w:r>
            <w:r>
              <w:rPr>
                <w:rFonts w:hint="eastAsia" w:ascii="Times New Roman" w:hAnsi="Times New Roman" w:eastAsia="宋体" w:cs="Times New Roman"/>
                <w:color w:val="000000"/>
                <w:kern w:val="0"/>
                <w:szCs w:val="21"/>
                <w:highlight w:val="yellow"/>
                <w:lang w:bidi="ar"/>
              </w:rPr>
              <w:t>、投标函上填写的标段号与上传的对应项目标段号不一致（如分标段）；</w:t>
            </w:r>
          </w:p>
          <w:p w14:paraId="1241F68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highlight w:val="yellow"/>
                <w:lang w:bidi="ar"/>
              </w:rPr>
              <w:t>5</w:t>
            </w:r>
            <w:r>
              <w:rPr>
                <w:rFonts w:hint="eastAsia" w:ascii="Times New Roman" w:hAnsi="Times New Roman" w:eastAsia="宋体" w:cs="Times New Roman"/>
                <w:color w:val="000000"/>
                <w:kern w:val="0"/>
                <w:szCs w:val="21"/>
                <w:highlight w:val="yellow"/>
                <w:lang w:bidi="ar"/>
              </w:rPr>
              <w:t>、投标函中的投标报价大写金额与投标文件工程量清单中的投标报价金额不一致。</w:t>
            </w:r>
          </w:p>
          <w:p w14:paraId="4C5B0D8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yellow"/>
              </w:rPr>
            </w:pPr>
            <w:r>
              <w:rPr>
                <w:rFonts w:hint="eastAsia" w:ascii="Times New Roman" w:hAnsi="Times New Roman" w:eastAsia="宋体" w:cs="Times New Roman"/>
                <w:color w:val="000000"/>
                <w:kern w:val="0"/>
                <w:szCs w:val="21"/>
                <w:highlight w:val="yellow"/>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65699C5A">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000000"/>
                <w:kern w:val="0"/>
                <w:sz w:val="21"/>
                <w:szCs w:val="21"/>
                <w:highlight w:val="yellow"/>
                <w:lang w:val="en-US" w:eastAsia="zh-CN" w:bidi="ar"/>
              </w:rPr>
            </w:pPr>
            <w:r>
              <w:rPr>
                <w:rFonts w:hint="eastAsia" w:cs="Times New Roman"/>
                <w:b/>
                <w:bCs/>
                <w:color w:val="000000"/>
                <w:kern w:val="0"/>
                <w:sz w:val="21"/>
                <w:szCs w:val="21"/>
                <w:highlight w:val="yellow"/>
                <w:lang w:val="en-US" w:eastAsia="zh-CN" w:bidi="ar"/>
              </w:rPr>
              <w:t>二</w:t>
            </w:r>
            <w:r>
              <w:rPr>
                <w:rFonts w:hint="eastAsia" w:ascii="Times New Roman" w:hAnsi="Times New Roman" w:eastAsia="宋体" w:cs="Times New Roman"/>
                <w:b/>
                <w:bCs/>
                <w:color w:val="000000"/>
                <w:kern w:val="0"/>
                <w:sz w:val="21"/>
                <w:szCs w:val="21"/>
                <w:highlight w:val="yellow"/>
                <w:lang w:val="en-US" w:eastAsia="zh-CN" w:bidi="ar"/>
              </w:rPr>
              <w:t>、评标价平均值（B）计算方法</w:t>
            </w:r>
            <w:r>
              <w:rPr>
                <w:rFonts w:hint="eastAsia" w:cs="Times New Roman"/>
                <w:b/>
                <w:bCs/>
                <w:color w:val="000000"/>
                <w:kern w:val="0"/>
                <w:sz w:val="21"/>
                <w:szCs w:val="21"/>
                <w:highlight w:val="yellow"/>
                <w:lang w:val="en-US" w:eastAsia="zh-CN" w:bidi="ar"/>
              </w:rPr>
              <w:t xml:space="preserve"> </w:t>
            </w:r>
          </w:p>
          <w:p w14:paraId="035ED7E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mc:AlternateContent>
                <mc:Choice Requires="wps">
                  <w:drawing>
                    <wp:anchor distT="0" distB="0" distL="114300" distR="114300" simplePos="0" relativeHeight="251671552" behindDoc="0" locked="0" layoutInCell="1" allowOverlap="1">
                      <wp:simplePos x="0" y="0"/>
                      <wp:positionH relativeFrom="page">
                        <wp:posOffset>303530</wp:posOffset>
                      </wp:positionH>
                      <wp:positionV relativeFrom="page">
                        <wp:posOffset>1289050</wp:posOffset>
                      </wp:positionV>
                      <wp:extent cx="59690" cy="1041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9690" cy="104140"/>
                              </a:xfrm>
                              <a:prstGeom prst="rect">
                                <a:avLst/>
                              </a:prstGeom>
                              <a:noFill/>
                              <a:ln>
                                <a:noFill/>
                              </a:ln>
                            </wps:spPr>
                            <wps:txbx>
                              <w:txbxContent>
                                <w:p w14:paraId="75E6FB5B">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wps:txbx>
                            <wps:bodyPr lIns="0" tIns="0" rIns="0" bIns="0" upright="1"/>
                          </wps:wsp>
                        </a:graphicData>
                      </a:graphic>
                    </wp:anchor>
                  </w:drawing>
                </mc:Choice>
                <mc:Fallback>
                  <w:pict>
                    <v:shape id="_x0000_s1026" o:spid="_x0000_s1026" o:spt="202" type="#_x0000_t202" style="position:absolute;left:0pt;margin-left:23.9pt;margin-top:101.5pt;height:8.2pt;width:4.7pt;mso-position-horizontal-relative:page;mso-position-vertical-relative:page;z-index:251671552;mso-width-relative:page;mso-height-relative:page;" filled="f" stroked="f" coordsize="21600,21600" o:gfxdata="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yvo22QAAAAkBAAAPAAAAAAAAAAEAIAAAACIAAABkcnMvZG93bnJldi54bWxQSwEC&#10;FAAUAAAACACHTuJAXyz7H7oBAABwAwAADgAAAAAAAAABACAAAAAoAQAAZHJzL2Uyb0RvYy54bWxQ&#10;SwUGAAAAAAYABgBZAQAAVAUAAAAA&#10;">
                      <v:fill on="f" focussize="0,0"/>
                      <v:stroke on="f"/>
                      <v:imagedata o:title=""/>
                      <o:lock v:ext="edit" aspectratio="f"/>
                      <v:textbox inset="0mm,0mm,0mm,0mm">
                        <w:txbxContent>
                          <w:p w14:paraId="75E6FB5B">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mc:Fallback>
              </mc:AlternateContent>
            </w:r>
            <w:r>
              <w:rPr>
                <w:rFonts w:hint="eastAsia" w:ascii="Times New Roman" w:hAnsi="Times New Roman" w:eastAsia="宋体" w:cs="Times New Roman"/>
                <w:color w:val="000000"/>
                <w:kern w:val="0"/>
                <w:szCs w:val="21"/>
                <w:highlight w:val="yellow"/>
                <w:lang w:bidi="ar"/>
              </w:rPr>
              <w:t>评标价得分 (100 分) 按照下面规定计算：</w:t>
            </w:r>
          </w:p>
          <w:p w14:paraId="569F88D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当投标人的评标价等于 D 时得满分 (100 分) ，每高于 D 一个百分点 扣 2 分，每低于 D 一个百分点扣 1 分，中间值按比例内插。</w:t>
            </w:r>
          </w:p>
          <w:p w14:paraId="16BB0FD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用公式表示如下：</w:t>
            </w:r>
          </w:p>
          <w:p w14:paraId="0742DBE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yellow"/>
                <w:lang w:bidi="ar"/>
              </w:rPr>
            </w:pPr>
          </w:p>
          <w:p w14:paraId="567E1A54">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yellow"/>
                <w:lang w:bidi="ar"/>
              </w:rPr>
            </w:pPr>
          </w:p>
          <w:p w14:paraId="3375126D">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b/>
                <w:bCs/>
                <w:color w:val="000000"/>
                <w:kern w:val="0"/>
                <w:szCs w:val="21"/>
                <w:highlight w:val="yellow"/>
                <w:lang w:bidi="ar"/>
              </w:rPr>
              <w:drawing>
                <wp:anchor distT="0" distB="0" distL="114300" distR="114300" simplePos="0" relativeHeight="251672576" behindDoc="1" locked="0" layoutInCell="1" allowOverlap="1">
                  <wp:simplePos x="0" y="0"/>
                  <wp:positionH relativeFrom="column">
                    <wp:posOffset>266700</wp:posOffset>
                  </wp:positionH>
                  <wp:positionV relativeFrom="paragraph">
                    <wp:posOffset>-445770</wp:posOffset>
                  </wp:positionV>
                  <wp:extent cx="2817495" cy="625475"/>
                  <wp:effectExtent l="0" t="0" r="1905" b="317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2"/>
                          <a:stretch>
                            <a:fillRect/>
                          </a:stretch>
                        </pic:blipFill>
                        <pic:spPr>
                          <a:xfrm>
                            <a:off x="0" y="0"/>
                            <a:ext cx="2817495" cy="625475"/>
                          </a:xfrm>
                          <a:prstGeom prst="rect">
                            <a:avLst/>
                          </a:prstGeom>
                          <a:noFill/>
                          <a:ln>
                            <a:noFill/>
                          </a:ln>
                        </pic:spPr>
                      </pic:pic>
                    </a:graphicData>
                  </a:graphic>
                </wp:anchor>
              </w:drawing>
            </w:r>
          </w:p>
          <w:p w14:paraId="119BBCC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式中：D＝评标基准价 (精确到人民币元)</w:t>
            </w:r>
          </w:p>
          <w:p w14:paraId="291FA5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D1 ＝投标人的评标价</w:t>
            </w:r>
          </w:p>
          <w:p w14:paraId="4EF61A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F= 100</w:t>
            </w:r>
          </w:p>
          <w:p w14:paraId="0EB6404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F1 ＝评标价得分</w:t>
            </w:r>
          </w:p>
          <w:p w14:paraId="1B98618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若 D1 &gt; D ，则 E=2 ；若 D1 &lt; D ，则 E= 1。</w:t>
            </w:r>
          </w:p>
          <w:p w14:paraId="259DB2F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highlight w:val="yellow"/>
                <w:lang w:bidi="ar"/>
              </w:rPr>
              <w:t>注 ：对于评标基准价、评标价的偏差率等计算评标价得分的过程值，均 不对其小数点后保留位数进行限制；在开标现场，评标基准价暂按四舍五 入后保留7 位小数进行记录；评标价得分四舍五入后保留的小数点后位数，</w:t>
            </w:r>
          </w:p>
          <w:p w14:paraId="2798FE0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cs="Times New Roman"/>
                <w:szCs w:val="21"/>
                <w:highlight w:val="yellow"/>
              </w:rPr>
            </w:pPr>
            <w:r>
              <w:rPr>
                <w:rFonts w:hint="eastAsia" w:ascii="Times New Roman" w:hAnsi="Times New Roman" w:eastAsia="宋体" w:cs="Times New Roman"/>
                <w:color w:val="000000"/>
                <w:kern w:val="0"/>
                <w:szCs w:val="21"/>
                <w:highlight w:val="yellow"/>
                <w:lang w:bidi="ar"/>
              </w:rPr>
              <w:t>以能够区分出不同评标价的得分高低为准。</w:t>
            </w:r>
          </w:p>
        </w:tc>
      </w:tr>
      <w:tr w14:paraId="656B2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46015F67">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2.2.3</w:t>
            </w:r>
          </w:p>
        </w:tc>
        <w:tc>
          <w:tcPr>
            <w:tcW w:w="1505" w:type="dxa"/>
            <w:tcBorders>
              <w:top w:val="single" w:color="auto" w:sz="4" w:space="0"/>
              <w:left w:val="single" w:color="auto" w:sz="4" w:space="0"/>
              <w:right w:val="single" w:color="auto" w:sz="4" w:space="0"/>
            </w:tcBorders>
            <w:noWrap w:val="0"/>
            <w:vAlign w:val="center"/>
          </w:tcPr>
          <w:p w14:paraId="021300F9">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576F6407">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偏差率=100% ×（投标人评标价－评标基准价）/评标基准价</w:t>
            </w:r>
          </w:p>
          <w:p w14:paraId="5906F9DC">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偏差率保留</w:t>
            </w:r>
            <w:r>
              <w:rPr>
                <w:rFonts w:hint="default" w:ascii="Times New Roman" w:hAnsi="Times New Roman" w:cs="Times New Roman"/>
                <w:szCs w:val="21"/>
                <w:highlight w:val="yellow"/>
                <w:u w:val="single"/>
              </w:rPr>
              <w:t xml:space="preserve">  </w:t>
            </w:r>
            <w:r>
              <w:rPr>
                <w:rFonts w:hint="eastAsia" w:cs="Times New Roman"/>
                <w:szCs w:val="21"/>
                <w:highlight w:val="yellow"/>
                <w:u w:val="single"/>
                <w:lang w:val="en-US" w:eastAsia="zh-CN"/>
              </w:rPr>
              <w:t>2</w:t>
            </w:r>
            <w:r>
              <w:rPr>
                <w:rFonts w:hint="default" w:ascii="Times New Roman" w:hAnsi="Times New Roman" w:cs="Times New Roman"/>
                <w:szCs w:val="21"/>
                <w:highlight w:val="yellow"/>
                <w:u w:val="single"/>
              </w:rPr>
              <w:t xml:space="preserve">  </w:t>
            </w:r>
            <w:r>
              <w:rPr>
                <w:rFonts w:hint="default" w:ascii="Times New Roman" w:hAnsi="Times New Roman" w:cs="Times New Roman"/>
                <w:szCs w:val="21"/>
                <w:highlight w:val="yellow"/>
              </w:rPr>
              <w:t>位小数</w:t>
            </w:r>
          </w:p>
        </w:tc>
      </w:tr>
      <w:tr w14:paraId="002E0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774724A1">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b/>
                <w:szCs w:val="21"/>
                <w:highlight w:val="yellow"/>
              </w:rPr>
              <w:t>条款号</w:t>
            </w:r>
          </w:p>
        </w:tc>
        <w:tc>
          <w:tcPr>
            <w:tcW w:w="1505" w:type="dxa"/>
            <w:tcBorders>
              <w:top w:val="single" w:color="auto" w:sz="4" w:space="0"/>
              <w:left w:val="single" w:color="auto" w:sz="4" w:space="0"/>
              <w:right w:val="single" w:color="auto" w:sz="4" w:space="0"/>
            </w:tcBorders>
            <w:noWrap w:val="0"/>
            <w:vAlign w:val="center"/>
          </w:tcPr>
          <w:p w14:paraId="1F165B8F">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b/>
                <w:szCs w:val="21"/>
                <w:highlight w:val="yellow"/>
              </w:rPr>
              <w:t>评分因素</w:t>
            </w:r>
          </w:p>
        </w:tc>
        <w:tc>
          <w:tcPr>
            <w:tcW w:w="5099" w:type="dxa"/>
            <w:tcBorders>
              <w:top w:val="single" w:color="auto" w:sz="4" w:space="0"/>
              <w:left w:val="single" w:color="auto" w:sz="4" w:space="0"/>
              <w:right w:val="single" w:color="auto" w:sz="4" w:space="0"/>
            </w:tcBorders>
            <w:noWrap w:val="0"/>
            <w:vAlign w:val="center"/>
          </w:tcPr>
          <w:p w14:paraId="64513ADE">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b/>
                <w:szCs w:val="21"/>
                <w:highlight w:val="yellow"/>
              </w:rPr>
              <w:t>评分标准</w:t>
            </w:r>
          </w:p>
        </w:tc>
      </w:tr>
      <w:tr w14:paraId="5EA5D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49EE110C">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2.2.4</w:t>
            </w:r>
          </w:p>
        </w:tc>
        <w:tc>
          <w:tcPr>
            <w:tcW w:w="1505" w:type="dxa"/>
            <w:tcBorders>
              <w:top w:val="single" w:color="auto" w:sz="4" w:space="0"/>
              <w:left w:val="single" w:color="auto" w:sz="4" w:space="0"/>
              <w:right w:val="single" w:color="auto" w:sz="4" w:space="0"/>
            </w:tcBorders>
            <w:noWrap w:val="0"/>
            <w:vAlign w:val="center"/>
          </w:tcPr>
          <w:p w14:paraId="7CDD5663">
            <w:pPr>
              <w:pageBreakBefore w:val="0"/>
              <w:kinsoku/>
              <w:wordWrap w:val="0"/>
              <w:bidi w:val="0"/>
              <w:spacing w:line="360" w:lineRule="atLeast"/>
              <w:jc w:val="center"/>
              <w:rPr>
                <w:rFonts w:hint="default" w:ascii="Times New Roman" w:hAnsi="Times New Roman" w:cs="Times New Roman"/>
                <w:szCs w:val="21"/>
                <w:highlight w:val="yellow"/>
              </w:rPr>
            </w:pPr>
            <w:r>
              <w:rPr>
                <w:rFonts w:hint="default" w:ascii="Times New Roman" w:hAnsi="Times New Roman" w:cs="Times New Roman"/>
                <w:szCs w:val="21"/>
                <w:highlight w:val="yellow"/>
              </w:rPr>
              <w:t>评标价</w:t>
            </w:r>
          </w:p>
        </w:tc>
        <w:tc>
          <w:tcPr>
            <w:tcW w:w="5099" w:type="dxa"/>
            <w:tcBorders>
              <w:top w:val="single" w:color="auto" w:sz="4" w:space="0"/>
              <w:left w:val="single" w:color="auto" w:sz="4" w:space="0"/>
              <w:right w:val="single" w:color="auto" w:sz="4" w:space="0"/>
            </w:tcBorders>
            <w:noWrap w:val="0"/>
            <w:vAlign w:val="top"/>
          </w:tcPr>
          <w:p w14:paraId="5A54D3BC">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100分</w:t>
            </w:r>
          </w:p>
          <w:p w14:paraId="57E8C5D1">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评标价得分计算公式示例：</w:t>
            </w:r>
          </w:p>
          <w:p w14:paraId="7C442442">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（1）如果投标人的评标价&gt;评标基准价，则评标价得分＝100－偏差率×100×</w:t>
            </w:r>
            <w:r>
              <w:rPr>
                <w:rFonts w:hint="eastAsia" w:cs="Times New Roman"/>
                <w:szCs w:val="21"/>
                <w:highlight w:val="yellow"/>
                <w:lang w:val="en-US" w:eastAsia="zh-CN"/>
              </w:rPr>
              <w:t>2</w:t>
            </w:r>
            <w:r>
              <w:rPr>
                <w:rFonts w:hint="default" w:ascii="Times New Roman" w:hAnsi="Times New Roman" w:cs="Times New Roman"/>
                <w:szCs w:val="21"/>
                <w:highlight w:val="yellow"/>
              </w:rPr>
              <w:t>；</w:t>
            </w:r>
          </w:p>
          <w:p w14:paraId="3B75A8DB">
            <w:pPr>
              <w:pageBreakBefore w:val="0"/>
              <w:kinsoku/>
              <w:wordWrap w:val="0"/>
              <w:bidi w:val="0"/>
              <w:spacing w:line="360" w:lineRule="atLeast"/>
              <w:rPr>
                <w:rFonts w:hint="default" w:ascii="Times New Roman" w:hAnsi="Times New Roman" w:cs="Times New Roman"/>
                <w:szCs w:val="21"/>
                <w:highlight w:val="yellow"/>
              </w:rPr>
            </w:pPr>
            <w:r>
              <w:rPr>
                <w:rFonts w:hint="default" w:ascii="Times New Roman" w:hAnsi="Times New Roman" w:cs="Times New Roman"/>
                <w:szCs w:val="21"/>
                <w:highlight w:val="yellow"/>
              </w:rPr>
              <w:t>（2）如果投标人的评标价≤评标基准价，则评标价得分＝100＋偏差率×100×</w:t>
            </w:r>
            <w:r>
              <w:rPr>
                <w:rFonts w:hint="eastAsia" w:cs="Times New Roman"/>
                <w:szCs w:val="21"/>
                <w:highlight w:val="yellow"/>
                <w:lang w:val="en-US" w:eastAsia="zh-CN"/>
              </w:rPr>
              <w:t>1</w:t>
            </w:r>
            <w:r>
              <w:rPr>
                <w:rFonts w:hint="default" w:ascii="Times New Roman" w:hAnsi="Times New Roman" w:cs="Times New Roman"/>
                <w:szCs w:val="21"/>
                <w:highlight w:val="yellow"/>
              </w:rPr>
              <w:t>。</w:t>
            </w:r>
          </w:p>
        </w:tc>
      </w:tr>
      <w:tr w14:paraId="66B4C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D67959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需要补充的其他内容：</w:t>
            </w:r>
          </w:p>
          <w:p w14:paraId="4547F0F8">
            <w:pPr>
              <w:widowControl/>
              <w:jc w:val="left"/>
            </w:pPr>
            <w:r>
              <w:rPr>
                <w:rFonts w:ascii="Calibri" w:hAnsi="Calibri" w:cs="Calibri"/>
                <w:color w:val="0000FF"/>
                <w:kern w:val="0"/>
                <w:szCs w:val="21"/>
                <w:lang w:bidi="ar"/>
              </w:rPr>
              <w:t>1.</w:t>
            </w:r>
            <w:r>
              <w:rPr>
                <w:rFonts w:hint="eastAsia" w:ascii="宋体" w:hAnsi="宋体" w:cs="宋体"/>
                <w:color w:val="0000FF"/>
                <w:kern w:val="0"/>
                <w:szCs w:val="21"/>
                <w:lang w:bidi="ar"/>
              </w:rPr>
              <w:t xml:space="preserve">评标办法 </w:t>
            </w:r>
          </w:p>
          <w:p w14:paraId="4BA34CFC">
            <w:pPr>
              <w:widowControl/>
              <w:jc w:val="left"/>
            </w:pPr>
            <w:r>
              <w:rPr>
                <w:rFonts w:hint="eastAsia" w:ascii="宋体" w:hAnsi="宋体" w:cs="宋体"/>
                <w:color w:val="0000FF"/>
                <w:kern w:val="0"/>
                <w:szCs w:val="21"/>
                <w:lang w:bidi="ar"/>
              </w:rPr>
              <w:t xml:space="preserve">本条细化为： </w:t>
            </w:r>
          </w:p>
          <w:p w14:paraId="2819750F">
            <w:pPr>
              <w:widowControl/>
              <w:jc w:val="left"/>
            </w:pPr>
            <w:r>
              <w:rPr>
                <w:rFonts w:ascii="Calibri" w:hAnsi="Calibri" w:cs="Calibri"/>
                <w:color w:val="0000FF"/>
                <w:kern w:val="0"/>
                <w:szCs w:val="21"/>
                <w:lang w:bidi="ar"/>
              </w:rPr>
              <w:t xml:space="preserve">1.1 </w:t>
            </w:r>
            <w:r>
              <w:rPr>
                <w:rFonts w:hint="eastAsia" w:ascii="宋体" w:hAnsi="宋体" w:cs="宋体"/>
                <w:color w:val="0000FF"/>
                <w:kern w:val="0"/>
                <w:szCs w:val="21"/>
                <w:lang w:bidi="ar"/>
              </w:rPr>
              <w:t xml:space="preserve">采用双信封形式合理低价法。 </w:t>
            </w:r>
          </w:p>
          <w:p w14:paraId="66DDDCA7">
            <w:pPr>
              <w:widowControl/>
              <w:jc w:val="left"/>
            </w:pPr>
            <w:r>
              <w:rPr>
                <w:rFonts w:ascii="Calibri" w:hAnsi="Calibri" w:cs="Calibri"/>
                <w:color w:val="0000FF"/>
                <w:kern w:val="0"/>
                <w:szCs w:val="21"/>
                <w:lang w:bidi="ar"/>
              </w:rPr>
              <w:t xml:space="preserve">1.1.1 </w:t>
            </w:r>
            <w:r>
              <w:rPr>
                <w:rFonts w:hint="eastAsia" w:ascii="宋体" w:hAnsi="宋体" w:cs="宋体"/>
                <w:color w:val="0000FF"/>
                <w:kern w:val="0"/>
                <w:szCs w:val="21"/>
                <w:lang w:bidi="ar"/>
              </w:rPr>
              <w:t xml:space="preserve">评标委员会首先对第一个信封（商务及技术文件）进行初步评审（形式评审与响应 </w:t>
            </w:r>
          </w:p>
          <w:p w14:paraId="35BB769C">
            <w:pPr>
              <w:widowControl/>
              <w:jc w:val="left"/>
            </w:pPr>
            <w:r>
              <w:rPr>
                <w:rFonts w:hint="eastAsia" w:ascii="宋体" w:hAnsi="宋体" w:cs="宋体"/>
                <w:color w:val="0000FF"/>
                <w:kern w:val="0"/>
                <w:szCs w:val="21"/>
                <w:lang w:bidi="ar"/>
              </w:rPr>
              <w:t xml:space="preserve">性评审、资格评审），通过第一个信封初步评审的投标人，进入第二个信封（报价文件） </w:t>
            </w:r>
          </w:p>
          <w:p w14:paraId="56587B65">
            <w:pPr>
              <w:widowControl/>
              <w:jc w:val="left"/>
            </w:pPr>
            <w:r>
              <w:rPr>
                <w:rFonts w:hint="eastAsia" w:ascii="宋体" w:hAnsi="宋体" w:cs="宋体"/>
                <w:color w:val="0000FF"/>
                <w:kern w:val="0"/>
                <w:szCs w:val="21"/>
                <w:lang w:bidi="ar"/>
              </w:rPr>
              <w:t xml:space="preserve">开标。第二个信封在监督机关的监督下进行开标，未通过第一个信封初步评审的投标人的 </w:t>
            </w:r>
          </w:p>
          <w:p w14:paraId="14D6E031">
            <w:pPr>
              <w:widowControl/>
              <w:jc w:val="left"/>
            </w:pPr>
            <w:r>
              <w:rPr>
                <w:rFonts w:hint="eastAsia" w:ascii="宋体" w:hAnsi="宋体" w:cs="宋体"/>
                <w:color w:val="0000FF"/>
                <w:kern w:val="0"/>
                <w:szCs w:val="21"/>
                <w:lang w:bidi="ar"/>
              </w:rPr>
              <w:t xml:space="preserve">投标文件将被否决投标，其第二个信封原封退回，不参与第二个信封的开标。 </w:t>
            </w:r>
          </w:p>
          <w:p w14:paraId="21F0905E">
            <w:pPr>
              <w:widowControl/>
              <w:jc w:val="left"/>
            </w:pPr>
            <w:r>
              <w:rPr>
                <w:rFonts w:ascii="Calibri" w:hAnsi="Calibri" w:cs="Calibri"/>
                <w:color w:val="0000FF"/>
                <w:kern w:val="0"/>
                <w:szCs w:val="21"/>
                <w:lang w:bidi="ar"/>
              </w:rPr>
              <w:t xml:space="preserve">1.1.2 </w:t>
            </w:r>
            <w:r>
              <w:rPr>
                <w:rFonts w:hint="eastAsia" w:ascii="宋体" w:hAnsi="宋体" w:cs="宋体"/>
                <w:color w:val="0000FF"/>
                <w:kern w:val="0"/>
                <w:szCs w:val="21"/>
                <w:lang w:bidi="ar"/>
              </w:rPr>
              <w:t xml:space="preserve">评标委员会对投标文件第二个信封进行形式和响应性评审，未通过第二个信封形式 </w:t>
            </w:r>
          </w:p>
          <w:p w14:paraId="36270E39">
            <w:pPr>
              <w:widowControl/>
              <w:jc w:val="left"/>
            </w:pPr>
            <w:r>
              <w:rPr>
                <w:rFonts w:hint="eastAsia" w:ascii="宋体" w:hAnsi="宋体" w:cs="宋体"/>
                <w:color w:val="0000FF"/>
                <w:kern w:val="0"/>
                <w:szCs w:val="21"/>
                <w:lang w:bidi="ar"/>
              </w:rPr>
              <w:t xml:space="preserve">和响应性评审的投标文件将被否决投标：若所有投标文件均未通过第二个信封的形式和响 </w:t>
            </w:r>
          </w:p>
          <w:p w14:paraId="20F36E85">
            <w:pPr>
              <w:widowControl/>
              <w:jc w:val="left"/>
            </w:pPr>
            <w:r>
              <w:rPr>
                <w:rFonts w:hint="eastAsia" w:ascii="宋体" w:hAnsi="宋体" w:cs="宋体"/>
                <w:color w:val="0000FF"/>
                <w:kern w:val="0"/>
                <w:szCs w:val="21"/>
                <w:lang w:bidi="ar"/>
              </w:rPr>
              <w:t xml:space="preserve">应性评审，招标人将重新招标。评标委员会对通过第二个信封形式和响应性评审的投标文 </w:t>
            </w:r>
          </w:p>
          <w:p w14:paraId="17AE0D7B">
            <w:pPr>
              <w:widowControl/>
              <w:jc w:val="left"/>
            </w:pPr>
            <w:r>
              <w:rPr>
                <w:rFonts w:hint="eastAsia" w:ascii="宋体" w:hAnsi="宋体" w:cs="宋体"/>
                <w:color w:val="0000FF"/>
                <w:kern w:val="0"/>
                <w:szCs w:val="21"/>
                <w:lang w:bidi="ar"/>
              </w:rPr>
              <w:t xml:space="preserve">件，按照本章第 </w:t>
            </w:r>
            <w:r>
              <w:rPr>
                <w:rFonts w:ascii="Calibri" w:hAnsi="Calibri" w:cs="Calibri"/>
                <w:color w:val="0000FF"/>
                <w:kern w:val="0"/>
                <w:szCs w:val="21"/>
                <w:lang w:bidi="ar"/>
              </w:rPr>
              <w:t xml:space="preserve">2.2 </w:t>
            </w:r>
            <w:r>
              <w:rPr>
                <w:rFonts w:hint="eastAsia" w:ascii="宋体" w:hAnsi="宋体" w:cs="宋体"/>
                <w:color w:val="0000FF"/>
                <w:kern w:val="0"/>
                <w:szCs w:val="21"/>
                <w:lang w:bidi="ar"/>
              </w:rPr>
              <w:t xml:space="preserve">款规定的评分标准进行评分，然后按评标价得分由高到低顺序推荐 </w:t>
            </w:r>
          </w:p>
          <w:p w14:paraId="3C1A0303">
            <w:pPr>
              <w:widowControl/>
              <w:jc w:val="left"/>
            </w:pPr>
            <w:r>
              <w:rPr>
                <w:rFonts w:hint="eastAsia" w:ascii="宋体" w:hAnsi="宋体" w:cs="宋体"/>
                <w:color w:val="0000FF"/>
                <w:kern w:val="0"/>
                <w:szCs w:val="21"/>
                <w:lang w:bidi="ar"/>
              </w:rPr>
              <w:t xml:space="preserve">中标候选人，但投标报价低于其成本的除外。 </w:t>
            </w:r>
          </w:p>
          <w:p w14:paraId="26DCA532">
            <w:pPr>
              <w:widowControl/>
              <w:jc w:val="left"/>
            </w:pPr>
            <w:r>
              <w:rPr>
                <w:rFonts w:ascii="Calibri" w:hAnsi="Calibri" w:cs="Calibri"/>
                <w:color w:val="0000FF"/>
                <w:kern w:val="0"/>
                <w:szCs w:val="21"/>
                <w:lang w:bidi="ar"/>
              </w:rPr>
              <w:t xml:space="preserve">1.1.3 </w:t>
            </w:r>
            <w:r>
              <w:rPr>
                <w:rFonts w:hint="eastAsia" w:ascii="宋体" w:hAnsi="宋体" w:cs="宋体"/>
                <w:color w:val="0000FF"/>
                <w:kern w:val="0"/>
                <w:szCs w:val="21"/>
                <w:lang w:bidi="ar"/>
              </w:rPr>
              <w:t xml:space="preserve">综合评分相等时，评标委员会依次按照以下优先顺序推荐中标候选人或确定中标 </w:t>
            </w:r>
          </w:p>
          <w:p w14:paraId="4D7D716C">
            <w:pPr>
              <w:widowControl/>
              <w:jc w:val="left"/>
            </w:pPr>
            <w:r>
              <w:rPr>
                <w:rFonts w:hint="eastAsia" w:ascii="宋体" w:hAnsi="宋体" w:cs="宋体"/>
                <w:color w:val="0000FF"/>
                <w:kern w:val="0"/>
                <w:szCs w:val="21"/>
                <w:lang w:bidi="ar"/>
              </w:rPr>
              <w:t xml:space="preserve">人： </w:t>
            </w:r>
          </w:p>
          <w:p w14:paraId="18AAAEB4">
            <w:pPr>
              <w:widowControl/>
              <w:jc w:val="left"/>
            </w:pPr>
            <w:r>
              <w:rPr>
                <w:rFonts w:hint="eastAsia" w:ascii="宋体" w:hAnsi="宋体" w:cs="宋体"/>
                <w:color w:val="0000FF"/>
                <w:kern w:val="0"/>
                <w:szCs w:val="21"/>
                <w:lang w:bidi="ar"/>
              </w:rPr>
              <w:t>（</w:t>
            </w:r>
            <w:r>
              <w:rPr>
                <w:rFonts w:ascii="Calibri" w:hAnsi="Calibri" w:cs="Calibri"/>
                <w:color w:val="0000FF"/>
                <w:kern w:val="0"/>
                <w:szCs w:val="21"/>
                <w:lang w:bidi="ar"/>
              </w:rPr>
              <w:t>1</w:t>
            </w:r>
            <w:r>
              <w:rPr>
                <w:rFonts w:hint="eastAsia" w:ascii="宋体" w:hAnsi="宋体" w:cs="宋体"/>
                <w:color w:val="0000FF"/>
                <w:kern w:val="0"/>
                <w:szCs w:val="21"/>
                <w:lang w:bidi="ar"/>
              </w:rPr>
              <w:t xml:space="preserve">）以评标价较低者优先； </w:t>
            </w:r>
          </w:p>
          <w:p w14:paraId="022C02F9">
            <w:pPr>
              <w:widowControl/>
              <w:jc w:val="left"/>
            </w:pPr>
            <w:r>
              <w:rPr>
                <w:rFonts w:hint="eastAsia" w:ascii="宋体" w:hAnsi="宋体" w:cs="宋体"/>
                <w:color w:val="0000FF"/>
                <w:kern w:val="0"/>
                <w:szCs w:val="21"/>
                <w:lang w:bidi="ar"/>
              </w:rPr>
              <w:t>（</w:t>
            </w:r>
            <w:r>
              <w:rPr>
                <w:rFonts w:ascii="Calibri" w:hAnsi="Calibri" w:cs="Calibri"/>
                <w:color w:val="0000FF"/>
                <w:kern w:val="0"/>
                <w:szCs w:val="21"/>
                <w:lang w:bidi="ar"/>
              </w:rPr>
              <w:t>2</w:t>
            </w:r>
            <w:r>
              <w:rPr>
                <w:rFonts w:hint="eastAsia" w:ascii="宋体" w:hAnsi="宋体" w:cs="宋体"/>
                <w:color w:val="0000FF"/>
                <w:kern w:val="0"/>
                <w:szCs w:val="21"/>
                <w:lang w:bidi="ar"/>
              </w:rPr>
              <w:t xml:space="preserve">）被招标项目所在地省级交通运输主管部门评为较高信用等级的投标人优先； </w:t>
            </w:r>
          </w:p>
          <w:p w14:paraId="2EFC2E5F">
            <w:pPr>
              <w:widowControl/>
              <w:jc w:val="left"/>
            </w:pPr>
            <w:r>
              <w:rPr>
                <w:rFonts w:hint="eastAsia" w:ascii="宋体" w:hAnsi="宋体" w:cs="宋体"/>
                <w:color w:val="0000FF"/>
                <w:kern w:val="0"/>
                <w:szCs w:val="21"/>
                <w:lang w:bidi="ar"/>
              </w:rPr>
              <w:t xml:space="preserve">当两家及以上投标人的最终得分相等且投标价也相等时，则先对各投标人的工程量清单进 </w:t>
            </w:r>
          </w:p>
          <w:p w14:paraId="0D72D827">
            <w:pPr>
              <w:widowControl/>
              <w:jc w:val="left"/>
            </w:pPr>
            <w:r>
              <w:rPr>
                <w:rFonts w:hint="eastAsia" w:ascii="宋体" w:hAnsi="宋体" w:cs="宋体"/>
                <w:color w:val="0000FF"/>
                <w:kern w:val="0"/>
                <w:szCs w:val="21"/>
                <w:lang w:bidi="ar"/>
              </w:rPr>
              <w:t>行复核，若各投标人工程量清单子目单价也相同时，视为串标，均以废标处理。若各投标</w:t>
            </w:r>
          </w:p>
          <w:p w14:paraId="090706DC">
            <w:pPr>
              <w:widowControl/>
              <w:jc w:val="left"/>
            </w:pPr>
            <w:r>
              <w:rPr>
                <w:rFonts w:hint="eastAsia" w:ascii="宋体" w:hAnsi="宋体" w:cs="宋体"/>
                <w:color w:val="0000FF"/>
                <w:kern w:val="0"/>
                <w:szCs w:val="21"/>
                <w:lang w:bidi="ar"/>
              </w:rPr>
              <w:t xml:space="preserve">人工程量清单子目单价不同时，由评标委员会根据施工组织设计的编制情况投票确定其推 </w:t>
            </w:r>
          </w:p>
          <w:p w14:paraId="063122D4">
            <w:pPr>
              <w:widowControl/>
              <w:jc w:val="left"/>
            </w:pPr>
            <w:r>
              <w:rPr>
                <w:rFonts w:hint="eastAsia" w:ascii="宋体" w:hAnsi="宋体" w:cs="宋体"/>
                <w:color w:val="0000FF"/>
                <w:kern w:val="0"/>
                <w:szCs w:val="21"/>
                <w:lang w:bidi="ar"/>
              </w:rPr>
              <w:t xml:space="preserve">荐顺序。 </w:t>
            </w:r>
          </w:p>
          <w:p w14:paraId="31E594E3">
            <w:pPr>
              <w:widowControl/>
              <w:jc w:val="left"/>
            </w:pPr>
            <w:r>
              <w:rPr>
                <w:rFonts w:ascii="Calibri" w:hAnsi="Calibri" w:cs="Calibri"/>
                <w:color w:val="0000FF"/>
                <w:kern w:val="0"/>
                <w:szCs w:val="21"/>
                <w:lang w:bidi="ar"/>
              </w:rPr>
              <w:t xml:space="preserve">1.1.4 </w:t>
            </w:r>
            <w:r>
              <w:rPr>
                <w:rFonts w:hint="eastAsia" w:ascii="宋体" w:hAnsi="宋体" w:cs="宋体"/>
                <w:color w:val="0000FF"/>
                <w:kern w:val="0"/>
                <w:szCs w:val="21"/>
                <w:lang w:bidi="ar"/>
              </w:rPr>
              <w:t xml:space="preserve">通过第一个信封评审且参与第二个信封开标的投标人在 </w:t>
            </w:r>
            <w:r>
              <w:rPr>
                <w:rFonts w:ascii="Calibri" w:hAnsi="Calibri" w:cs="Calibri"/>
                <w:color w:val="0000FF"/>
                <w:kern w:val="0"/>
                <w:szCs w:val="21"/>
                <w:lang w:bidi="ar"/>
              </w:rPr>
              <w:t xml:space="preserve">3 </w:t>
            </w:r>
            <w:r>
              <w:rPr>
                <w:rFonts w:hint="eastAsia" w:ascii="宋体" w:hAnsi="宋体" w:cs="宋体"/>
                <w:color w:val="0000FF"/>
                <w:kern w:val="0"/>
                <w:szCs w:val="21"/>
                <w:lang w:bidi="ar"/>
              </w:rPr>
              <w:t xml:space="preserve">个及以上的，招标人将按 </w:t>
            </w:r>
          </w:p>
          <w:p w14:paraId="7ACF2D68">
            <w:pPr>
              <w:widowControl/>
              <w:jc w:val="left"/>
            </w:pPr>
            <w:r>
              <w:rPr>
                <w:rFonts w:hint="eastAsia" w:ascii="宋体" w:hAnsi="宋体" w:cs="宋体"/>
                <w:color w:val="0000FF"/>
                <w:kern w:val="0"/>
                <w:szCs w:val="21"/>
                <w:lang w:bidi="ar"/>
              </w:rPr>
              <w:t xml:space="preserve">规定的程序进行第二个信封开标：在对第二个信封进行评审后，有效投标不足 </w:t>
            </w:r>
            <w:r>
              <w:rPr>
                <w:rFonts w:ascii="Calibri" w:hAnsi="Calibri" w:cs="Calibri"/>
                <w:color w:val="0000FF"/>
                <w:kern w:val="0"/>
                <w:szCs w:val="21"/>
                <w:lang w:bidi="ar"/>
              </w:rPr>
              <w:t xml:space="preserve">3 </w:t>
            </w:r>
            <w:r>
              <w:rPr>
                <w:rFonts w:hint="eastAsia" w:ascii="宋体" w:hAnsi="宋体" w:cs="宋体"/>
                <w:color w:val="0000FF"/>
                <w:kern w:val="0"/>
                <w:szCs w:val="21"/>
                <w:lang w:bidi="ar"/>
              </w:rPr>
              <w:t xml:space="preserve">个使得投 </w:t>
            </w:r>
          </w:p>
          <w:p w14:paraId="29E3FB51">
            <w:pPr>
              <w:widowControl/>
              <w:jc w:val="left"/>
            </w:pPr>
            <w:r>
              <w:rPr>
                <w:rFonts w:hint="eastAsia" w:ascii="宋体" w:hAnsi="宋体" w:cs="宋体"/>
                <w:color w:val="0000FF"/>
                <w:kern w:val="0"/>
                <w:szCs w:val="21"/>
                <w:lang w:bidi="ar"/>
              </w:rPr>
              <w:t xml:space="preserve">标明显缺乏竞争的，评标委员会可以否决全部投标。评标委员会未否决全部投标的，应当 </w:t>
            </w:r>
          </w:p>
          <w:p w14:paraId="026D3BB1">
            <w:pPr>
              <w:widowControl/>
              <w:jc w:val="left"/>
            </w:pPr>
            <w:r>
              <w:rPr>
                <w:rFonts w:hint="eastAsia" w:ascii="宋体" w:hAnsi="宋体" w:cs="宋体"/>
                <w:color w:val="0000FF"/>
                <w:kern w:val="0"/>
                <w:szCs w:val="21"/>
                <w:lang w:bidi="ar"/>
              </w:rPr>
              <w:t xml:space="preserve">在评标报告中阐明理由并推荐中标候选人。 </w:t>
            </w:r>
          </w:p>
          <w:p w14:paraId="33BE36A7">
            <w:pPr>
              <w:widowControl/>
              <w:jc w:val="left"/>
            </w:pPr>
            <w:r>
              <w:rPr>
                <w:rFonts w:ascii="Calibri" w:hAnsi="Calibri" w:cs="Calibri"/>
                <w:color w:val="0000FF"/>
                <w:kern w:val="0"/>
                <w:szCs w:val="21"/>
                <w:lang w:bidi="ar"/>
              </w:rPr>
              <w:t xml:space="preserve">1.1.5 </w:t>
            </w:r>
            <w:r>
              <w:rPr>
                <w:rFonts w:hint="eastAsia" w:ascii="宋体" w:hAnsi="宋体" w:cs="宋体"/>
                <w:color w:val="0000FF"/>
                <w:kern w:val="0"/>
                <w:szCs w:val="21"/>
                <w:lang w:bidi="ar"/>
              </w:rPr>
              <w:t xml:space="preserve">通过第一个信封评审且参与第二个信封开标的投标人少于 </w:t>
            </w:r>
            <w:r>
              <w:rPr>
                <w:rFonts w:ascii="Calibri" w:hAnsi="Calibri" w:cs="Calibri"/>
                <w:color w:val="0000FF"/>
                <w:kern w:val="0"/>
                <w:szCs w:val="21"/>
                <w:lang w:bidi="ar"/>
              </w:rPr>
              <w:t xml:space="preserve">3 </w:t>
            </w:r>
            <w:r>
              <w:rPr>
                <w:rFonts w:hint="eastAsia" w:ascii="宋体" w:hAnsi="宋体" w:cs="宋体"/>
                <w:color w:val="0000FF"/>
                <w:kern w:val="0"/>
                <w:szCs w:val="21"/>
                <w:lang w:bidi="ar"/>
              </w:rPr>
              <w:t xml:space="preserve">个的，评标委员会可以 </w:t>
            </w:r>
          </w:p>
          <w:p w14:paraId="11710431">
            <w:pPr>
              <w:widowControl/>
              <w:jc w:val="left"/>
            </w:pPr>
            <w:r>
              <w:rPr>
                <w:rFonts w:hint="eastAsia" w:ascii="宋体" w:hAnsi="宋体" w:cs="宋体"/>
                <w:color w:val="0000FF"/>
                <w:kern w:val="0"/>
                <w:szCs w:val="21"/>
                <w:lang w:bidi="ar"/>
              </w:rPr>
              <w:t xml:space="preserve">否决全部投标：未否决全部投标的，评标委员会应当在评标报告中阐明理由，招标人将按 </w:t>
            </w:r>
          </w:p>
          <w:p w14:paraId="3C0F4A86">
            <w:pPr>
              <w:widowControl/>
              <w:jc w:val="left"/>
            </w:pPr>
            <w:r>
              <w:rPr>
                <w:rFonts w:hint="eastAsia" w:ascii="宋体" w:hAnsi="宋体" w:cs="宋体"/>
                <w:color w:val="0000FF"/>
                <w:kern w:val="0"/>
                <w:szCs w:val="21"/>
                <w:lang w:bidi="ar"/>
              </w:rPr>
              <w:t xml:space="preserve">规定的程序进行第二个信封开标，但评标委员会在进行第二个信封评审时仍有权否决全部 </w:t>
            </w:r>
          </w:p>
          <w:p w14:paraId="209791EE">
            <w:pPr>
              <w:widowControl/>
              <w:jc w:val="left"/>
            </w:pPr>
            <w:r>
              <w:rPr>
                <w:rFonts w:hint="eastAsia" w:ascii="宋体" w:hAnsi="宋体" w:cs="宋体"/>
                <w:color w:val="0000FF"/>
                <w:kern w:val="0"/>
                <w:szCs w:val="21"/>
                <w:lang w:bidi="ar"/>
              </w:rPr>
              <w:t xml:space="preserve">投标：评标委员会未在第二个信封评审时否决全部投标的，应当在评标报告中阐明理由并 </w:t>
            </w:r>
          </w:p>
          <w:p w14:paraId="633C0743">
            <w:pPr>
              <w:widowControl/>
              <w:jc w:val="left"/>
            </w:pPr>
            <w:r>
              <w:rPr>
                <w:rFonts w:hint="eastAsia" w:ascii="宋体" w:hAnsi="宋体" w:cs="宋体"/>
                <w:color w:val="0000FF"/>
                <w:kern w:val="0"/>
                <w:szCs w:val="21"/>
                <w:lang w:bidi="ar"/>
              </w:rPr>
              <w:t xml:space="preserve">推荐中标候选人。 </w:t>
            </w:r>
          </w:p>
          <w:p w14:paraId="10661A9F">
            <w:pPr>
              <w:widowControl/>
              <w:jc w:val="left"/>
            </w:pPr>
            <w:r>
              <w:rPr>
                <w:rFonts w:ascii="Calibri" w:hAnsi="Calibri" w:cs="Calibri"/>
                <w:color w:val="0000FF"/>
                <w:kern w:val="0"/>
                <w:szCs w:val="21"/>
                <w:lang w:bidi="ar"/>
              </w:rPr>
              <w:t>2.</w:t>
            </w:r>
            <w:r>
              <w:rPr>
                <w:rFonts w:hint="eastAsia" w:ascii="宋体" w:hAnsi="宋体" w:cs="宋体"/>
                <w:color w:val="0000FF"/>
                <w:kern w:val="0"/>
                <w:szCs w:val="21"/>
                <w:lang w:bidi="ar"/>
              </w:rPr>
              <w:t xml:space="preserve">评标结果 </w:t>
            </w:r>
          </w:p>
          <w:p w14:paraId="00C66250">
            <w:pPr>
              <w:widowControl/>
              <w:jc w:val="left"/>
            </w:pPr>
            <w:r>
              <w:rPr>
                <w:rFonts w:ascii="Calibri" w:hAnsi="Calibri" w:cs="Calibri"/>
                <w:color w:val="0000FF"/>
                <w:kern w:val="0"/>
                <w:szCs w:val="21"/>
                <w:lang w:bidi="ar"/>
              </w:rPr>
              <w:t xml:space="preserve">2.1 </w:t>
            </w:r>
            <w:r>
              <w:rPr>
                <w:rFonts w:hint="eastAsia" w:ascii="宋体" w:hAnsi="宋体" w:cs="宋体"/>
                <w:color w:val="0000FF"/>
                <w:kern w:val="0"/>
                <w:szCs w:val="21"/>
                <w:lang w:bidi="ar"/>
              </w:rPr>
              <w:t xml:space="preserve">评标委员会按照评标方法的规定推荐中标候选人。 </w:t>
            </w:r>
          </w:p>
          <w:p w14:paraId="453CD91D">
            <w:pPr>
              <w:widowControl/>
              <w:jc w:val="left"/>
            </w:pPr>
            <w:r>
              <w:rPr>
                <w:rFonts w:ascii="Calibri" w:hAnsi="Calibri" w:cs="Calibri"/>
                <w:color w:val="0000FF"/>
                <w:kern w:val="0"/>
                <w:szCs w:val="21"/>
                <w:lang w:bidi="ar"/>
              </w:rPr>
              <w:t xml:space="preserve">2.2 </w:t>
            </w:r>
            <w:r>
              <w:rPr>
                <w:rFonts w:hint="eastAsia" w:ascii="宋体" w:hAnsi="宋体" w:cs="宋体"/>
                <w:color w:val="0000FF"/>
                <w:kern w:val="0"/>
                <w:szCs w:val="21"/>
                <w:lang w:bidi="ar"/>
              </w:rPr>
              <w:t xml:space="preserve">评标委员会完成评标后，应当向招标人提交书面评标报告。评标报告由评标委员会全 </w:t>
            </w:r>
          </w:p>
          <w:p w14:paraId="10AA32B7">
            <w:pPr>
              <w:widowControl/>
              <w:jc w:val="left"/>
            </w:pPr>
            <w:r>
              <w:rPr>
                <w:rFonts w:hint="eastAsia" w:ascii="宋体" w:hAnsi="宋体" w:cs="宋体"/>
                <w:color w:val="0000FF"/>
                <w:kern w:val="0"/>
                <w:szCs w:val="21"/>
                <w:lang w:bidi="ar"/>
              </w:rPr>
              <w:t xml:space="preserve">体成员签字。对评标结论持有异议的评标委员会成员可以书面方式阐述其不同意见和理 </w:t>
            </w:r>
          </w:p>
          <w:p w14:paraId="3B2365F1">
            <w:pPr>
              <w:widowControl/>
              <w:jc w:val="left"/>
            </w:pPr>
            <w:r>
              <w:rPr>
                <w:rFonts w:hint="eastAsia" w:ascii="宋体" w:hAnsi="宋体" w:cs="宋体"/>
                <w:color w:val="0000FF"/>
                <w:kern w:val="0"/>
                <w:szCs w:val="21"/>
                <w:lang w:bidi="ar"/>
              </w:rPr>
              <w:t xml:space="preserve">由。评标委员会成员拒绝在评标报告上签字且不陈述其不同意见和理由的，视为同意评标 </w:t>
            </w:r>
          </w:p>
          <w:p w14:paraId="2AAE3CD3">
            <w:pPr>
              <w:widowControl/>
              <w:jc w:val="left"/>
              <w:rPr>
                <w:rFonts w:hint="eastAsia" w:ascii="宋体" w:hAnsi="宋体" w:cs="宋体"/>
                <w:color w:val="0000FF"/>
                <w:kern w:val="0"/>
                <w:szCs w:val="21"/>
                <w:lang w:bidi="ar"/>
              </w:rPr>
            </w:pPr>
            <w:r>
              <w:rPr>
                <w:rFonts w:hint="eastAsia" w:ascii="宋体" w:hAnsi="宋体" w:cs="宋体"/>
                <w:color w:val="0000FF"/>
                <w:kern w:val="0"/>
                <w:szCs w:val="21"/>
                <w:lang w:bidi="ar"/>
              </w:rPr>
              <w:t>结论。</w:t>
            </w:r>
          </w:p>
          <w:p w14:paraId="2EC06AEF">
            <w:pPr>
              <w:widowControl/>
              <w:jc w:val="left"/>
              <w:rPr>
                <w:rFonts w:hint="eastAsia" w:ascii="宋体" w:hAnsi="宋体" w:cs="宋体"/>
                <w:color w:val="0000FF"/>
                <w:kern w:val="0"/>
                <w:szCs w:val="21"/>
                <w:lang w:val="en-US" w:eastAsia="zh-CN" w:bidi="ar"/>
              </w:rPr>
            </w:pPr>
            <w:r>
              <w:rPr>
                <w:rFonts w:hint="eastAsia" w:ascii="宋体" w:hAnsi="宋体" w:cs="宋体"/>
                <w:color w:val="0000FF"/>
                <w:kern w:val="0"/>
                <w:szCs w:val="21"/>
                <w:lang w:val="en-US" w:eastAsia="zh-CN" w:bidi="ar"/>
              </w:rPr>
              <w:t>3、偏差率保留小数点后两位，小数点后第三位“四舍五入”。</w:t>
            </w:r>
          </w:p>
          <w:p w14:paraId="58E21FFC">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4、本项目评标价的确定，按方法一。</w:t>
            </w:r>
          </w:p>
          <w:p w14:paraId="6E06F243">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5、本项目评标基准价的确定，按方法一。</w:t>
            </w:r>
          </w:p>
          <w:p w14:paraId="62B757D2">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6、废标条款:</w:t>
            </w:r>
          </w:p>
          <w:p w14:paraId="282943EC">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(1)在形式评审与响应性评审、资格评审中，评标委员会认定投标人的投标不符合评标办法前附表中规定的任何一项评审标准的;</w:t>
            </w:r>
          </w:p>
          <w:p w14:paraId="61631033">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(2)评标委员会认定投标人以低于成本报价竞标的:</w:t>
            </w:r>
          </w:p>
          <w:p w14:paraId="44E3D5BE">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(3)与其他投标人的投标文件分部、分项报价错漏一致，且没有合理解释的:</w:t>
            </w:r>
          </w:p>
          <w:p w14:paraId="7DED3F44">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(4)与其他投标人的投标文件载明的项目管理班子成员出现重复的:</w:t>
            </w:r>
          </w:p>
          <w:p w14:paraId="3593574A">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(5)不同投标人使用同一个人或者同一企业资金交纳投标保证金的:</w:t>
            </w:r>
          </w:p>
          <w:p w14:paraId="30147681">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(6)不同投标人聘请同一人为其投标提供技术或者经济咨询服务的:</w:t>
            </w:r>
          </w:p>
          <w:p w14:paraId="47D81199">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(7)与其他投标人的投标文件存在不应有的雷同:(8)其他情况能够证明有陪标行为的:</w:t>
            </w:r>
          </w:p>
          <w:p w14:paraId="0E306B64">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(9)有串通投标或弄虚作假或有其他违法行为的:</w:t>
            </w:r>
          </w:p>
          <w:p w14:paraId="1D021B14">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(10)投标人不按评标委员会要求澄清、说明或补正的:</w:t>
            </w:r>
          </w:p>
          <w:p w14:paraId="4A1635F0">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(11)不同投标人的投标报价或者报价组成异常一致或者呈规律性变化的:</w:t>
            </w:r>
          </w:p>
          <w:p w14:paraId="20B6C52D">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(12)投标文件附有招标人不能接受的条件:</w:t>
            </w:r>
          </w:p>
          <w:p w14:paraId="71537DDD">
            <w:pPr>
              <w:widowControl/>
              <w:jc w:val="left"/>
              <w:rPr>
                <w:rFonts w:hint="default" w:ascii="宋体" w:hAnsi="宋体" w:cs="宋体"/>
                <w:color w:val="0000FF"/>
                <w:kern w:val="0"/>
                <w:szCs w:val="21"/>
                <w:lang w:val="en-US" w:eastAsia="zh-CN" w:bidi="ar"/>
              </w:rPr>
            </w:pPr>
            <w:r>
              <w:rPr>
                <w:rFonts w:hint="default" w:ascii="宋体" w:hAnsi="宋体" w:cs="宋体"/>
                <w:color w:val="0000FF"/>
                <w:kern w:val="0"/>
                <w:szCs w:val="21"/>
                <w:lang w:val="en-US" w:eastAsia="zh-CN" w:bidi="ar"/>
              </w:rPr>
              <w:t>(13)不符合招标文件中规定的其他实质性要求的。</w:t>
            </w:r>
          </w:p>
          <w:p w14:paraId="3EB0C0A2">
            <w:pPr>
              <w:widowControl/>
              <w:jc w:val="left"/>
              <w:rPr>
                <w:rFonts w:hint="default" w:ascii="Times New Roman" w:hAnsi="Times New Roman" w:cs="Times New Roman"/>
                <w:szCs w:val="21"/>
              </w:rPr>
            </w:pPr>
            <w:r>
              <w:rPr>
                <w:rFonts w:hint="default" w:ascii="宋体" w:hAnsi="宋体" w:cs="宋体"/>
                <w:color w:val="0000FF"/>
                <w:kern w:val="0"/>
                <w:szCs w:val="21"/>
                <w:lang w:val="en-US" w:eastAsia="zh-CN" w:bidi="ar"/>
              </w:rPr>
              <w:t>(14)不同投标人的投标文件存在“MAC 地址”、“文件创建标识码”</w:t>
            </w:r>
            <w:r>
              <w:rPr>
                <w:rFonts w:hint="eastAsia" w:ascii="宋体" w:hAnsi="宋体" w:cs="宋体"/>
                <w:color w:val="0000FF"/>
                <w:kern w:val="0"/>
                <w:szCs w:val="21"/>
                <w:lang w:val="en-US" w:eastAsia="zh-CN" w:bidi="ar"/>
              </w:rPr>
              <w:t>、</w:t>
            </w:r>
            <w:r>
              <w:rPr>
                <w:rFonts w:hint="default" w:ascii="宋体" w:hAnsi="宋体" w:cs="宋体"/>
                <w:color w:val="0000FF"/>
                <w:kern w:val="0"/>
                <w:szCs w:val="21"/>
                <w:lang w:val="en-US" w:eastAsia="zh-CN" w:bidi="ar"/>
              </w:rPr>
              <w:t>“文件制作机器码”等唯一性标识一致等情形。</w:t>
            </w:r>
          </w:p>
        </w:tc>
      </w:tr>
    </w:tbl>
    <w:p w14:paraId="46A5DAFE">
      <w:pPr>
        <w:pStyle w:val="2"/>
        <w:pageBreakBefore w:val="0"/>
        <w:kinsoku/>
        <w:wordWrap w:val="0"/>
        <w:bidi w:val="0"/>
        <w:spacing w:before="240" w:after="240" w:line="24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sz w:val="20"/>
          <w:szCs w:val="20"/>
          <w:highlight w:val="none"/>
        </w:rPr>
        <w:br w:type="page"/>
      </w:r>
      <w:bookmarkStart w:id="375" w:name="_Toc15748"/>
      <w:bookmarkStart w:id="376" w:name="_Toc12557"/>
      <w:bookmarkStart w:id="377" w:name="_Toc234832933"/>
      <w:bookmarkStart w:id="378" w:name="_Toc20703"/>
      <w:r>
        <w:rPr>
          <w:rFonts w:hint="default" w:ascii="Times New Roman" w:hAnsi="Times New Roman" w:eastAsia="黑体" w:cs="Times New Roman"/>
          <w:b w:val="0"/>
          <w:color w:val="auto"/>
          <w:sz w:val="28"/>
          <w:szCs w:val="28"/>
          <w:highlight w:val="none"/>
        </w:rPr>
        <w:t>1. 评标方法</w:t>
      </w:r>
      <w:bookmarkEnd w:id="375"/>
      <w:bookmarkEnd w:id="376"/>
      <w:bookmarkEnd w:id="377"/>
      <w:bookmarkEnd w:id="378"/>
    </w:p>
    <w:p w14:paraId="14BA9C9B">
      <w:pPr>
        <w:pageBreakBefore w:val="0"/>
        <w:kinsoku/>
        <w:wordWrap w:val="0"/>
        <w:bidi w:val="0"/>
        <w:spacing w:line="400" w:lineRule="atLeast"/>
        <w:ind w:firstLine="480" w:firstLineChars="200"/>
        <w:rPr>
          <w:rFonts w:hint="default" w:ascii="Times New Roman" w:hAnsi="Times New Roman" w:eastAsia="华文隶书" w:cs="Times New Roman"/>
          <w:color w:val="auto"/>
          <w:sz w:val="24"/>
          <w:highlight w:val="none"/>
        </w:rPr>
      </w:pPr>
      <w:r>
        <w:rPr>
          <w:rFonts w:hint="default" w:ascii="Times New Roman" w:hAnsi="Times New Roman" w:eastAsia="宋体" w:cs="Times New Roman"/>
          <w:color w:val="auto"/>
          <w:sz w:val="24"/>
          <w:highlight w:val="none"/>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007FE059">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79" w:name="_Toc27850"/>
      <w:bookmarkStart w:id="380" w:name="_Toc8070"/>
      <w:bookmarkStart w:id="381" w:name="_Toc31114"/>
      <w:bookmarkStart w:id="382" w:name="_Toc234832934"/>
      <w:r>
        <w:rPr>
          <w:rFonts w:hint="default" w:ascii="Times New Roman" w:hAnsi="Times New Roman" w:eastAsia="黑体" w:cs="Times New Roman"/>
          <w:b w:val="0"/>
          <w:color w:val="auto"/>
          <w:sz w:val="28"/>
          <w:szCs w:val="28"/>
          <w:highlight w:val="none"/>
        </w:rPr>
        <w:t>2. 评审标准</w:t>
      </w:r>
      <w:bookmarkEnd w:id="379"/>
      <w:bookmarkEnd w:id="380"/>
      <w:bookmarkEnd w:id="381"/>
      <w:bookmarkEnd w:id="382"/>
    </w:p>
    <w:p w14:paraId="3891977F">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83" w:name="_Toc23903"/>
      <w:bookmarkStart w:id="384" w:name="_Toc12147"/>
      <w:bookmarkStart w:id="385" w:name="_Toc29160"/>
      <w:bookmarkStart w:id="386" w:name="_Toc234832935"/>
      <w:r>
        <w:rPr>
          <w:rFonts w:hint="default" w:ascii="Times New Roman" w:hAnsi="Times New Roman" w:eastAsia="黑体" w:cs="Times New Roman"/>
          <w:b w:val="0"/>
          <w:color w:val="auto"/>
          <w:sz w:val="24"/>
          <w:szCs w:val="24"/>
          <w:highlight w:val="none"/>
        </w:rPr>
        <w:t>2.1 初步评审标准</w:t>
      </w:r>
      <w:bookmarkEnd w:id="383"/>
      <w:bookmarkEnd w:id="384"/>
      <w:bookmarkEnd w:id="385"/>
      <w:bookmarkEnd w:id="386"/>
    </w:p>
    <w:p w14:paraId="045AE09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 形式评审标准：见评标办法前附表。</w:t>
      </w:r>
    </w:p>
    <w:p w14:paraId="38694E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 资格评审标准：见评标办法前附表。</w:t>
      </w:r>
    </w:p>
    <w:p w14:paraId="68CB52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2.1.3 响应性评审标准：见评标办法前附表。</w:t>
      </w:r>
    </w:p>
    <w:p w14:paraId="5BB4B959">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87" w:name="_Toc25127"/>
      <w:bookmarkStart w:id="388" w:name="_Toc234832936"/>
      <w:bookmarkStart w:id="389" w:name="_Toc28400"/>
      <w:bookmarkStart w:id="390" w:name="_Toc24185"/>
      <w:r>
        <w:rPr>
          <w:rFonts w:hint="default" w:ascii="Times New Roman" w:hAnsi="Times New Roman" w:eastAsia="黑体" w:cs="Times New Roman"/>
          <w:b w:val="0"/>
          <w:color w:val="auto"/>
          <w:sz w:val="24"/>
          <w:szCs w:val="24"/>
          <w:highlight w:val="none"/>
        </w:rPr>
        <w:t>2.2 分值构成与评分标准</w:t>
      </w:r>
      <w:bookmarkEnd w:id="387"/>
      <w:bookmarkEnd w:id="388"/>
      <w:bookmarkEnd w:id="389"/>
      <w:bookmarkEnd w:id="390"/>
    </w:p>
    <w:p w14:paraId="3F615613">
      <w:pPr>
        <w:pageBreakBefore w:val="0"/>
        <w:tabs>
          <w:tab w:val="left" w:pos="360"/>
        </w:tabs>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2.2.1 分值构成</w:t>
      </w:r>
    </w:p>
    <w:p w14:paraId="60A58E8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评标价：见评标办法前附表。</w:t>
      </w:r>
    </w:p>
    <w:p w14:paraId="66140E8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2.2.2 评标基准价计算</w:t>
      </w:r>
    </w:p>
    <w:p w14:paraId="06A8E1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评标基准价计算方法：见评标办法前附表。</w:t>
      </w:r>
    </w:p>
    <w:p w14:paraId="615293F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2.2.3 评标价的偏差率计算</w:t>
      </w:r>
    </w:p>
    <w:p w14:paraId="64A1121D">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评标价的偏差率计算公式：见评标办法前附表。</w:t>
      </w:r>
    </w:p>
    <w:p w14:paraId="35AB12F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2.2.4 评分标准</w:t>
      </w:r>
    </w:p>
    <w:p w14:paraId="1E084CDA">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评标价评分标准：见评标办法前附表。</w:t>
      </w:r>
    </w:p>
    <w:p w14:paraId="7131FEE4">
      <w:pPr>
        <w:pStyle w:val="2"/>
        <w:pageBreakBefore w:val="0"/>
        <w:kinsoku/>
        <w:wordWrap w:val="0"/>
        <w:bidi w:val="0"/>
        <w:spacing w:before="360" w:after="240" w:line="240" w:lineRule="atLeast"/>
        <w:outlineLvl w:val="1"/>
        <w:rPr>
          <w:rFonts w:hint="default" w:ascii="Times New Roman" w:hAnsi="Times New Roman" w:eastAsia="黑体" w:cs="Times New Roman"/>
          <w:b w:val="0"/>
          <w:color w:val="auto"/>
          <w:sz w:val="28"/>
          <w:szCs w:val="28"/>
          <w:highlight w:val="none"/>
        </w:rPr>
      </w:pPr>
      <w:bookmarkStart w:id="391" w:name="_Toc24625"/>
      <w:bookmarkStart w:id="392" w:name="_Toc17186"/>
      <w:bookmarkStart w:id="393" w:name="_Toc234832937"/>
      <w:bookmarkStart w:id="394" w:name="_Toc26597"/>
      <w:r>
        <w:rPr>
          <w:rFonts w:hint="default" w:ascii="Times New Roman" w:hAnsi="Times New Roman" w:eastAsia="黑体" w:cs="Times New Roman"/>
          <w:b w:val="0"/>
          <w:color w:val="auto"/>
          <w:sz w:val="28"/>
          <w:szCs w:val="28"/>
          <w:highlight w:val="none"/>
        </w:rPr>
        <w:t>3. 评标程序</w:t>
      </w:r>
      <w:bookmarkEnd w:id="391"/>
      <w:bookmarkEnd w:id="392"/>
      <w:bookmarkEnd w:id="393"/>
      <w:bookmarkEnd w:id="394"/>
    </w:p>
    <w:p w14:paraId="098FE157">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95" w:name="_Toc12133"/>
      <w:bookmarkStart w:id="396" w:name="_Toc10579"/>
      <w:bookmarkStart w:id="397" w:name="_Toc234832938"/>
      <w:bookmarkStart w:id="398" w:name="_Toc21337"/>
      <w:r>
        <w:rPr>
          <w:rFonts w:hint="default" w:ascii="Times New Roman" w:hAnsi="Times New Roman" w:eastAsia="黑体" w:cs="Times New Roman"/>
          <w:b w:val="0"/>
          <w:color w:val="auto"/>
          <w:sz w:val="24"/>
          <w:szCs w:val="24"/>
          <w:highlight w:val="none"/>
        </w:rPr>
        <w:t>3.1</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第一个信封初步评审</w:t>
      </w:r>
      <w:bookmarkEnd w:id="395"/>
      <w:bookmarkEnd w:id="396"/>
      <w:bookmarkEnd w:id="397"/>
      <w:bookmarkEnd w:id="398"/>
    </w:p>
    <w:p w14:paraId="62F41D3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3.1.1 评标委员会依据本章第2.1款规定的评审标准对投标文件第一个信封（商务及技术文件）进行初步评审。有一项不符合评审标准的，评标委员会应否决其投标。</w:t>
      </w:r>
    </w:p>
    <w:p w14:paraId="1AB9E6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3.1.2 投标文件的标的、质量标准、工期等实质性要求和条件不得出现（存在）不利于招标人的偏差，否则，评标委员会应否决其投标。</w:t>
      </w:r>
    </w:p>
    <w:p w14:paraId="2CB5B4D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3.1.3 如果通过第一信封评审的有效投标不足3个，评标委员会应当对有效投标是否仍具有竞争性进行评审。评标委员会一致认为有效投标仍具有竞争性的，应当按规定的程序进行第二信封报价文件的评审，并在报告中予以说明。评标委员会对有效投标是否仍具备竞争性无法达成一致意见的，应当否决全部投标。</w:t>
      </w:r>
    </w:p>
    <w:p w14:paraId="0D15A45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p>
    <w:p w14:paraId="32833197">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399" w:name="_Toc5399"/>
      <w:bookmarkStart w:id="400" w:name="_Toc13086"/>
      <w:bookmarkStart w:id="401" w:name="_Toc20429"/>
      <w:r>
        <w:rPr>
          <w:rFonts w:hint="default" w:ascii="Times New Roman" w:hAnsi="Times New Roman" w:eastAsia="黑体" w:cs="Times New Roman"/>
          <w:b w:val="0"/>
          <w:color w:val="auto"/>
          <w:sz w:val="24"/>
          <w:szCs w:val="24"/>
          <w:highlight w:val="none"/>
        </w:rPr>
        <w:t>3.2</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第二个信封开标</w:t>
      </w:r>
      <w:bookmarkEnd w:id="399"/>
      <w:bookmarkEnd w:id="400"/>
      <w:bookmarkEnd w:id="401"/>
    </w:p>
    <w:p w14:paraId="0B114EC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第一个信封（商务及技术文件）评审结束后，招标人将按照第二章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第5.1款规定的时间和地点对通过投标文件第一个信封（商务及技术文件）评审的投标文件第二个信封（报价文件）进行开标。</w:t>
      </w:r>
    </w:p>
    <w:p w14:paraId="36B94B34">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2" w:name="_Toc18266"/>
      <w:bookmarkStart w:id="403" w:name="_Toc6484"/>
      <w:bookmarkStart w:id="404" w:name="_Toc25423"/>
      <w:r>
        <w:rPr>
          <w:rFonts w:hint="default" w:ascii="Times New Roman" w:hAnsi="Times New Roman" w:eastAsia="黑体" w:cs="Times New Roman"/>
          <w:b w:val="0"/>
          <w:color w:val="auto"/>
          <w:sz w:val="24"/>
          <w:szCs w:val="24"/>
          <w:highlight w:val="none"/>
        </w:rPr>
        <w:t>3.3</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第二个信封初步评审</w:t>
      </w:r>
      <w:bookmarkEnd w:id="402"/>
      <w:bookmarkEnd w:id="403"/>
      <w:bookmarkEnd w:id="404"/>
    </w:p>
    <w:p w14:paraId="7D104BB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评标委员会依据本章第2.1.1项、第2.1.3项规定的评审标准对投标文件第二个信封（报价文件）进行初步评审。有一项不符合评审标准的，评标委员会应否决其投标。</w:t>
      </w:r>
    </w:p>
    <w:p w14:paraId="544888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3.3.2</w:t>
      </w:r>
      <w:r>
        <w:rPr>
          <w:rFonts w:hint="default" w:ascii="Times New Roman" w:hAnsi="Times New Roman" w:eastAsia="宋体" w:cs="Times New Roman"/>
          <w:color w:val="auto"/>
          <w:highlight w:val="none"/>
          <w:vertAlign w:val="superscript"/>
        </w:rPr>
        <w:footnoteReference w:id="36"/>
      </w:r>
      <w:r>
        <w:rPr>
          <w:rFonts w:hint="default" w:ascii="Times New Roman" w:hAnsi="Times New Roman" w:eastAsia="宋体" w:cs="Times New Roman"/>
          <w:color w:val="auto"/>
          <w:sz w:val="24"/>
          <w:highlight w:val="none"/>
        </w:rPr>
        <w:t xml:space="preserve"> 投标报价有算术错误的，评标委员会按以下原则对投标报价进行修正，修正的价格经投标人书面确认后具有约束力。投标人不接受修正价格的，评标委员会应否决其投标。</w:t>
      </w:r>
    </w:p>
    <w:p w14:paraId="70AD7C9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（1）投标文件中的大写金额与小写金额不一致的，以大写金额为准；</w:t>
      </w:r>
    </w:p>
    <w:p w14:paraId="31C2B0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（2）总价金额与依据单价计算出的结果不一致的，以单价金额为准修正总价，但单价金额小数点有明显错误的除外；</w:t>
      </w:r>
    </w:p>
    <w:p w14:paraId="3B8F2B7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（3）当单价与数量相乘不等于合价时，以单价计算为准，如果单价有明显的小数点位置差错，应以标出的合价为准，同时对单价予以修正；</w:t>
      </w:r>
    </w:p>
    <w:p w14:paraId="3B46CC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（4）当各子目的合价累计不等于总价时，应以各子目合价累计数为准，修正总价。</w:t>
      </w:r>
    </w:p>
    <w:p w14:paraId="18D1E18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3.3.3 工程量清单中的投标报价有其他错误的，评标委员会按以下原则对投标报价进行修正，修正的价格经投标人书面确认后具有约束力。投标人不接受修正价格的，评标委员会应否决其投标。</w:t>
      </w:r>
    </w:p>
    <w:p w14:paraId="5B178F8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5AB3139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55EAA00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（3）当单价与数量的乘积与合价（金额）虽然一致，但投标人修改了该子目的工程数量，则其合价按招标人给定的工程数量乘以投标人所报单价予以修正。</w:t>
      </w:r>
    </w:p>
    <w:p w14:paraId="769B6AB6">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3.3.4 修正后的最终投标报价若超过最高投标限价（如有），评标委员会应否决其投标。</w:t>
      </w:r>
    </w:p>
    <w:p w14:paraId="4F300F6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3.3.5 修正后的最终投标报价仅作为签订合同的一个依据，不参与评标价得分的计算。</w:t>
      </w:r>
    </w:p>
    <w:p w14:paraId="72C853CA">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5" w:name="_Toc234832939"/>
      <w:bookmarkStart w:id="406" w:name="_Toc605"/>
      <w:bookmarkStart w:id="407" w:name="_Toc32333"/>
      <w:bookmarkStart w:id="408" w:name="_Toc21488"/>
      <w:r>
        <w:rPr>
          <w:rFonts w:hint="default" w:ascii="Times New Roman" w:hAnsi="Times New Roman" w:eastAsia="黑体" w:cs="Times New Roman"/>
          <w:b w:val="0"/>
          <w:color w:val="auto"/>
          <w:sz w:val="24"/>
          <w:szCs w:val="24"/>
          <w:highlight w:val="none"/>
        </w:rPr>
        <w:t>3.4</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第二个信封详细评审</w:t>
      </w:r>
      <w:bookmarkEnd w:id="405"/>
      <w:bookmarkEnd w:id="406"/>
      <w:bookmarkEnd w:id="407"/>
      <w:bookmarkEnd w:id="408"/>
    </w:p>
    <w:p w14:paraId="2CA0CE2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3.4.1 评标委员会按本章第2.2款规定的量化因素和分值进行打分，并计算出综合评估得分（即评标价得分）。</w:t>
      </w:r>
    </w:p>
    <w:p w14:paraId="1C8AE10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3.4.2 投标人得分分值计算保留小数点后两位，小数点后第三位</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四舍五入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w:t>
      </w:r>
    </w:p>
    <w:p w14:paraId="2E865C51">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3.4.3 评标委员会发现投标人的报价明显低于其他投标报价，是有可能影响履约的异常低价，应按本章3.</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rPr>
        <w:t>款的规定向投标人发出澄清，要求该投标人作出书面说明该报价的合理性并提供相应证明材料。当投标人不能合理说明并证明其报价的合理性的，评标委员会应以少数服从多数的原则否决其投标。</w:t>
      </w:r>
    </w:p>
    <w:p w14:paraId="4DC3085B">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09" w:name="_Toc16625"/>
      <w:bookmarkStart w:id="410" w:name="_Toc20918"/>
      <w:bookmarkStart w:id="411" w:name="_Toc29441"/>
      <w:r>
        <w:rPr>
          <w:rFonts w:hint="default" w:ascii="Times New Roman" w:hAnsi="Times New Roman" w:eastAsia="黑体" w:cs="Times New Roman"/>
          <w:b w:val="0"/>
          <w:color w:val="auto"/>
          <w:sz w:val="24"/>
          <w:szCs w:val="24"/>
          <w:highlight w:val="none"/>
        </w:rPr>
        <w:t>3.5</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投标文件相关信息的核查</w:t>
      </w:r>
      <w:bookmarkEnd w:id="409"/>
      <w:bookmarkEnd w:id="410"/>
      <w:bookmarkEnd w:id="411"/>
    </w:p>
    <w:p w14:paraId="12214F4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3.5.1 在评标过程中，评标委员会应查询交通运输主管部门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，对投标人的资质、业绩、主要人员资历和目前在岗情况、信用等级等信息进行核实。若投标文件载明的信息与交通运输主管部门</w:t>
      </w:r>
      <w:r>
        <w:rPr>
          <w:rFonts w:hint="eastAsia" w:ascii="宋体" w:hAnsi="宋体" w:eastAsia="宋体" w:cs="宋体"/>
          <w:color w:val="auto"/>
          <w:sz w:val="24"/>
          <w:highlight w:val="none"/>
        </w:rPr>
        <w:t>“</w:t>
      </w:r>
      <w:r>
        <w:rPr>
          <w:rFonts w:hint="eastAsia" w:cs="Times New Roman"/>
          <w:color w:val="auto"/>
          <w:sz w:val="24"/>
          <w:highlight w:val="none"/>
          <w:lang w:eastAsia="zh-CN"/>
        </w:rPr>
        <w:t>全国公路建设市场监督管理系统</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发布的信息不符，使得投标人的资格条件不符合招标文件规定的，评标委员会应否决其投标。</w:t>
      </w:r>
    </w:p>
    <w:p w14:paraId="35F837A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4F29E17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（1）有下列情形之一的，属于投标人相互串通投标：</w:t>
      </w:r>
    </w:p>
    <w:p w14:paraId="6F76E2D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a.投标人之间协商投标报价等投标文件的实质性内容；</w:t>
      </w:r>
    </w:p>
    <w:p w14:paraId="2ECCA4F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b.投标人之间约定中标人；</w:t>
      </w:r>
    </w:p>
    <w:p w14:paraId="339F3B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c.投标人之间约定部分投标人放弃投标或中标；</w:t>
      </w:r>
    </w:p>
    <w:p w14:paraId="0C3C350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d.属于同一集团、协会、商会等组织成员的投标人按照该组织要求协同投标；</w:t>
      </w:r>
    </w:p>
    <w:p w14:paraId="7113970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e.投标人之间为谋取中标或排斥特定投标人而采取的其他联合行动。</w:t>
      </w:r>
    </w:p>
    <w:p w14:paraId="4BD710F8">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（2）有下列情形之一的，视为投标人相互串通投标：</w:t>
      </w:r>
    </w:p>
    <w:p w14:paraId="02297B7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a.不同投标人的投标文件由同一单位或个人编制；</w:t>
      </w:r>
    </w:p>
    <w:p w14:paraId="1B66164E">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b.不同投标人委托同一单位或个人办理投标事宜；</w:t>
      </w:r>
    </w:p>
    <w:p w14:paraId="0C9C4E11">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c.不同投标人的投标文件载明的项目管理成员为同一人；</w:t>
      </w:r>
    </w:p>
    <w:p w14:paraId="422F3C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d.不同投标人的投标文件异常一致或投标报价呈规律性差异；</w:t>
      </w:r>
    </w:p>
    <w:p w14:paraId="72DF1DA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e.不同投标人的投标文件相互混装；</w:t>
      </w:r>
    </w:p>
    <w:p w14:paraId="1ACDAE4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f.不同投标人的投标保证金从同一单位或个人的账户转出。</w:t>
      </w:r>
    </w:p>
    <w:p w14:paraId="4CB96FA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（3）有下列情形之一的，属于招标人与投标人串通投标：</w:t>
      </w:r>
    </w:p>
    <w:p w14:paraId="06AA49A2">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a.招标人在开标前开启投标文件并将有关信息泄露给其他投标人</w:t>
      </w:r>
      <w:r>
        <w:rPr>
          <w:rFonts w:hint="eastAsia" w:cs="Times New Roman"/>
          <w:color w:val="auto"/>
          <w:sz w:val="24"/>
          <w:highlight w:val="none"/>
          <w:lang w:eastAsia="zh-CN"/>
        </w:rPr>
        <w:t>；</w:t>
      </w:r>
    </w:p>
    <w:p w14:paraId="093D7E5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b.招标人直接或间接向投标人泄露标底、评标委员会成员等信息；</w:t>
      </w:r>
    </w:p>
    <w:p w14:paraId="0158E914">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c.招标人明示或暗示投标人压低或抬高投标报价；</w:t>
      </w:r>
    </w:p>
    <w:p w14:paraId="2773E63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d.招标人授意投标人撤换、修改投标文件；</w:t>
      </w:r>
    </w:p>
    <w:p w14:paraId="4A3A747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e.招标人明示或暗示投标人为特定投标人中标提供方便；</w:t>
      </w:r>
    </w:p>
    <w:p w14:paraId="2734786A">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f.招标人与投标人为谋求特定投标人中标而采取的其他串通行为。</w:t>
      </w:r>
    </w:p>
    <w:p w14:paraId="33226F20">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（4）投标人有下列情形之一的，属于弄虚作假的行为：</w:t>
      </w:r>
    </w:p>
    <w:p w14:paraId="40A0BC63">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a.使用通过受让或租借等方式获取的资格、资质证书投标；</w:t>
      </w:r>
    </w:p>
    <w:p w14:paraId="1A0ABD32">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b.使用伪造、变造的许可证件；</w:t>
      </w:r>
    </w:p>
    <w:p w14:paraId="098A1169">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c.提供虚假的财务状况或业绩；</w:t>
      </w:r>
    </w:p>
    <w:p w14:paraId="17E38B1C">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d.提供虚假的项目负责人或主要技术人员简历、劳动关系证明；</w:t>
      </w:r>
    </w:p>
    <w:p w14:paraId="5763A65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e.提供虚假的信用状况；</w:t>
      </w:r>
    </w:p>
    <w:p w14:paraId="1E2B773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f.其他弄虚作假的行为。</w:t>
      </w:r>
    </w:p>
    <w:p w14:paraId="5B589FAE">
      <w:pPr>
        <w:pStyle w:val="2"/>
        <w:pageBreakBefore w:val="0"/>
        <w:kinsoku/>
        <w:wordWrap w:val="0"/>
        <w:bidi w:val="0"/>
        <w:spacing w:before="240" w:after="240" w:line="400" w:lineRule="atLeast"/>
        <w:outlineLvl w:val="2"/>
        <w:rPr>
          <w:rFonts w:hint="default" w:ascii="Times New Roman" w:hAnsi="Times New Roman" w:eastAsia="黑体" w:cs="Times New Roman"/>
          <w:b w:val="0"/>
          <w:color w:val="auto"/>
          <w:sz w:val="24"/>
          <w:szCs w:val="24"/>
          <w:highlight w:val="none"/>
        </w:rPr>
      </w:pPr>
      <w:bookmarkStart w:id="412" w:name="_Toc29213"/>
      <w:bookmarkStart w:id="413" w:name="_Toc31365"/>
      <w:bookmarkStart w:id="414" w:name="_Toc15234"/>
      <w:bookmarkStart w:id="415" w:name="_Toc234832940"/>
      <w:r>
        <w:rPr>
          <w:rFonts w:hint="default" w:ascii="Times New Roman" w:hAnsi="Times New Roman" w:eastAsia="黑体" w:cs="Times New Roman"/>
          <w:b w:val="0"/>
          <w:color w:val="auto"/>
          <w:sz w:val="24"/>
          <w:szCs w:val="24"/>
          <w:highlight w:val="none"/>
        </w:rPr>
        <w:t>3.6 投标文件的澄清和说明</w:t>
      </w:r>
      <w:bookmarkEnd w:id="412"/>
      <w:bookmarkEnd w:id="413"/>
      <w:bookmarkEnd w:id="414"/>
    </w:p>
    <w:p w14:paraId="6BF1F527">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1C62AA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3.6.2 澄清和说明不得超出投标文件的范围或改变投标文件的实质性内容（算术性错误的修正除外）。投标人的书面澄清、说明属于投标文件的组成部分。</w:t>
      </w:r>
    </w:p>
    <w:p w14:paraId="106AB99B">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3.6.3 评标委员会不得暗示或诱导投标人作出澄清、说明，对投标人提交的澄清、说明有疑问的，可以要求投标人进一步澄清或说明，直至满足评标委员会的要求。</w:t>
      </w:r>
      <w:bookmarkEnd w:id="415"/>
    </w:p>
    <w:p w14:paraId="399F71F7">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3.6.4 凡超出招标文件规定的或给发包人带来未曾要求的利益的变化、偏差或其他因素在评标时不予考虑。</w:t>
      </w:r>
    </w:p>
    <w:p w14:paraId="4E64FD55">
      <w:pPr>
        <w:pStyle w:val="2"/>
        <w:pageBreakBefore w:val="0"/>
        <w:kinsoku/>
        <w:wordWrap w:val="0"/>
        <w:bidi w:val="0"/>
        <w:spacing w:before="240" w:after="240" w:line="400" w:lineRule="atLeast"/>
        <w:outlineLvl w:val="2"/>
        <w:rPr>
          <w:rFonts w:hint="default" w:ascii="Times New Roman" w:hAnsi="Times New Roman" w:eastAsia="黑体" w:cs="Times New Roman"/>
          <w:b w:val="0"/>
          <w:color w:val="auto"/>
          <w:sz w:val="24"/>
          <w:szCs w:val="24"/>
          <w:highlight w:val="none"/>
        </w:rPr>
      </w:pPr>
      <w:bookmarkStart w:id="416" w:name="_Toc23618"/>
      <w:bookmarkStart w:id="417" w:name="_Toc18964"/>
      <w:bookmarkStart w:id="418" w:name="_Toc7796"/>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w:t>
      </w:r>
      <w:r>
        <w:rPr>
          <w:rFonts w:hint="default" w:ascii="Times New Roman" w:hAnsi="Times New Roman" w:eastAsia="黑体" w:cs="Times New Roman"/>
          <w:b w:val="0"/>
          <w:color w:val="auto"/>
          <w:sz w:val="24"/>
          <w:szCs w:val="24"/>
          <w:highlight w:val="none"/>
        </w:rPr>
        <w:t>7 不得否决投标的情形</w:t>
      </w:r>
      <w:bookmarkEnd w:id="416"/>
      <w:bookmarkEnd w:id="417"/>
      <w:bookmarkEnd w:id="418"/>
    </w:p>
    <w:p w14:paraId="7FD1F7B9">
      <w:pPr>
        <w:pageBreakBefore w:val="0"/>
        <w:kinsoku/>
        <w:wordWrap w:val="0"/>
        <w:bidi w:val="0"/>
        <w:spacing w:line="400" w:lineRule="atLeast"/>
        <w:ind w:firstLine="480" w:firstLineChars="200"/>
        <w:rPr>
          <w:rFonts w:hint="default" w:ascii="Times New Roman" w:hAnsi="Times New Roman" w:eastAsia="隶书" w:cs="Times New Roman"/>
          <w:color w:val="auto"/>
          <w:sz w:val="24"/>
          <w:highlight w:val="none"/>
        </w:rPr>
      </w:pPr>
      <w:r>
        <w:rPr>
          <w:rFonts w:hint="default" w:ascii="Times New Roman" w:hAnsi="Times New Roman" w:eastAsia="宋体" w:cs="Times New Roman"/>
          <w:color w:val="auto"/>
          <w:sz w:val="24"/>
          <w:highlight w:val="none"/>
        </w:rPr>
        <w:t>投标文件存在第二章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第1.12.3项所列情形的，均视为细微偏差，评标委员会不得否决投标人的投标，应按照第二章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第1.12.4项规定的原则处理。</w:t>
      </w:r>
    </w:p>
    <w:p w14:paraId="3A02E208">
      <w:pPr>
        <w:pStyle w:val="2"/>
        <w:pageBreakBefore w:val="0"/>
        <w:kinsoku/>
        <w:wordWrap w:val="0"/>
        <w:bidi w:val="0"/>
        <w:spacing w:before="240" w:after="240" w:line="240" w:lineRule="atLeast"/>
        <w:outlineLvl w:val="2"/>
        <w:rPr>
          <w:rFonts w:hint="default" w:ascii="Times New Roman" w:hAnsi="Times New Roman" w:eastAsia="黑体" w:cs="Times New Roman"/>
          <w:b w:val="0"/>
          <w:color w:val="auto"/>
          <w:sz w:val="24"/>
          <w:szCs w:val="24"/>
          <w:highlight w:val="none"/>
        </w:rPr>
      </w:pPr>
      <w:bookmarkStart w:id="419" w:name="_Toc234832941"/>
      <w:bookmarkStart w:id="420" w:name="_Toc10539"/>
      <w:bookmarkStart w:id="421" w:name="_Toc28490"/>
      <w:bookmarkStart w:id="422" w:name="_Toc6874"/>
      <w:r>
        <w:rPr>
          <w:rFonts w:hint="default" w:ascii="Times New Roman" w:hAnsi="Times New Roman" w:eastAsia="黑体" w:cs="Times New Roman"/>
          <w:b w:val="0"/>
          <w:color w:val="auto"/>
          <w:sz w:val="24"/>
          <w:szCs w:val="24"/>
          <w:highlight w:val="none"/>
        </w:rPr>
        <w:t>3.</w:t>
      </w:r>
      <w:r>
        <w:rPr>
          <w:rFonts w:hint="default" w:ascii="Times New Roman" w:hAnsi="Times New Roman" w:eastAsia="黑体" w:cs="Times New Roman"/>
          <w:b w:val="0"/>
          <w:color w:val="auto"/>
          <w:sz w:val="24"/>
          <w:szCs w:val="24"/>
          <w:highlight w:val="none"/>
          <w:lang w:eastAsia="zh-CN"/>
        </w:rPr>
        <w:t>8</w:t>
      </w:r>
      <w:r>
        <w:rPr>
          <w:rFonts w:hint="default" w:ascii="Times New Roman" w:hAnsi="Times New Roman" w:eastAsia="黑体" w:cs="Times New Roman"/>
          <w:b w:val="0"/>
          <w:color w:val="auto"/>
          <w:sz w:val="24"/>
          <w:szCs w:val="24"/>
          <w:highlight w:val="none"/>
        </w:rPr>
        <w:t xml:space="preserve"> 评标结果</w:t>
      </w:r>
      <w:bookmarkEnd w:id="419"/>
      <w:bookmarkEnd w:id="420"/>
      <w:bookmarkEnd w:id="421"/>
      <w:bookmarkEnd w:id="422"/>
    </w:p>
    <w:p w14:paraId="1C94EB15">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3.8.1 除第二章</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eastAsia="宋体" w:cs="Times New Roman"/>
          <w:color w:val="auto"/>
          <w:sz w:val="24"/>
          <w:highlight w:val="none"/>
        </w:rPr>
        <w:t>前附表授权直接确定中标人外，评标委员会按照得分由高到低的顺序推荐中标候选人，并标明排序。</w:t>
      </w:r>
    </w:p>
    <w:p w14:paraId="404E9C2F">
      <w:pPr>
        <w:pageBreakBefore w:val="0"/>
        <w:kinsoku/>
        <w:wordWrap w:val="0"/>
        <w:bidi w:val="0"/>
        <w:spacing w:line="400" w:lineRule="atLeas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3.8.2 评标委员会完成评标后，应向招标人提交评标报告。</w:t>
      </w:r>
    </w:p>
    <w:p w14:paraId="09A203AC">
      <w:pPr>
        <w:pStyle w:val="23"/>
        <w:pageBreakBefore w:val="0"/>
        <w:kinsoku/>
        <w:wordWrap w:val="0"/>
        <w:bidi w:val="0"/>
        <w:spacing w:line="360" w:lineRule="atLeast"/>
        <w:ind w:firstLine="480"/>
        <w:rPr>
          <w:rFonts w:hint="default" w:ascii="Times New Roman" w:hAnsi="Times New Roman" w:eastAsia="隶书" w:cs="Times New Roman"/>
          <w:color w:val="auto"/>
          <w:sz w:val="24"/>
          <w:szCs w:val="24"/>
          <w:highlight w:val="none"/>
        </w:rPr>
        <w:sectPr>
          <w:headerReference r:id="rId31" w:type="default"/>
          <w:footerReference r:id="rId32"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54208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E88A7C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A1332A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665EF9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704F7D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8026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2EA8A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CEA2F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124F8F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967485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A6D09D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0E0A307">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56"/>
          <w:szCs w:val="56"/>
          <w:highlight w:val="none"/>
        </w:rPr>
      </w:pPr>
      <w:bookmarkStart w:id="423" w:name="_Toc11119"/>
      <w:bookmarkStart w:id="424" w:name="_Toc27019"/>
      <w:bookmarkStart w:id="425" w:name="_Toc234832964"/>
      <w:bookmarkStart w:id="426" w:name="_Toc16169"/>
      <w:r>
        <w:rPr>
          <w:rFonts w:hint="default" w:ascii="Times New Roman" w:hAnsi="Times New Roman" w:eastAsia="黑体" w:cs="Times New Roman"/>
          <w:b w:val="0"/>
          <w:color w:val="auto"/>
          <w:sz w:val="56"/>
          <w:szCs w:val="56"/>
          <w:highlight w:val="none"/>
        </w:rPr>
        <w:t>第四章  合同条款及格式</w:t>
      </w:r>
      <w:bookmarkEnd w:id="423"/>
      <w:bookmarkEnd w:id="424"/>
      <w:bookmarkEnd w:id="425"/>
      <w:r>
        <w:rPr>
          <w:rStyle w:val="47"/>
          <w:rFonts w:hint="default" w:ascii="Times New Roman" w:hAnsi="Times New Roman" w:eastAsia="黑体" w:cs="Times New Roman"/>
          <w:b w:val="0"/>
          <w:color w:val="auto"/>
          <w:sz w:val="56"/>
          <w:szCs w:val="56"/>
          <w:highlight w:val="none"/>
        </w:rPr>
        <w:footnoteReference w:id="37"/>
      </w:r>
      <w:bookmarkEnd w:id="426"/>
    </w:p>
    <w:p w14:paraId="4BEDB55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9B6B3F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A169AD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A0E94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cs="Times New Roman"/>
          <w:color w:val="auto"/>
          <w:sz w:val="20"/>
          <w:szCs w:val="20"/>
          <w:highlight w:val="none"/>
        </w:rPr>
        <w:br w:type="page"/>
      </w:r>
      <w:bookmarkStart w:id="427" w:name="_Toc234832965"/>
    </w:p>
    <w:p w14:paraId="0020234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543AA3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CC537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F8F5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6B636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53A05B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1B56A2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0FE70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03352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B946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7600BA">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428" w:name="_Toc22989"/>
      <w:bookmarkStart w:id="429" w:name="_Toc8515"/>
      <w:bookmarkStart w:id="430" w:name="_Toc18651"/>
      <w:r>
        <w:rPr>
          <w:rFonts w:hint="default" w:ascii="Times New Roman" w:hAnsi="Times New Roman" w:eastAsia="黑体" w:cs="Times New Roman"/>
          <w:b w:val="0"/>
          <w:color w:val="auto"/>
          <w:sz w:val="42"/>
          <w:szCs w:val="42"/>
          <w:highlight w:val="none"/>
        </w:rPr>
        <w:t>第一节  通用合同条款</w:t>
      </w:r>
      <w:bookmarkEnd w:id="427"/>
      <w:r>
        <w:rPr>
          <w:rStyle w:val="47"/>
          <w:rFonts w:hint="default" w:ascii="Times New Roman" w:hAnsi="Times New Roman" w:eastAsia="黑体" w:cs="Times New Roman"/>
          <w:b w:val="0"/>
          <w:color w:val="auto"/>
          <w:sz w:val="32"/>
          <w:szCs w:val="32"/>
          <w:highlight w:val="none"/>
        </w:rPr>
        <w:footnoteReference w:id="38"/>
      </w:r>
      <w:bookmarkEnd w:id="428"/>
      <w:bookmarkEnd w:id="429"/>
      <w:bookmarkEnd w:id="430"/>
    </w:p>
    <w:p w14:paraId="5ADD53AB">
      <w:pPr>
        <w:pStyle w:val="2"/>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431" w:name="_Toc32556"/>
      <w:bookmarkStart w:id="432" w:name="_Toc1065"/>
      <w:bookmarkStart w:id="433" w:name="_Toc234832966"/>
      <w:bookmarkStart w:id="434" w:name="_Toc14452"/>
      <w:bookmarkStart w:id="435" w:name="_Toc3137"/>
      <w:r>
        <w:rPr>
          <w:rFonts w:hint="default" w:ascii="Times New Roman" w:hAnsi="Times New Roman" w:eastAsia="黑体" w:cs="Times New Roman"/>
          <w:b w:val="0"/>
          <w:color w:val="auto"/>
          <w:sz w:val="32"/>
          <w:szCs w:val="32"/>
          <w:highlight w:val="none"/>
        </w:rPr>
        <w:t>通用合同条款</w:t>
      </w:r>
      <w:bookmarkEnd w:id="431"/>
      <w:bookmarkEnd w:id="432"/>
      <w:bookmarkEnd w:id="433"/>
      <w:bookmarkEnd w:id="434"/>
      <w:bookmarkEnd w:id="435"/>
    </w:p>
    <w:p w14:paraId="6AA6B8CB">
      <w:pPr>
        <w:pStyle w:val="2"/>
        <w:pageBreakBefore w:val="0"/>
        <w:kinsoku/>
        <w:wordWrap w:val="0"/>
        <w:bidi w:val="0"/>
        <w:spacing w:before="360" w:after="240" w:line="380" w:lineRule="atLeast"/>
        <w:outlineLvl w:val="2"/>
        <w:rPr>
          <w:rFonts w:hint="default" w:ascii="Times New Roman" w:hAnsi="Times New Roman" w:eastAsia="黑体" w:cs="Times New Roman"/>
          <w:b w:val="0"/>
          <w:color w:val="auto"/>
          <w:sz w:val="28"/>
          <w:szCs w:val="28"/>
          <w:highlight w:val="none"/>
        </w:rPr>
      </w:pPr>
      <w:bookmarkStart w:id="436" w:name="_Toc30881"/>
      <w:bookmarkStart w:id="437" w:name="_Toc28721"/>
      <w:bookmarkStart w:id="438" w:name="_Toc234832967"/>
      <w:bookmarkStart w:id="439" w:name="_Toc24661"/>
      <w:bookmarkStart w:id="440" w:name="_Toc19605"/>
      <w:r>
        <w:rPr>
          <w:rFonts w:hint="default" w:ascii="Times New Roman" w:hAnsi="Times New Roman" w:eastAsia="黑体" w:cs="Times New Roman"/>
          <w:b w:val="0"/>
          <w:color w:val="auto"/>
          <w:sz w:val="28"/>
          <w:szCs w:val="28"/>
          <w:highlight w:val="none"/>
        </w:rPr>
        <w:t>1. 一般约定</w:t>
      </w:r>
      <w:bookmarkEnd w:id="436"/>
      <w:bookmarkEnd w:id="437"/>
      <w:bookmarkEnd w:id="438"/>
      <w:bookmarkEnd w:id="439"/>
      <w:bookmarkEnd w:id="440"/>
      <w:r>
        <w:rPr>
          <w:rFonts w:hint="default" w:ascii="Times New Roman" w:hAnsi="Times New Roman" w:eastAsia="黑体" w:cs="Times New Roman"/>
          <w:b w:val="0"/>
          <w:color w:val="auto"/>
          <w:sz w:val="28"/>
          <w:szCs w:val="28"/>
          <w:highlight w:val="none"/>
        </w:rPr>
        <w:tab/>
      </w:r>
    </w:p>
    <w:p w14:paraId="1E4F540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1" w:name="_Toc10064"/>
      <w:bookmarkStart w:id="442" w:name="_Toc10273"/>
      <w:bookmarkStart w:id="443" w:name="_Toc234832968"/>
      <w:bookmarkStart w:id="444" w:name="_Toc24826"/>
      <w:bookmarkStart w:id="445" w:name="_Toc5421"/>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441"/>
      <w:bookmarkEnd w:id="442"/>
      <w:bookmarkEnd w:id="443"/>
      <w:bookmarkEnd w:id="444"/>
      <w:bookmarkEnd w:id="445"/>
    </w:p>
    <w:p w14:paraId="4AB4D23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通用合同条款、专用合同条款中的下列词语应具有本款所赋予的含义。</w:t>
      </w:r>
    </w:p>
    <w:p w14:paraId="4E36DA8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1507979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合同文件（或称合同）：指合同协议书、中标通知书、投标函及投标函附录、专用合同条款、通用合同条款、技术标准和要求、图纸、已标价工程量清单，以及其他合同文件。</w:t>
      </w:r>
    </w:p>
    <w:p w14:paraId="714FCB8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合同协议书：指第1.5款所指的合同协议书。</w:t>
      </w:r>
    </w:p>
    <w:p w14:paraId="74F76FE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中标通知书：指发包人通知承包人中标的函件。</w:t>
      </w:r>
    </w:p>
    <w:p w14:paraId="55A5B6B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1.1.1.4 投标函：指构成合同文件组成部分的由承包人填写并签署的投标函。</w:t>
      </w:r>
    </w:p>
    <w:p w14:paraId="01606A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1.1.1.5 投标函附录：指附在投标函后构成合同文件的投标函附录。</w:t>
      </w:r>
    </w:p>
    <w:p w14:paraId="43BC1FD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1.1.1.6 技术标准和要求：指构成合同文件组成部分的名为技术标准和要求的文件，包括合同双方当事人约定对其所作的修改或补充。</w:t>
      </w:r>
    </w:p>
    <w:p w14:paraId="6364E11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1.1.1.7 图纸：指包含在合同中的工程图纸，以及由发包人按合同约定提供的任何补充和修改的图纸，包括配套的说明。</w:t>
      </w:r>
    </w:p>
    <w:p w14:paraId="7C01300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1.1.1.8 已标价工程量清单：指构成合同文件组成部分的由承包人按照规定的格式和要求填写并标明价格的工程量清单。</w:t>
      </w:r>
    </w:p>
    <w:p w14:paraId="1EB1B4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1.1.1.9 其他合同文件：指经合同双方当事人确认构成合同文件的其他文件。</w:t>
      </w:r>
    </w:p>
    <w:p w14:paraId="05353B57">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541CD46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合同当事人：指发包人和（或）承包人。</w:t>
      </w:r>
    </w:p>
    <w:p w14:paraId="125731F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发包人：指专用合同条款中指明并与承包人在合同协议书中签字的当事人。</w:t>
      </w:r>
    </w:p>
    <w:p w14:paraId="72ADAD7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1.1.2.3承包人：指与发包人签订合同协议书的当事人。</w:t>
      </w:r>
    </w:p>
    <w:p w14:paraId="6A4F9F9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1.1.2.4承包人项目经理：指承包人派驻施工场地的全权负责人。</w:t>
      </w:r>
    </w:p>
    <w:p w14:paraId="02F8042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1.1.2.5分包人：指从承包人处分包合同中某一部分工程，并与其签订分包合同的分包人。</w:t>
      </w:r>
    </w:p>
    <w:p w14:paraId="60BC9C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1.1.2.6监理人：指在专用合同条款中指明的，受发包人委托对合同履行实施管理的法人或其他组织。</w:t>
      </w:r>
    </w:p>
    <w:p w14:paraId="7A20878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1.1.2.7总监理工程师（总监）：指由监理人委派常驻施工场地对合同履行实施管理的全权负责人。</w:t>
      </w:r>
    </w:p>
    <w:p w14:paraId="6434D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552D5B8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 工程：指永久工程和（或）临时工程。</w:t>
      </w:r>
    </w:p>
    <w:p w14:paraId="4A5BE04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1.1.3.2 永久工程：指按合同约定建造并移交给发包人的工程，包括工程设备。</w:t>
      </w:r>
    </w:p>
    <w:p w14:paraId="5E0F645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1.1.3.3 临时工程：指为完成合同约定的永久工程所修建的各类临时性工程，不包括施工设备。</w:t>
      </w:r>
    </w:p>
    <w:p w14:paraId="0805895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1.1.3.4 单位工程：指专用合同条款中指明特定范围的永久工程。</w:t>
      </w:r>
    </w:p>
    <w:p w14:paraId="6DF0D15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1.1.3.5 工程设备：指构成或计划构成永久工程一部分的机电设备、金属结构设备、仪器装置及其他类似的设备和装置。</w:t>
      </w:r>
    </w:p>
    <w:p w14:paraId="05A4875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1.1.3.6 施工设备：指为完成合同约定的各项工作所需的设备、器具和其他物品，不包括临时工程和材料。</w:t>
      </w:r>
    </w:p>
    <w:p w14:paraId="75619B8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1.1.3.7临时设施：指为完成合同约定的各项工作所服务的临时性生产和生活设施。</w:t>
      </w:r>
    </w:p>
    <w:p w14:paraId="2F80E39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1.1.3.8 承包人设备：指承包人自带的施工设备。</w:t>
      </w:r>
    </w:p>
    <w:p w14:paraId="2C82208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1.1.3.9 施工场地（或称工地、现场）：指用于合同工程施工的场所，以及在合同中指定作为施工场地组成部分的其他场所，包括永久占地和临时占地。</w:t>
      </w:r>
    </w:p>
    <w:p w14:paraId="273CB94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1.1.3.10 永久占地：指专用合同条款中指明为实施合同工程需永久占用的土地。</w:t>
      </w:r>
    </w:p>
    <w:p w14:paraId="30F0B0C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1.1.3.11 临时占地：指专用合同条款中指明为实施合同工程需临时占用的土地。</w:t>
      </w:r>
    </w:p>
    <w:p w14:paraId="12B27DFC">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1.1.4 </w:t>
      </w:r>
      <w:r>
        <w:rPr>
          <w:rFonts w:hint="default" w:ascii="Times New Roman" w:hAnsi="Times New Roman" w:eastAsia="黑体" w:cs="Times New Roman"/>
          <w:color w:val="auto"/>
          <w:sz w:val="24"/>
          <w:highlight w:val="none"/>
        </w:rPr>
        <w:t>日期</w:t>
      </w:r>
    </w:p>
    <w:p w14:paraId="632FF0C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1.1.4.1 开工通知：指监理人按第11.1款通知承包人开工的函件。</w:t>
      </w:r>
    </w:p>
    <w:p w14:paraId="6620A41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1.1.4.2 开工日期：指监理人按第11.1款发出的开工通知中写明的开工日期。</w:t>
      </w:r>
    </w:p>
    <w:p w14:paraId="14F45D7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1.1.4.3 工期：指承包人在投标函中承诺的完成合同工程所需的期限，包括按第11.3款、第11.4款和第11.6款约定所作的变更。</w:t>
      </w:r>
    </w:p>
    <w:p w14:paraId="349C8B6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1.1.4.4 竣工日期：指第1.1.4.3目约定工期届满时的日期。实际竣工日期以工程接收证书中写明的日期为准。</w:t>
      </w:r>
    </w:p>
    <w:p w14:paraId="4D39768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1.1.4.5 缺陷责任期：指履行第19.2款约定的缺陷责任的期限，具体期限由专用合同条款约定，包括根据第19.3款约定所作的延长。</w:t>
      </w:r>
    </w:p>
    <w:p w14:paraId="4A3EC0C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1.1.4.6 基准日期：指投标截止时间前28天的日期。</w:t>
      </w:r>
    </w:p>
    <w:p w14:paraId="4C97DE9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1.1.4.7 天：除特别指明外，指日历天。合同中按天计算时间的，开始当天不计入，从次日开始计算。期限最后一天的截止时间为当天24:00。</w:t>
      </w:r>
    </w:p>
    <w:p w14:paraId="391272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1.1.5 </w:t>
      </w:r>
      <w:r>
        <w:rPr>
          <w:rFonts w:hint="default" w:ascii="Times New Roman" w:hAnsi="Times New Roman" w:eastAsia="黑体" w:cs="Times New Roman"/>
          <w:color w:val="auto"/>
          <w:sz w:val="24"/>
          <w:highlight w:val="none"/>
        </w:rPr>
        <w:t>合同价格和费用</w:t>
      </w:r>
    </w:p>
    <w:p w14:paraId="32321F1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1.1.5.1 签约合同价：指签订合同时合同协议书中写明的，包括了暂列金额、暂估价的合同总金额。</w:t>
      </w:r>
    </w:p>
    <w:p w14:paraId="6C27816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1.1.5.2 合同价格：指承包人按合同约定完成了包括缺陷责任期内的全部承包工作后，发包人应付给承包人的金额，包括在履行合同过程中按合同约定进行的变更和调整。</w:t>
      </w:r>
    </w:p>
    <w:p w14:paraId="2E925B2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1.1.5.3 费用：指为履行合同所发生的或将要发生的所有合理开支，包括管理费和应分摊的其他费用，但不包括利润。</w:t>
      </w:r>
    </w:p>
    <w:p w14:paraId="1988638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1.1.5.4 暂列金额：指已标价工程量清单中所列的暂列金额，用于在签订协议书时尚未确定或不可预见变更的施工及其所需材料、工程设备、服务等的金额，包括以计日工方式支付的金额。</w:t>
      </w:r>
    </w:p>
    <w:p w14:paraId="6507C33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1.1.5.5暂估价：指发包人在工程量清单中给定的用于支付必然发生但暂时不能确定价格的材料、工程设备以及专业工程的金额。</w:t>
      </w:r>
    </w:p>
    <w:p w14:paraId="5398EB3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1.1.5.6 计日工：指对零星工作采取的一种计价方式，按合同中的计日工子目及其单价计价付款。</w:t>
      </w:r>
    </w:p>
    <w:p w14:paraId="14330D1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1.1.5.7 质量保证金（或称保留金）：指按第17.4.1项约定用于保证在缺陷责任期内履行缺陷修复义务的金额。</w:t>
      </w:r>
    </w:p>
    <w:p w14:paraId="6EFC036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30DA39D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1.1.6.1 书面形式：指合同文件、信函、电报、传真等可以有形地表现所载内容的形式。</w:t>
      </w:r>
    </w:p>
    <w:p w14:paraId="6A2C30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46" w:name="_Toc25135"/>
      <w:bookmarkStart w:id="447" w:name="_Toc234832969"/>
      <w:bookmarkStart w:id="448" w:name="_Toc27354"/>
      <w:bookmarkStart w:id="449" w:name="_Toc7828"/>
      <w:bookmarkStart w:id="450" w:name="_Toc22350"/>
      <w:r>
        <w:rPr>
          <w:rFonts w:hint="default" w:ascii="Times New Roman" w:hAnsi="Times New Roman" w:eastAsia="黑体" w:cs="Times New Roman"/>
          <w:b w:val="0"/>
          <w:color w:val="auto"/>
          <w:sz w:val="24"/>
          <w:szCs w:val="24"/>
          <w:highlight w:val="none"/>
        </w:rPr>
        <w:t>1.2 语言文字</w:t>
      </w:r>
      <w:bookmarkEnd w:id="446"/>
      <w:bookmarkEnd w:id="447"/>
      <w:bookmarkEnd w:id="448"/>
      <w:bookmarkEnd w:id="449"/>
      <w:bookmarkEnd w:id="450"/>
    </w:p>
    <w:p w14:paraId="4BF196F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除专用术语外，合同使用的语言文字为中文。必要时专用术语应附有中文注释。</w:t>
      </w:r>
    </w:p>
    <w:p w14:paraId="3BEE524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1" w:name="_Toc8637"/>
      <w:bookmarkStart w:id="452" w:name="_Toc234832970"/>
      <w:bookmarkStart w:id="453" w:name="_Toc17380"/>
      <w:bookmarkStart w:id="454" w:name="_Toc317"/>
      <w:bookmarkStart w:id="455" w:name="_Toc13856"/>
      <w:r>
        <w:rPr>
          <w:rFonts w:hint="default" w:ascii="Times New Roman" w:hAnsi="Times New Roman" w:eastAsia="黑体" w:cs="Times New Roman"/>
          <w:b w:val="0"/>
          <w:color w:val="auto"/>
          <w:sz w:val="24"/>
          <w:szCs w:val="24"/>
          <w:highlight w:val="none"/>
        </w:rPr>
        <w:t>1.3 法律</w:t>
      </w:r>
      <w:bookmarkEnd w:id="451"/>
      <w:bookmarkEnd w:id="452"/>
      <w:bookmarkEnd w:id="453"/>
      <w:bookmarkEnd w:id="454"/>
      <w:bookmarkEnd w:id="455"/>
    </w:p>
    <w:p w14:paraId="22852B62">
      <w:pPr>
        <w:pageBreakBefore w:val="0"/>
        <w:tabs>
          <w:tab w:val="left" w:pos="7020"/>
        </w:tabs>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适用于合同的法律包括中华人民共和国法律、行政法规、部门规章，以及工程所在地的地方法规、自治条例、单行条例和地方政府规章。</w:t>
      </w:r>
    </w:p>
    <w:p w14:paraId="0527A54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56" w:name="_Toc234832971"/>
      <w:bookmarkStart w:id="457" w:name="_Toc23484"/>
      <w:bookmarkStart w:id="458" w:name="_Toc8196"/>
      <w:bookmarkStart w:id="459" w:name="_Toc3631"/>
      <w:bookmarkStart w:id="460" w:name="_Toc9336"/>
      <w:r>
        <w:rPr>
          <w:rFonts w:hint="default" w:ascii="Times New Roman" w:hAnsi="Times New Roman" w:eastAsia="黑体" w:cs="Times New Roman"/>
          <w:b w:val="0"/>
          <w:color w:val="auto"/>
          <w:sz w:val="24"/>
          <w:szCs w:val="24"/>
          <w:highlight w:val="none"/>
        </w:rPr>
        <w:t>1.4 合同文件的优先顺序</w:t>
      </w:r>
      <w:bookmarkEnd w:id="456"/>
      <w:bookmarkEnd w:id="457"/>
      <w:bookmarkEnd w:id="458"/>
      <w:bookmarkEnd w:id="459"/>
      <w:bookmarkEnd w:id="460"/>
    </w:p>
    <w:p w14:paraId="79B1260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组成合同的各项文件应互相解释，互为说明。除专用合同条款另有约定外，解释合同文件的优先顺序如下：</w:t>
      </w:r>
    </w:p>
    <w:p w14:paraId="6686AEB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w:t>
      </w:r>
    </w:p>
    <w:p w14:paraId="295A703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63F70A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2A97E10F">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（4）专用合同条款；</w:t>
      </w:r>
    </w:p>
    <w:p w14:paraId="02B907F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（5）通用合同条款；</w:t>
      </w:r>
    </w:p>
    <w:p w14:paraId="525C3E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（6）技术标准和要求；</w:t>
      </w:r>
    </w:p>
    <w:p w14:paraId="1CF87D2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（7）图纸；</w:t>
      </w:r>
    </w:p>
    <w:p w14:paraId="443D33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（8）已标价工程量清单；</w:t>
      </w:r>
    </w:p>
    <w:p w14:paraId="5F51ABA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（9）其他合同文件。     </w:t>
      </w:r>
    </w:p>
    <w:p w14:paraId="4921D5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1" w:name="_Toc7240"/>
      <w:bookmarkStart w:id="462" w:name="_Toc29563"/>
      <w:bookmarkStart w:id="463" w:name="_Toc1591"/>
      <w:bookmarkStart w:id="464" w:name="_Toc17423"/>
      <w:bookmarkStart w:id="465" w:name="_Toc234832972"/>
      <w:r>
        <w:rPr>
          <w:rFonts w:hint="default" w:ascii="Times New Roman" w:hAnsi="Times New Roman" w:eastAsia="黑体" w:cs="Times New Roman"/>
          <w:b w:val="0"/>
          <w:color w:val="auto"/>
          <w:sz w:val="24"/>
          <w:szCs w:val="24"/>
          <w:highlight w:val="none"/>
        </w:rPr>
        <w:t>1.5 合同协议书</w:t>
      </w:r>
      <w:bookmarkEnd w:id="461"/>
      <w:bookmarkEnd w:id="462"/>
      <w:bookmarkEnd w:id="463"/>
      <w:bookmarkEnd w:id="464"/>
      <w:bookmarkEnd w:id="465"/>
    </w:p>
    <w:p w14:paraId="2A40A1B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承包人按中标通知书规定的时间与发包人签订合同协议书。除法律另有规定或合同另有约定外，发包人和承包人的法定代表人或其委托代理人在合同协议书上签字并盖单位章后，合同生效。</w:t>
      </w:r>
    </w:p>
    <w:p w14:paraId="2A4E98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66" w:name="_Toc18684"/>
      <w:bookmarkStart w:id="467" w:name="_Toc24591"/>
      <w:bookmarkStart w:id="468" w:name="_Toc234832973"/>
      <w:bookmarkStart w:id="469" w:name="_Toc30819"/>
      <w:bookmarkStart w:id="470" w:name="_Toc20779"/>
      <w:r>
        <w:rPr>
          <w:rFonts w:hint="default" w:ascii="Times New Roman" w:hAnsi="Times New Roman" w:eastAsia="黑体" w:cs="Times New Roman"/>
          <w:b w:val="0"/>
          <w:color w:val="auto"/>
          <w:sz w:val="24"/>
          <w:szCs w:val="24"/>
          <w:highlight w:val="none"/>
        </w:rPr>
        <w:t>1.6 图纸和承包人文件</w:t>
      </w:r>
      <w:bookmarkEnd w:id="466"/>
      <w:bookmarkEnd w:id="467"/>
      <w:bookmarkEnd w:id="468"/>
      <w:bookmarkEnd w:id="469"/>
      <w:bookmarkEnd w:id="470"/>
    </w:p>
    <w:p w14:paraId="595E47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53D8B2A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除专用合同条款另有约定外，图纸应在合理的期限内按照合同约定的数量提供给承包人。由于发包人未按时提供图纸造成工期延误的，按第11.3款的约定办理。</w:t>
      </w:r>
    </w:p>
    <w:p w14:paraId="15E1C57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7D67D35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按专用合同条款约定由承包人提供的文件，包括部分工程的大样图、加工图等，承包人应按约定的数量和期限报送监理人。监理人应在专用合同条款约定的期限内批复。</w:t>
      </w:r>
    </w:p>
    <w:p w14:paraId="61BBD7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1.6.3 </w:t>
      </w:r>
      <w:r>
        <w:rPr>
          <w:rFonts w:hint="default" w:ascii="Times New Roman" w:hAnsi="Times New Roman" w:eastAsia="黑体" w:cs="Times New Roman"/>
          <w:color w:val="auto"/>
          <w:sz w:val="24"/>
          <w:highlight w:val="none"/>
        </w:rPr>
        <w:t>图纸的修改</w:t>
      </w:r>
    </w:p>
    <w:p w14:paraId="06B1EC9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F916339">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7DD2616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承包人发现发包人提供的图纸存在明显错误或疏忽，应及时通知监理人。</w:t>
      </w:r>
    </w:p>
    <w:p w14:paraId="4A76F24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1.6.5</w:t>
      </w:r>
      <w:r>
        <w:rPr>
          <w:rFonts w:hint="default" w:ascii="Times New Roman" w:hAnsi="Times New Roman" w:eastAsia="黑体" w:cs="Times New Roman"/>
          <w:color w:val="auto"/>
          <w:sz w:val="24"/>
          <w:highlight w:val="none"/>
        </w:rPr>
        <w:t xml:space="preserve"> 图纸和承包人文件的保管</w:t>
      </w:r>
    </w:p>
    <w:p w14:paraId="422F6EE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监理人和承包人均应在施工场地各保存一套完整的包含第1.6.1项、第1.6.2项、第1.6.3项约定内容的图纸和承包人文件。</w:t>
      </w:r>
    </w:p>
    <w:p w14:paraId="2B0690A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1" w:name="_Toc3785"/>
      <w:bookmarkStart w:id="472" w:name="_Toc3784"/>
      <w:bookmarkStart w:id="473" w:name="_Toc25686"/>
      <w:bookmarkStart w:id="474" w:name="_Toc234832974"/>
      <w:bookmarkStart w:id="475" w:name="_Toc28959"/>
      <w:r>
        <w:rPr>
          <w:rFonts w:hint="default" w:ascii="Times New Roman" w:hAnsi="Times New Roman" w:eastAsia="黑体" w:cs="Times New Roman"/>
          <w:b w:val="0"/>
          <w:color w:val="auto"/>
          <w:sz w:val="24"/>
          <w:szCs w:val="24"/>
          <w:highlight w:val="none"/>
        </w:rPr>
        <w:t>1.7 联络</w:t>
      </w:r>
      <w:bookmarkEnd w:id="471"/>
      <w:bookmarkEnd w:id="472"/>
      <w:bookmarkEnd w:id="473"/>
      <w:bookmarkEnd w:id="474"/>
      <w:bookmarkEnd w:id="475"/>
    </w:p>
    <w:p w14:paraId="52118E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 与合同有关的通知、批准、证明、证书、指示、要求、请求、同意、意见、确定和决定等，均应采用书面形式。</w:t>
      </w:r>
    </w:p>
    <w:p w14:paraId="43D3E69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1.7.2 第1.7.1项中的通知、批准、证明、证书、指示、要求、请求、同意、意见、确定和决定等来往函件，均应在合同约定的期限内送达指定地点和接收人，并办理签收手续。</w:t>
      </w:r>
    </w:p>
    <w:p w14:paraId="12F4050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76" w:name="_Toc234832975"/>
      <w:bookmarkStart w:id="477" w:name="_Toc13094"/>
      <w:bookmarkStart w:id="478" w:name="_Toc162"/>
      <w:bookmarkStart w:id="479" w:name="_Toc8917"/>
      <w:bookmarkStart w:id="480" w:name="_Toc5598"/>
      <w:r>
        <w:rPr>
          <w:rFonts w:hint="default" w:ascii="Times New Roman" w:hAnsi="Times New Roman" w:eastAsia="黑体" w:cs="Times New Roman"/>
          <w:b w:val="0"/>
          <w:color w:val="auto"/>
          <w:sz w:val="24"/>
          <w:szCs w:val="24"/>
          <w:highlight w:val="none"/>
        </w:rPr>
        <w:t>1.8 转让</w:t>
      </w:r>
      <w:bookmarkEnd w:id="476"/>
      <w:bookmarkEnd w:id="477"/>
      <w:bookmarkEnd w:id="478"/>
      <w:bookmarkEnd w:id="479"/>
      <w:bookmarkEnd w:id="480"/>
    </w:p>
    <w:p w14:paraId="5810E1F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除合同另有约定外，未经对方当事人同意，一方当事人不得将合同权利全部或部分转让给第三人，也不得全部或部分转移合同义务。</w:t>
      </w:r>
    </w:p>
    <w:p w14:paraId="03390F6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1" w:name="_Toc24262"/>
      <w:bookmarkStart w:id="482" w:name="_Toc23791"/>
      <w:bookmarkStart w:id="483" w:name="_Toc6228"/>
      <w:bookmarkStart w:id="484" w:name="_Toc31967"/>
      <w:bookmarkStart w:id="485" w:name="_Toc234832976"/>
      <w:r>
        <w:rPr>
          <w:rFonts w:hint="default" w:ascii="Times New Roman" w:hAnsi="Times New Roman" w:eastAsia="黑体" w:cs="Times New Roman"/>
          <w:b w:val="0"/>
          <w:color w:val="auto"/>
          <w:sz w:val="24"/>
          <w:szCs w:val="24"/>
          <w:highlight w:val="none"/>
        </w:rPr>
        <w:t>1.9 严禁贿赂</w:t>
      </w:r>
      <w:bookmarkEnd w:id="481"/>
      <w:bookmarkEnd w:id="482"/>
      <w:bookmarkEnd w:id="483"/>
      <w:bookmarkEnd w:id="484"/>
      <w:bookmarkEnd w:id="485"/>
    </w:p>
    <w:p w14:paraId="50B5E60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合同双方当事人不得以贿赂或变相贿赂的方式，谋取不当利益或损害对方权益。因贿赂造成对方损失的，行为人应赔偿损失，并承担相应的法律责任。</w:t>
      </w:r>
    </w:p>
    <w:p w14:paraId="1F1A2E3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86" w:name="_Toc28929"/>
      <w:bookmarkStart w:id="487" w:name="_Toc5924"/>
      <w:bookmarkStart w:id="488" w:name="_Toc24319"/>
      <w:bookmarkStart w:id="489" w:name="_Toc234832977"/>
      <w:bookmarkStart w:id="490" w:name="_Toc1823"/>
      <w:r>
        <w:rPr>
          <w:rFonts w:hint="default" w:ascii="Times New Roman" w:hAnsi="Times New Roman" w:eastAsia="黑体" w:cs="Times New Roman"/>
          <w:b w:val="0"/>
          <w:color w:val="auto"/>
          <w:sz w:val="24"/>
          <w:szCs w:val="24"/>
          <w:highlight w:val="none"/>
        </w:rPr>
        <w:t>1.10 化石、文物</w:t>
      </w:r>
      <w:bookmarkEnd w:id="486"/>
      <w:bookmarkEnd w:id="487"/>
      <w:bookmarkEnd w:id="488"/>
      <w:bookmarkEnd w:id="489"/>
      <w:bookmarkEnd w:id="490"/>
    </w:p>
    <w:p w14:paraId="1720EFB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1FC4A6D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1.10.2 承包人发现文物后不及时报告或隐瞒不报，致使文物丢失或损坏的，应赔偿损失，并承担相应的法律责任。</w:t>
      </w:r>
    </w:p>
    <w:p w14:paraId="6856879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1" w:name="_Toc24599"/>
      <w:bookmarkStart w:id="492" w:name="_Toc13641"/>
      <w:bookmarkStart w:id="493" w:name="_Toc234832978"/>
      <w:bookmarkStart w:id="494" w:name="_Toc7504"/>
      <w:bookmarkStart w:id="495" w:name="_Toc27784"/>
      <w:r>
        <w:rPr>
          <w:rFonts w:hint="default" w:ascii="Times New Roman" w:hAnsi="Times New Roman" w:eastAsia="黑体" w:cs="Times New Roman"/>
          <w:b w:val="0"/>
          <w:color w:val="auto"/>
          <w:sz w:val="24"/>
          <w:szCs w:val="24"/>
          <w:highlight w:val="none"/>
        </w:rPr>
        <w:t>1.11 专利技术</w:t>
      </w:r>
      <w:bookmarkEnd w:id="491"/>
      <w:bookmarkEnd w:id="492"/>
      <w:bookmarkEnd w:id="493"/>
      <w:bookmarkEnd w:id="494"/>
      <w:bookmarkEnd w:id="495"/>
    </w:p>
    <w:p w14:paraId="3A86707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1.11.1 承包人在使用任何材料、承包人设备、工程设备或采用施工工艺时，因侵犯专利权或其他知识产权所引起的责任，由承包人承担，但由于遵照发包人提供的设计或技术标准和要求引起的除外。</w:t>
      </w:r>
    </w:p>
    <w:p w14:paraId="38ACE0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承包人在投标文件中采用专利技术的，专利技术的使用费包含在投标报价内。</w:t>
      </w:r>
    </w:p>
    <w:p w14:paraId="2168DBD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1.11.3 承包人的技术秘密和声明需要保密的资料和信息，发包人和监理人不得为合同以外的目的泄露给他人。</w:t>
      </w:r>
    </w:p>
    <w:p w14:paraId="78ACD53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496" w:name="_Toc963"/>
      <w:bookmarkStart w:id="497" w:name="_Toc2063"/>
      <w:bookmarkStart w:id="498" w:name="_Toc16391"/>
      <w:bookmarkStart w:id="499" w:name="_Toc29843"/>
      <w:bookmarkStart w:id="500" w:name="_Toc234832979"/>
      <w:r>
        <w:rPr>
          <w:rFonts w:hint="default" w:ascii="Times New Roman" w:hAnsi="Times New Roman" w:eastAsia="黑体" w:cs="Times New Roman"/>
          <w:b w:val="0"/>
          <w:color w:val="auto"/>
          <w:sz w:val="24"/>
          <w:szCs w:val="24"/>
          <w:highlight w:val="none"/>
        </w:rPr>
        <w:t>1.12 图纸和文件的保密</w:t>
      </w:r>
      <w:bookmarkEnd w:id="496"/>
      <w:bookmarkEnd w:id="497"/>
      <w:bookmarkEnd w:id="498"/>
      <w:bookmarkEnd w:id="499"/>
      <w:bookmarkEnd w:id="500"/>
    </w:p>
    <w:p w14:paraId="6DECE5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1.12.1 发包人提供的图纸和文件，未经发包人同意，承包人不得为合同以外的目的泄露给他人或公开发表与引用。</w:t>
      </w:r>
    </w:p>
    <w:p w14:paraId="2E2B1A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1.12.2 承包人提供的文件，未经承包人同意，发包人和监理人不得为合同以外的目的泄露给他人或公开发表与引用。</w:t>
      </w:r>
    </w:p>
    <w:p w14:paraId="7626824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01" w:name="_Toc1422"/>
      <w:bookmarkStart w:id="502" w:name="_Toc2725"/>
      <w:bookmarkStart w:id="503" w:name="_Toc234832980"/>
      <w:bookmarkStart w:id="504" w:name="_Toc11044"/>
      <w:bookmarkStart w:id="505" w:name="_Toc28964"/>
      <w:r>
        <w:rPr>
          <w:rFonts w:hint="default" w:ascii="Times New Roman" w:hAnsi="Times New Roman" w:eastAsia="黑体" w:cs="Times New Roman"/>
          <w:b w:val="0"/>
          <w:color w:val="auto"/>
          <w:sz w:val="28"/>
          <w:szCs w:val="28"/>
          <w:highlight w:val="none"/>
        </w:rPr>
        <w:t>2. 发包人义务</w:t>
      </w:r>
      <w:bookmarkEnd w:id="501"/>
      <w:bookmarkEnd w:id="502"/>
      <w:bookmarkEnd w:id="503"/>
      <w:bookmarkEnd w:id="504"/>
      <w:bookmarkEnd w:id="505"/>
    </w:p>
    <w:p w14:paraId="3BFEE29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06" w:name="_Toc234832981"/>
      <w:bookmarkStart w:id="507" w:name="_Toc25606"/>
      <w:bookmarkStart w:id="508" w:name="_Toc5651"/>
      <w:bookmarkStart w:id="509" w:name="_Toc21730"/>
      <w:bookmarkStart w:id="510" w:name="_Toc9101"/>
      <w:r>
        <w:rPr>
          <w:rFonts w:hint="default" w:ascii="Times New Roman" w:hAnsi="Times New Roman" w:eastAsia="黑体" w:cs="Times New Roman"/>
          <w:b w:val="0"/>
          <w:color w:val="auto"/>
          <w:sz w:val="24"/>
          <w:szCs w:val="24"/>
          <w:highlight w:val="none"/>
        </w:rPr>
        <w:t>2.1 遵守法律</w:t>
      </w:r>
      <w:bookmarkEnd w:id="506"/>
      <w:bookmarkEnd w:id="507"/>
      <w:bookmarkEnd w:id="508"/>
      <w:bookmarkEnd w:id="509"/>
      <w:bookmarkEnd w:id="510"/>
    </w:p>
    <w:p w14:paraId="0466AB7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发包人在履行合同过程中应遵守法律，并保证承包人免于承担因发包人违反法律而引起的任何责任。</w:t>
      </w:r>
    </w:p>
    <w:p w14:paraId="3305A6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1" w:name="_Toc31599"/>
      <w:bookmarkStart w:id="512" w:name="_Toc21405"/>
      <w:bookmarkStart w:id="513" w:name="_Toc234832982"/>
      <w:bookmarkStart w:id="514" w:name="_Toc31024"/>
      <w:bookmarkStart w:id="515" w:name="_Toc19902"/>
      <w:r>
        <w:rPr>
          <w:rFonts w:hint="default" w:ascii="Times New Roman" w:hAnsi="Times New Roman" w:eastAsia="黑体" w:cs="Times New Roman"/>
          <w:b w:val="0"/>
          <w:color w:val="auto"/>
          <w:sz w:val="24"/>
          <w:szCs w:val="24"/>
          <w:highlight w:val="none"/>
        </w:rPr>
        <w:t>2.2 发出开工通知</w:t>
      </w:r>
      <w:bookmarkEnd w:id="511"/>
      <w:bookmarkEnd w:id="512"/>
      <w:bookmarkEnd w:id="513"/>
      <w:bookmarkEnd w:id="514"/>
      <w:bookmarkEnd w:id="515"/>
    </w:p>
    <w:p w14:paraId="6D516D7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发包人应委托监理人按第11.1款的约定向承包人发出开工通知。</w:t>
      </w:r>
    </w:p>
    <w:p w14:paraId="1093D38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16" w:name="_Toc234832983"/>
      <w:bookmarkStart w:id="517" w:name="_Toc17104"/>
      <w:bookmarkStart w:id="518" w:name="_Toc12076"/>
      <w:bookmarkStart w:id="519" w:name="_Toc27640"/>
      <w:bookmarkStart w:id="520" w:name="_Toc12327"/>
      <w:r>
        <w:rPr>
          <w:rFonts w:hint="default" w:ascii="Times New Roman" w:hAnsi="Times New Roman" w:eastAsia="黑体" w:cs="Times New Roman"/>
          <w:b w:val="0"/>
          <w:color w:val="auto"/>
          <w:sz w:val="24"/>
          <w:szCs w:val="24"/>
          <w:highlight w:val="none"/>
        </w:rPr>
        <w:t>2.3 提供施工场地</w:t>
      </w:r>
      <w:bookmarkEnd w:id="516"/>
      <w:bookmarkEnd w:id="517"/>
      <w:bookmarkEnd w:id="518"/>
      <w:bookmarkEnd w:id="519"/>
      <w:bookmarkEnd w:id="520"/>
    </w:p>
    <w:p w14:paraId="04300EF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发包人应按专用合同条款约定向承包人提供施工场地，以及施工场地内地下管线和地下设施等有关资料，并保证资料的真实、准确、完整。</w:t>
      </w:r>
    </w:p>
    <w:p w14:paraId="24262F4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1" w:name="_Toc234832984"/>
      <w:bookmarkStart w:id="522" w:name="_Toc12536"/>
      <w:bookmarkStart w:id="523" w:name="_Toc5430"/>
      <w:bookmarkStart w:id="524" w:name="_Toc15886"/>
      <w:bookmarkStart w:id="525" w:name="_Toc12372"/>
      <w:r>
        <w:rPr>
          <w:rFonts w:hint="default" w:ascii="Times New Roman" w:hAnsi="Times New Roman" w:eastAsia="黑体" w:cs="Times New Roman"/>
          <w:b w:val="0"/>
          <w:color w:val="auto"/>
          <w:sz w:val="24"/>
          <w:szCs w:val="24"/>
          <w:highlight w:val="none"/>
        </w:rPr>
        <w:t>2.4 协助承包人办理证件和批件</w:t>
      </w:r>
      <w:bookmarkEnd w:id="521"/>
      <w:bookmarkEnd w:id="522"/>
      <w:bookmarkEnd w:id="523"/>
      <w:bookmarkEnd w:id="524"/>
      <w:bookmarkEnd w:id="525"/>
    </w:p>
    <w:p w14:paraId="2CF61F4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发包人应协助承包人办理法律规定的有关施工证件和批件。</w:t>
      </w:r>
    </w:p>
    <w:p w14:paraId="0DAD9F6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26" w:name="_Toc2840"/>
      <w:bookmarkStart w:id="527" w:name="_Toc234832985"/>
      <w:bookmarkStart w:id="528" w:name="_Toc6781"/>
      <w:bookmarkStart w:id="529" w:name="_Toc22937"/>
      <w:bookmarkStart w:id="530" w:name="_Toc29377"/>
      <w:r>
        <w:rPr>
          <w:rFonts w:hint="default" w:ascii="Times New Roman" w:hAnsi="Times New Roman" w:eastAsia="黑体" w:cs="Times New Roman"/>
          <w:b w:val="0"/>
          <w:color w:val="auto"/>
          <w:sz w:val="24"/>
          <w:szCs w:val="24"/>
          <w:highlight w:val="none"/>
        </w:rPr>
        <w:t>2.5 组织设计交底</w:t>
      </w:r>
      <w:bookmarkEnd w:id="526"/>
      <w:bookmarkEnd w:id="527"/>
      <w:bookmarkEnd w:id="528"/>
      <w:bookmarkEnd w:id="529"/>
      <w:bookmarkEnd w:id="530"/>
    </w:p>
    <w:p w14:paraId="1264241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发包人应根据合同进度计划，组织设计单位向承包人进行设计交底。</w:t>
      </w:r>
    </w:p>
    <w:p w14:paraId="70C45C3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1" w:name="_Toc2788"/>
      <w:bookmarkStart w:id="532" w:name="_Toc15709"/>
      <w:bookmarkStart w:id="533" w:name="_Toc234832986"/>
      <w:bookmarkStart w:id="534" w:name="_Toc32192"/>
      <w:bookmarkStart w:id="535" w:name="_Toc18904"/>
      <w:r>
        <w:rPr>
          <w:rFonts w:hint="default" w:ascii="Times New Roman" w:hAnsi="Times New Roman" w:eastAsia="黑体" w:cs="Times New Roman"/>
          <w:b w:val="0"/>
          <w:color w:val="auto"/>
          <w:sz w:val="24"/>
          <w:szCs w:val="24"/>
          <w:highlight w:val="none"/>
        </w:rPr>
        <w:t>2.6 支付合同价款</w:t>
      </w:r>
      <w:bookmarkEnd w:id="531"/>
      <w:bookmarkEnd w:id="532"/>
      <w:bookmarkEnd w:id="533"/>
      <w:bookmarkEnd w:id="534"/>
      <w:bookmarkEnd w:id="535"/>
    </w:p>
    <w:p w14:paraId="5AE08D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发包人应按合同约定向承包人及时支付合同价款。</w:t>
      </w:r>
    </w:p>
    <w:p w14:paraId="03EB274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36" w:name="_Toc9105"/>
      <w:bookmarkStart w:id="537" w:name="_Toc234832987"/>
      <w:bookmarkStart w:id="538" w:name="_Toc8246"/>
      <w:bookmarkStart w:id="539" w:name="_Toc1813"/>
      <w:bookmarkStart w:id="540" w:name="_Toc12390"/>
      <w:r>
        <w:rPr>
          <w:rFonts w:hint="default" w:ascii="Times New Roman" w:hAnsi="Times New Roman" w:eastAsia="黑体" w:cs="Times New Roman"/>
          <w:b w:val="0"/>
          <w:color w:val="auto"/>
          <w:sz w:val="24"/>
          <w:szCs w:val="24"/>
          <w:highlight w:val="none"/>
        </w:rPr>
        <w:t>2.7 组织竣工验收</w:t>
      </w:r>
      <w:bookmarkEnd w:id="536"/>
      <w:bookmarkEnd w:id="537"/>
      <w:bookmarkEnd w:id="538"/>
      <w:bookmarkEnd w:id="539"/>
      <w:bookmarkEnd w:id="540"/>
    </w:p>
    <w:p w14:paraId="69B32CE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发包人应按合同约定及时组织竣工验收。</w:t>
      </w:r>
    </w:p>
    <w:p w14:paraId="3DC950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41" w:name="_Toc2212"/>
      <w:bookmarkStart w:id="542" w:name="_Toc234832988"/>
      <w:bookmarkStart w:id="543" w:name="_Toc4891"/>
      <w:bookmarkStart w:id="544" w:name="_Toc16971"/>
      <w:bookmarkStart w:id="545" w:name="_Toc13771"/>
      <w:r>
        <w:rPr>
          <w:rFonts w:hint="default" w:ascii="Times New Roman" w:hAnsi="Times New Roman" w:eastAsia="黑体" w:cs="Times New Roman"/>
          <w:b w:val="0"/>
          <w:color w:val="auto"/>
          <w:sz w:val="24"/>
          <w:szCs w:val="24"/>
          <w:highlight w:val="none"/>
        </w:rPr>
        <w:t>2.8 其他义务</w:t>
      </w:r>
      <w:bookmarkEnd w:id="541"/>
      <w:bookmarkEnd w:id="542"/>
      <w:bookmarkEnd w:id="543"/>
      <w:bookmarkEnd w:id="544"/>
      <w:bookmarkEnd w:id="545"/>
    </w:p>
    <w:p w14:paraId="112CE1B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发包人应履行合同约定的其他义务。</w:t>
      </w:r>
    </w:p>
    <w:p w14:paraId="6306B28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46" w:name="_Toc11915"/>
      <w:bookmarkStart w:id="547" w:name="_Toc234832989"/>
      <w:bookmarkStart w:id="548" w:name="_Toc5384"/>
      <w:bookmarkStart w:id="549" w:name="_Toc7583"/>
      <w:bookmarkStart w:id="550" w:name="_Toc22971"/>
      <w:r>
        <w:rPr>
          <w:rFonts w:hint="default" w:ascii="Times New Roman" w:hAnsi="Times New Roman" w:eastAsia="黑体" w:cs="Times New Roman"/>
          <w:b w:val="0"/>
          <w:color w:val="auto"/>
          <w:sz w:val="28"/>
          <w:szCs w:val="28"/>
          <w:highlight w:val="none"/>
        </w:rPr>
        <w:t>3. 监理人</w:t>
      </w:r>
      <w:bookmarkEnd w:id="546"/>
      <w:bookmarkEnd w:id="547"/>
      <w:bookmarkEnd w:id="548"/>
      <w:bookmarkEnd w:id="549"/>
      <w:bookmarkEnd w:id="550"/>
    </w:p>
    <w:p w14:paraId="2334274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1" w:name="_Toc16242"/>
      <w:bookmarkStart w:id="552" w:name="_Toc16801"/>
      <w:bookmarkStart w:id="553" w:name="_Toc21643"/>
      <w:bookmarkStart w:id="554" w:name="_Toc6610"/>
      <w:bookmarkStart w:id="555" w:name="_Toc234832990"/>
      <w:r>
        <w:rPr>
          <w:rFonts w:hint="default" w:ascii="Times New Roman" w:hAnsi="Times New Roman" w:eastAsia="黑体" w:cs="Times New Roman"/>
          <w:b w:val="0"/>
          <w:color w:val="auto"/>
          <w:sz w:val="24"/>
          <w:szCs w:val="24"/>
          <w:highlight w:val="none"/>
        </w:rPr>
        <w:t>3.1 监理人的职责和权力</w:t>
      </w:r>
      <w:bookmarkEnd w:id="551"/>
      <w:bookmarkEnd w:id="552"/>
      <w:bookmarkEnd w:id="553"/>
      <w:bookmarkEnd w:id="554"/>
      <w:bookmarkEnd w:id="555"/>
      <w:r>
        <w:rPr>
          <w:rFonts w:hint="default" w:ascii="Times New Roman" w:hAnsi="Times New Roman" w:eastAsia="黑体" w:cs="Times New Roman"/>
          <w:b w:val="0"/>
          <w:color w:val="auto"/>
          <w:sz w:val="24"/>
          <w:szCs w:val="24"/>
          <w:highlight w:val="none"/>
        </w:rPr>
        <w:t xml:space="preserve"> </w:t>
      </w:r>
    </w:p>
    <w:p w14:paraId="3BB5A3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3.1.1 监理人受发包人委托，享有合同约定的权力。监理人在行使某项权力前需要经发包人事先批准而通用合同条款没有指明的，应在专用合同条款中指明。</w:t>
      </w:r>
    </w:p>
    <w:p w14:paraId="7F6373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3.1.2 监理人发出的任何指示应视为已得到发包人的批准，但监理人无权免除或变更合同约定的发包人和承包人的权利、义务和责任。</w:t>
      </w:r>
    </w:p>
    <w:p w14:paraId="117C6C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3.1.3 合同约定应由承包人承担的义务和责任，不因监理人对承包人提交文件的审查或批准，对工程、材料和设备的检查和检验，以及为实施监理作出的指示等职务行为而减轻或解除。</w:t>
      </w:r>
    </w:p>
    <w:p w14:paraId="5ABC9F6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56" w:name="_Toc8512"/>
      <w:bookmarkStart w:id="557" w:name="_Toc8960"/>
      <w:bookmarkStart w:id="558" w:name="_Toc2593"/>
      <w:bookmarkStart w:id="559" w:name="_Toc4457"/>
      <w:bookmarkStart w:id="560" w:name="_Toc234832991"/>
      <w:r>
        <w:rPr>
          <w:rFonts w:hint="default" w:ascii="Times New Roman" w:hAnsi="Times New Roman" w:eastAsia="黑体" w:cs="Times New Roman"/>
          <w:b w:val="0"/>
          <w:color w:val="auto"/>
          <w:sz w:val="24"/>
          <w:szCs w:val="24"/>
          <w:highlight w:val="none"/>
        </w:rPr>
        <w:t>3.2 总监理工程师</w:t>
      </w:r>
      <w:bookmarkEnd w:id="556"/>
      <w:bookmarkEnd w:id="557"/>
      <w:bookmarkEnd w:id="558"/>
      <w:bookmarkEnd w:id="559"/>
      <w:bookmarkEnd w:id="560"/>
    </w:p>
    <w:p w14:paraId="0AF1B3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发包人应在发出开工通知前将总监理工程师的任命通知承包人。总监理工程师更换时，应在调离14天前通知承包人。总监理工程师短期离开施工场地的，应委派代表代行其职责，并通知承包人。</w:t>
      </w:r>
    </w:p>
    <w:p w14:paraId="3282010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1" w:name="_Toc26577"/>
      <w:bookmarkStart w:id="562" w:name="_Toc2208"/>
      <w:bookmarkStart w:id="563" w:name="_Toc25149"/>
      <w:bookmarkStart w:id="564" w:name="_Toc28836"/>
      <w:bookmarkStart w:id="565" w:name="_Toc234832992"/>
      <w:r>
        <w:rPr>
          <w:rFonts w:hint="default" w:ascii="Times New Roman" w:hAnsi="Times New Roman" w:eastAsia="黑体" w:cs="Times New Roman"/>
          <w:b w:val="0"/>
          <w:color w:val="auto"/>
          <w:sz w:val="24"/>
          <w:szCs w:val="24"/>
          <w:highlight w:val="none"/>
        </w:rPr>
        <w:t>3.3 监理人员</w:t>
      </w:r>
      <w:bookmarkEnd w:id="561"/>
      <w:bookmarkEnd w:id="562"/>
      <w:bookmarkEnd w:id="563"/>
      <w:bookmarkEnd w:id="564"/>
      <w:bookmarkEnd w:id="565"/>
    </w:p>
    <w:p w14:paraId="03F316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590228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6E9C3EC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3.3.3 承包人对总监理工程师授权的监理人员发出的指示有疑问的，可向总监理工程师提出书面异议，总监理工程师应在48小时内对该指示予以确认、更改或撤销。</w:t>
      </w:r>
    </w:p>
    <w:p w14:paraId="1A3F7B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3.3.4 除专用合同条款另有约定外，总监理工程师不应将第3.5款约定应由总监理工程师作出确定的权力授权或委托给其他监理人员。</w:t>
      </w:r>
    </w:p>
    <w:p w14:paraId="4881757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66" w:name="_Toc234832993"/>
      <w:bookmarkStart w:id="567" w:name="_Toc12190"/>
      <w:bookmarkStart w:id="568" w:name="_Toc31668"/>
      <w:bookmarkStart w:id="569" w:name="_Toc12482"/>
      <w:bookmarkStart w:id="570" w:name="_Toc1056"/>
      <w:r>
        <w:rPr>
          <w:rFonts w:hint="default" w:ascii="Times New Roman" w:hAnsi="Times New Roman" w:eastAsia="黑体" w:cs="Times New Roman"/>
          <w:b w:val="0"/>
          <w:color w:val="auto"/>
          <w:sz w:val="24"/>
          <w:szCs w:val="24"/>
          <w:highlight w:val="none"/>
        </w:rPr>
        <w:t>3.4 监理人的指示</w:t>
      </w:r>
      <w:bookmarkEnd w:id="566"/>
      <w:bookmarkEnd w:id="567"/>
      <w:bookmarkEnd w:id="568"/>
      <w:bookmarkEnd w:id="569"/>
      <w:bookmarkEnd w:id="570"/>
    </w:p>
    <w:p w14:paraId="79DA2DC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3.4.1 监理人应按第3.1款的约定向承包人发出指示，监理人的指示应盖有监理人授权的施工场地机构章，并由总监理工程师或总监理工程师按第3.3.1项约定授权的监理人员签字。</w:t>
      </w:r>
    </w:p>
    <w:p w14:paraId="6FECE6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3.4.2 承包人收到监理人按第3.4.1项作出的指示后应遵照执行。指示构成变更的，应按第15条处理。</w:t>
      </w:r>
    </w:p>
    <w:p w14:paraId="51A02C8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56F906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3.4.4 除合同另有约定外，承包人只从总监理工程师或按第3.3.1项被授权的监理人员处取得指示。</w:t>
      </w:r>
    </w:p>
    <w:p w14:paraId="73CE12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3.4.5 由于监理人未能按合同约定发出指示、指示延误或指示错误而导致承包人费用增加和（或）工期延误的，由发包人承担赔偿责任。 </w:t>
      </w:r>
    </w:p>
    <w:p w14:paraId="6761E72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71" w:name="_Toc234832994"/>
      <w:bookmarkStart w:id="572" w:name="_Toc13069"/>
      <w:bookmarkStart w:id="573" w:name="_Toc9828"/>
      <w:bookmarkStart w:id="574" w:name="_Toc3027"/>
      <w:bookmarkStart w:id="575" w:name="_Toc7716"/>
      <w:r>
        <w:rPr>
          <w:rFonts w:hint="default" w:ascii="Times New Roman" w:hAnsi="Times New Roman" w:eastAsia="黑体" w:cs="Times New Roman"/>
          <w:b w:val="0"/>
          <w:color w:val="auto"/>
          <w:sz w:val="24"/>
          <w:szCs w:val="24"/>
          <w:highlight w:val="none"/>
        </w:rPr>
        <w:t>3.5商定或确定</w:t>
      </w:r>
      <w:bookmarkEnd w:id="571"/>
      <w:bookmarkEnd w:id="572"/>
      <w:bookmarkEnd w:id="573"/>
      <w:bookmarkEnd w:id="574"/>
      <w:bookmarkEnd w:id="575"/>
    </w:p>
    <w:p w14:paraId="74192C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3.5.1合同约定总监理工程师应按照本款对任何事项进行商定或确定时，总监理工程师应与合同当事人协商，尽量达成一致。不能达成一致的，总监理工程师应认真研究后审慎确定。</w:t>
      </w:r>
    </w:p>
    <w:p w14:paraId="0FD722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3.5.2 总监理工程师应将商定或确定的事项通知合同当事人，并附详细依据。对总监理工程师的确定有异议的，</w:t>
      </w:r>
      <w:r>
        <w:rPr>
          <w:rFonts w:hint="default" w:ascii="Times New Roman" w:hAnsi="Times New Roman" w:cs="Times New Roman"/>
          <w:iCs/>
          <w:color w:val="auto"/>
          <w:sz w:val="24"/>
          <w:highlight w:val="none"/>
        </w:rPr>
        <w:t>构成争议，</w:t>
      </w:r>
      <w:r>
        <w:rPr>
          <w:rFonts w:hint="default" w:ascii="Times New Roman" w:hAnsi="Times New Roman" w:cs="Times New Roman"/>
          <w:color w:val="auto"/>
          <w:sz w:val="24"/>
          <w:highlight w:val="none"/>
        </w:rPr>
        <w:t>按照第24条的约定处理。在争议解决前，双方应暂按总监理工程师的确定执行，按照第24条的约定对总监理工程师的确定作出修改的，按修改后的结果执行。</w:t>
      </w:r>
    </w:p>
    <w:p w14:paraId="5855688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576" w:name="_Toc30028"/>
      <w:bookmarkStart w:id="577" w:name="_Toc9721"/>
      <w:bookmarkStart w:id="578" w:name="_Toc234832995"/>
      <w:bookmarkStart w:id="579" w:name="_Toc1630"/>
      <w:bookmarkStart w:id="580" w:name="_Toc6619"/>
      <w:r>
        <w:rPr>
          <w:rFonts w:hint="default" w:ascii="Times New Roman" w:hAnsi="Times New Roman" w:eastAsia="黑体" w:cs="Times New Roman"/>
          <w:b w:val="0"/>
          <w:color w:val="auto"/>
          <w:sz w:val="28"/>
          <w:szCs w:val="28"/>
          <w:highlight w:val="none"/>
        </w:rPr>
        <w:t>4. 承包人</w:t>
      </w:r>
      <w:bookmarkEnd w:id="576"/>
      <w:bookmarkEnd w:id="577"/>
      <w:bookmarkEnd w:id="578"/>
      <w:bookmarkEnd w:id="579"/>
      <w:bookmarkEnd w:id="580"/>
    </w:p>
    <w:p w14:paraId="279110A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1" w:name="_Toc234832996"/>
      <w:bookmarkStart w:id="582" w:name="_Toc20434"/>
      <w:bookmarkStart w:id="583" w:name="_Toc21919"/>
      <w:bookmarkStart w:id="584" w:name="_Toc25150"/>
      <w:bookmarkStart w:id="585" w:name="_Toc30908"/>
      <w:r>
        <w:rPr>
          <w:rFonts w:hint="default" w:ascii="Times New Roman" w:hAnsi="Times New Roman" w:eastAsia="黑体" w:cs="Times New Roman"/>
          <w:b w:val="0"/>
          <w:color w:val="auto"/>
          <w:sz w:val="24"/>
          <w:szCs w:val="24"/>
          <w:highlight w:val="none"/>
        </w:rPr>
        <w:t>4.1 承包人的一般义务</w:t>
      </w:r>
      <w:bookmarkEnd w:id="581"/>
      <w:bookmarkEnd w:id="582"/>
      <w:bookmarkEnd w:id="583"/>
      <w:bookmarkEnd w:id="584"/>
      <w:bookmarkEnd w:id="585"/>
    </w:p>
    <w:p w14:paraId="6F5EEE64">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4.1.1 </w:t>
      </w:r>
      <w:r>
        <w:rPr>
          <w:rFonts w:hint="default" w:ascii="Times New Roman" w:hAnsi="Times New Roman" w:eastAsia="黑体" w:cs="Times New Roman"/>
          <w:color w:val="auto"/>
          <w:sz w:val="24"/>
          <w:highlight w:val="none"/>
        </w:rPr>
        <w:t>遵守法律</w:t>
      </w:r>
    </w:p>
    <w:p w14:paraId="58206EE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承包人在履行合同过程中应遵守法律，并保证发包人免于承担因承包人违反法律而引起的任何责任。</w:t>
      </w:r>
    </w:p>
    <w:p w14:paraId="0391DD50">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4.1.2 </w:t>
      </w:r>
      <w:r>
        <w:rPr>
          <w:rFonts w:hint="default" w:ascii="Times New Roman" w:hAnsi="Times New Roman" w:eastAsia="黑体" w:cs="Times New Roman"/>
          <w:color w:val="auto"/>
          <w:sz w:val="24"/>
          <w:highlight w:val="none"/>
        </w:rPr>
        <w:t>依法纳税</w:t>
      </w:r>
    </w:p>
    <w:p w14:paraId="326E2FE9">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承包人应按有关法律规定纳税，应缴纳的税金包括在合同价格内。</w:t>
      </w:r>
    </w:p>
    <w:p w14:paraId="0A1762EB">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4.1.3 </w:t>
      </w:r>
      <w:r>
        <w:rPr>
          <w:rFonts w:hint="default" w:ascii="Times New Roman" w:hAnsi="Times New Roman" w:eastAsia="黑体" w:cs="Times New Roman"/>
          <w:color w:val="auto"/>
          <w:sz w:val="24"/>
          <w:highlight w:val="none"/>
        </w:rPr>
        <w:t>完成各项承包工作</w:t>
      </w:r>
    </w:p>
    <w:p w14:paraId="6B5DBDC1">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5C5BAA9A">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4.1.4 对施工作业和施工方法的完备性负责</w:t>
      </w:r>
    </w:p>
    <w:p w14:paraId="6C536C38">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承包人应按合同约定的工作内容和施工进度要求，编制施工组织设计和施工措施计划，并对所有施工作业和施工方法的完备性和安全可靠性负责。</w:t>
      </w:r>
    </w:p>
    <w:p w14:paraId="27A6BFF8">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4.1.5</w:t>
      </w:r>
      <w:r>
        <w:rPr>
          <w:rFonts w:hint="default" w:ascii="Times New Roman" w:hAnsi="Times New Roman" w:eastAsia="黑体" w:cs="Times New Roman"/>
          <w:color w:val="auto"/>
          <w:sz w:val="24"/>
          <w:highlight w:val="none"/>
        </w:rPr>
        <w:t xml:space="preserve"> 保证工程施工和人员的安全</w:t>
      </w:r>
    </w:p>
    <w:p w14:paraId="0F8BF416">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承包人应按第9.2款约定采取施工安全措施，确保工程及其人员、材料、设备和设施的安全，防止因工程施工造成的人身伤害和财产损失。</w:t>
      </w:r>
    </w:p>
    <w:p w14:paraId="6FF083E3">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4.1.6 </w:t>
      </w:r>
      <w:r>
        <w:rPr>
          <w:rFonts w:hint="default" w:ascii="Times New Roman" w:hAnsi="Times New Roman" w:eastAsia="黑体" w:cs="Times New Roman"/>
          <w:color w:val="auto"/>
          <w:sz w:val="24"/>
          <w:highlight w:val="none"/>
        </w:rPr>
        <w:t>负责施工场地及其周边环境与生态的保护工作</w:t>
      </w:r>
    </w:p>
    <w:p w14:paraId="2EDFCA3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承包人应按照第9.4款约定负责施工场地及其周边环境与生态的保护工作。</w:t>
      </w:r>
    </w:p>
    <w:p w14:paraId="1027A143">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4.1.7 </w:t>
      </w:r>
      <w:r>
        <w:rPr>
          <w:rFonts w:hint="default" w:ascii="Times New Roman" w:hAnsi="Times New Roman" w:eastAsia="黑体" w:cs="Times New Roman"/>
          <w:color w:val="auto"/>
          <w:sz w:val="24"/>
          <w:highlight w:val="none"/>
        </w:rPr>
        <w:t>避免施工对公众与他人的利益造成损害</w:t>
      </w:r>
    </w:p>
    <w:p w14:paraId="0806FF0A">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C87382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4.1.8 </w:t>
      </w:r>
      <w:r>
        <w:rPr>
          <w:rFonts w:hint="default" w:ascii="Times New Roman" w:hAnsi="Times New Roman" w:eastAsia="黑体" w:cs="Times New Roman"/>
          <w:color w:val="auto"/>
          <w:sz w:val="24"/>
          <w:highlight w:val="none"/>
        </w:rPr>
        <w:t>为他人提供方便</w:t>
      </w:r>
    </w:p>
    <w:p w14:paraId="03F8280F">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承包人应按监理人的指示为他人在施工场地或附近实施与工程有关的其他各项工作提供可能的条件。除合同另有约定外，提供有关条件的内容和可能发生的费用，由监理人按第3.5款商定或确定。</w:t>
      </w:r>
    </w:p>
    <w:p w14:paraId="0DC2C911">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工程的维护和照管</w:t>
      </w:r>
    </w:p>
    <w:p w14:paraId="3FC8AE85">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工程接收证书颁发前，承包人应负责照管和维护工程。工程接收证书颁发时尚有部分未竣工工程的，承包人还应负责该未竣工工程的照管和维护工作，直至竣工后移交给发包人为止。</w:t>
      </w:r>
    </w:p>
    <w:p w14:paraId="726177C9">
      <w:pPr>
        <w:pageBreakBefore w:val="0"/>
        <w:kinsoku/>
        <w:wordWrap w:val="0"/>
        <w:bidi w:val="0"/>
        <w:spacing w:line="400" w:lineRule="atLeast"/>
        <w:ind w:firstLine="468" w:firstLineChars="19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352C1447">
      <w:pPr>
        <w:pageBreakBefore w:val="0"/>
        <w:kinsoku/>
        <w:wordWrap w:val="0"/>
        <w:bidi w:val="0"/>
        <w:spacing w:line="400" w:lineRule="atLeast"/>
        <w:ind w:firstLine="468" w:firstLineChars="19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承包人应履行合同约定的其他义务。</w:t>
      </w:r>
    </w:p>
    <w:p w14:paraId="361EC2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86" w:name="_Toc3711"/>
      <w:bookmarkStart w:id="587" w:name="_Toc234832997"/>
      <w:bookmarkStart w:id="588" w:name="_Toc15934"/>
      <w:bookmarkStart w:id="589" w:name="_Toc11867"/>
      <w:bookmarkStart w:id="590" w:name="_Toc30774"/>
      <w:r>
        <w:rPr>
          <w:rFonts w:hint="default" w:ascii="Times New Roman" w:hAnsi="Times New Roman" w:eastAsia="黑体" w:cs="Times New Roman"/>
          <w:b w:val="0"/>
          <w:color w:val="auto"/>
          <w:sz w:val="24"/>
          <w:szCs w:val="24"/>
          <w:highlight w:val="none"/>
        </w:rPr>
        <w:t>4.2 履约担保</w:t>
      </w:r>
      <w:bookmarkEnd w:id="586"/>
      <w:bookmarkEnd w:id="587"/>
      <w:bookmarkEnd w:id="588"/>
      <w:bookmarkEnd w:id="589"/>
      <w:bookmarkEnd w:id="590"/>
    </w:p>
    <w:p w14:paraId="34C613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承包人应保证其履约担保在发包人颁发工程接收证书前一直有效。发包人应在工程接收证书颁发后28天内把履约担保退还给承包人。</w:t>
      </w:r>
    </w:p>
    <w:p w14:paraId="68F231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1" w:name="_Toc3877"/>
      <w:bookmarkStart w:id="592" w:name="_Toc234832998"/>
      <w:bookmarkStart w:id="593" w:name="_Toc1459"/>
      <w:bookmarkStart w:id="594" w:name="_Toc17914"/>
      <w:bookmarkStart w:id="595" w:name="_Toc24336"/>
      <w:r>
        <w:rPr>
          <w:rFonts w:hint="default" w:ascii="Times New Roman" w:hAnsi="Times New Roman" w:eastAsia="黑体" w:cs="Times New Roman"/>
          <w:b w:val="0"/>
          <w:color w:val="auto"/>
          <w:sz w:val="24"/>
          <w:szCs w:val="24"/>
          <w:highlight w:val="none"/>
        </w:rPr>
        <w:t>4.3 分包</w:t>
      </w:r>
      <w:bookmarkEnd w:id="591"/>
      <w:bookmarkEnd w:id="592"/>
      <w:bookmarkEnd w:id="593"/>
      <w:bookmarkEnd w:id="594"/>
      <w:bookmarkEnd w:id="595"/>
    </w:p>
    <w:p w14:paraId="14B33B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4.3.1 承包人不得将其承包的全部工程转包给第三人，或将其承包的全部工程肢解后以分包的名义转包给第三人。</w:t>
      </w:r>
    </w:p>
    <w:p w14:paraId="27071C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承包人不得将工程主体、关键性工作分包给第三人。除专用合同条款另有约定外，未经发包人同意，承包人不得将工程的其他部分或工作分包给第三人。</w:t>
      </w:r>
    </w:p>
    <w:p w14:paraId="074014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4.3.3分包人的资格能力应与其分包工程的标准和规模相适应。</w:t>
      </w:r>
    </w:p>
    <w:p w14:paraId="13FA64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4.3.4按投标函附录约定分包工程的，承包人应向发包人和监理人提交分包合同副本。</w:t>
      </w:r>
    </w:p>
    <w:p w14:paraId="4160CD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4.3.5承包人应与分包人就分包工程向发包人承担连带责任。</w:t>
      </w:r>
    </w:p>
    <w:p w14:paraId="10C7191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596" w:name="_Toc32164"/>
      <w:bookmarkStart w:id="597" w:name="_Toc234832999"/>
      <w:bookmarkStart w:id="598" w:name="_Toc3204"/>
      <w:bookmarkStart w:id="599" w:name="_Toc16004"/>
      <w:bookmarkStart w:id="600" w:name="_Toc4870"/>
      <w:r>
        <w:rPr>
          <w:rFonts w:hint="default" w:ascii="Times New Roman" w:hAnsi="Times New Roman" w:eastAsia="黑体" w:cs="Times New Roman"/>
          <w:b w:val="0"/>
          <w:color w:val="auto"/>
          <w:sz w:val="24"/>
          <w:szCs w:val="24"/>
          <w:highlight w:val="none"/>
        </w:rPr>
        <w:t>4.4联合体</w:t>
      </w:r>
      <w:bookmarkEnd w:id="596"/>
      <w:bookmarkEnd w:id="597"/>
      <w:bookmarkEnd w:id="598"/>
      <w:bookmarkEnd w:id="599"/>
      <w:bookmarkEnd w:id="600"/>
    </w:p>
    <w:p w14:paraId="0BA3B4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4.4.1 联合体各方应共同与发包人签订合同协议书。联合体各方应为履行合同承担连带责任。</w:t>
      </w:r>
    </w:p>
    <w:p w14:paraId="63AD91D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4.4.2 </w:t>
      </w:r>
      <w:r>
        <w:rPr>
          <w:rFonts w:hint="default" w:ascii="Times New Roman" w:hAnsi="Times New Roman" w:cs="Times New Roman"/>
          <w:iCs/>
          <w:color w:val="auto"/>
          <w:sz w:val="24"/>
          <w:highlight w:val="none"/>
        </w:rPr>
        <w:t>联合体协议经发包人确认后作为合同附件。</w:t>
      </w:r>
      <w:r>
        <w:rPr>
          <w:rFonts w:hint="default" w:ascii="Times New Roman" w:hAnsi="Times New Roman" w:cs="Times New Roman"/>
          <w:color w:val="auto"/>
          <w:sz w:val="24"/>
          <w:highlight w:val="none"/>
        </w:rPr>
        <w:t>在履行合同过程中，未经发包人同意，不得修改联合体协议。</w:t>
      </w:r>
    </w:p>
    <w:p w14:paraId="4709DA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4.4.3 联合体牵头人负责与发包人和监理人联系，并接受指示，负责组织联合体各成员全面履行合同。</w:t>
      </w:r>
    </w:p>
    <w:p w14:paraId="1555858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1" w:name="_Toc234833000"/>
      <w:bookmarkStart w:id="602" w:name="_Toc29702"/>
      <w:bookmarkStart w:id="603" w:name="_Toc25555"/>
      <w:bookmarkStart w:id="604" w:name="_Toc30493"/>
      <w:bookmarkStart w:id="605" w:name="_Toc19688"/>
      <w:r>
        <w:rPr>
          <w:rFonts w:hint="default" w:ascii="Times New Roman" w:hAnsi="Times New Roman" w:eastAsia="黑体" w:cs="Times New Roman"/>
          <w:b w:val="0"/>
          <w:color w:val="auto"/>
          <w:sz w:val="24"/>
          <w:szCs w:val="24"/>
          <w:highlight w:val="none"/>
        </w:rPr>
        <w:t>4.5 承包人项目经理</w:t>
      </w:r>
      <w:bookmarkEnd w:id="601"/>
      <w:bookmarkEnd w:id="602"/>
      <w:bookmarkEnd w:id="603"/>
      <w:bookmarkEnd w:id="604"/>
      <w:bookmarkEnd w:id="605"/>
    </w:p>
    <w:p w14:paraId="2A878DF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45FED7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30D55D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4.5.3承包人为履行合同发出的一切函件均应盖有承包人授权的施工场地管理机构章，并由承包人项目经理或其授权代表签字。</w:t>
      </w:r>
    </w:p>
    <w:p w14:paraId="1F1E586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4.5.4 承包人项目经理可以授权其下属人员履行其某项职责，但事先应将这些人员的姓名和授权范围通知监理人。</w:t>
      </w:r>
    </w:p>
    <w:p w14:paraId="68168D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06" w:name="_Toc1378"/>
      <w:bookmarkStart w:id="607" w:name="_Toc23442"/>
      <w:bookmarkStart w:id="608" w:name="_Toc32486"/>
      <w:bookmarkStart w:id="609" w:name="_Toc234833001"/>
      <w:bookmarkStart w:id="610" w:name="_Toc30705"/>
      <w:r>
        <w:rPr>
          <w:rFonts w:hint="default" w:ascii="Times New Roman" w:hAnsi="Times New Roman" w:eastAsia="黑体" w:cs="Times New Roman"/>
          <w:b w:val="0"/>
          <w:color w:val="auto"/>
          <w:sz w:val="24"/>
          <w:szCs w:val="24"/>
          <w:highlight w:val="none"/>
        </w:rPr>
        <w:t>4.6 承包人人员的管理</w:t>
      </w:r>
      <w:bookmarkEnd w:id="606"/>
      <w:bookmarkEnd w:id="607"/>
      <w:bookmarkEnd w:id="608"/>
      <w:bookmarkEnd w:id="609"/>
      <w:bookmarkEnd w:id="610"/>
    </w:p>
    <w:p w14:paraId="525D86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E72982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4.6.2 为完成合同约定的各项工作，承包人应向施工场地派遣或雇佣足够数量的下列人员：</w:t>
      </w:r>
    </w:p>
    <w:p w14:paraId="2BFE1019">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（1）具有相应资格的专业技工和合格的普工；</w:t>
      </w:r>
    </w:p>
    <w:p w14:paraId="21D1942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（2）具有相应施工经验的技术人员；</w:t>
      </w:r>
    </w:p>
    <w:p w14:paraId="1F13151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（3）具有相应岗位资格的各级管理人员。</w:t>
      </w:r>
    </w:p>
    <w:p w14:paraId="0E4BB6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4.6.3 承包人安排在施工场地的主要管理人员和技术骨干应相对稳定。承包人更换主要管理人员和技术骨干时，应取得监理人的同意。</w:t>
      </w:r>
    </w:p>
    <w:p w14:paraId="1819CA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4.6.4 特殊岗位的工作人员均应持有相应的资格证明，监理人有权随时检查。监理人认为有必要时，可进行现场考核。</w:t>
      </w:r>
    </w:p>
    <w:p w14:paraId="7FFA3B5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1" w:name="_Toc29162"/>
      <w:bookmarkStart w:id="612" w:name="_Toc16860"/>
      <w:bookmarkStart w:id="613" w:name="_Toc19924"/>
      <w:bookmarkStart w:id="614" w:name="_Toc234833002"/>
      <w:bookmarkStart w:id="615" w:name="_Toc25941"/>
      <w:r>
        <w:rPr>
          <w:rFonts w:hint="default" w:ascii="Times New Roman" w:hAnsi="Times New Roman" w:eastAsia="黑体" w:cs="Times New Roman"/>
          <w:b w:val="0"/>
          <w:color w:val="auto"/>
          <w:sz w:val="24"/>
          <w:szCs w:val="24"/>
          <w:highlight w:val="none"/>
        </w:rPr>
        <w:t>4.7 撤换承包人项目经理和其他人员</w:t>
      </w:r>
      <w:bookmarkEnd w:id="611"/>
      <w:bookmarkEnd w:id="612"/>
      <w:bookmarkEnd w:id="613"/>
      <w:bookmarkEnd w:id="614"/>
      <w:bookmarkEnd w:id="615"/>
    </w:p>
    <w:p w14:paraId="6892B5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w:t>
      </w:r>
    </w:p>
    <w:p w14:paraId="539D5C7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16" w:name="_Toc2159"/>
      <w:bookmarkStart w:id="617" w:name="_Toc5844"/>
      <w:bookmarkStart w:id="618" w:name="_Toc234833003"/>
      <w:bookmarkStart w:id="619" w:name="_Toc9913"/>
      <w:bookmarkStart w:id="620" w:name="_Toc514"/>
      <w:r>
        <w:rPr>
          <w:rFonts w:hint="default" w:ascii="Times New Roman" w:hAnsi="Times New Roman" w:eastAsia="黑体" w:cs="Times New Roman"/>
          <w:b w:val="0"/>
          <w:color w:val="auto"/>
          <w:sz w:val="24"/>
          <w:szCs w:val="24"/>
          <w:highlight w:val="none"/>
        </w:rPr>
        <w:t>4.8 保障承包人人员的合法权益</w:t>
      </w:r>
      <w:bookmarkEnd w:id="616"/>
      <w:bookmarkEnd w:id="617"/>
      <w:bookmarkEnd w:id="618"/>
      <w:bookmarkEnd w:id="619"/>
      <w:bookmarkEnd w:id="620"/>
    </w:p>
    <w:p w14:paraId="2B67AB9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4.8.1 承包人应与其雇佣的人员签订劳动合同，并按时发放工资。</w:t>
      </w:r>
    </w:p>
    <w:p w14:paraId="1C9F9D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40F2F7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4.8.3 承包人应为其雇佣人员提供必要的食宿条件，以及符合环境保护和卫生要求的生活环境，在远离城镇的施工场地，还应配备必要的伤病防治和急救的医务人员与医疗设施。</w:t>
      </w:r>
    </w:p>
    <w:p w14:paraId="65101A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69E1FA1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4.8.5 承包人应按有关法律规定和合同约定，为其雇佣人员办理保险。</w:t>
      </w:r>
    </w:p>
    <w:p w14:paraId="36AC4F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4.8.6 承包人应负责处理其雇佣人员因工伤亡事故的善后事宜。</w:t>
      </w:r>
    </w:p>
    <w:p w14:paraId="2F89EB5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1" w:name="_Toc29044"/>
      <w:bookmarkStart w:id="622" w:name="_Toc1107"/>
      <w:bookmarkStart w:id="623" w:name="_Toc234833004"/>
      <w:bookmarkStart w:id="624" w:name="_Toc27171"/>
      <w:bookmarkStart w:id="625" w:name="_Toc5051"/>
      <w:r>
        <w:rPr>
          <w:rFonts w:hint="default" w:ascii="Times New Roman" w:hAnsi="Times New Roman" w:eastAsia="黑体" w:cs="Times New Roman"/>
          <w:b w:val="0"/>
          <w:color w:val="auto"/>
          <w:sz w:val="24"/>
          <w:szCs w:val="24"/>
          <w:highlight w:val="none"/>
        </w:rPr>
        <w:t>4.9 工程价款应专款专用</w:t>
      </w:r>
      <w:bookmarkEnd w:id="621"/>
      <w:bookmarkEnd w:id="622"/>
      <w:bookmarkEnd w:id="623"/>
      <w:bookmarkEnd w:id="624"/>
      <w:bookmarkEnd w:id="625"/>
    </w:p>
    <w:p w14:paraId="4AA3043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发包人按合同约定支付给承包人的各项价款应专用于合同工程。</w:t>
      </w:r>
    </w:p>
    <w:p w14:paraId="785917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26" w:name="_Toc28976"/>
      <w:bookmarkStart w:id="627" w:name="_Toc9152"/>
      <w:bookmarkStart w:id="628" w:name="_Toc25811"/>
      <w:bookmarkStart w:id="629" w:name="_Toc7089"/>
      <w:bookmarkStart w:id="630" w:name="_Toc234833005"/>
      <w:r>
        <w:rPr>
          <w:rFonts w:hint="default" w:ascii="Times New Roman" w:hAnsi="Times New Roman" w:eastAsia="黑体" w:cs="Times New Roman"/>
          <w:b w:val="0"/>
          <w:color w:val="auto"/>
          <w:sz w:val="24"/>
          <w:szCs w:val="24"/>
          <w:highlight w:val="none"/>
        </w:rPr>
        <w:t>4.10 承包人现场查勘</w:t>
      </w:r>
      <w:bookmarkEnd w:id="626"/>
      <w:bookmarkEnd w:id="627"/>
      <w:bookmarkEnd w:id="628"/>
      <w:bookmarkEnd w:id="629"/>
      <w:bookmarkEnd w:id="630"/>
      <w:r>
        <w:rPr>
          <w:rFonts w:hint="default" w:ascii="Times New Roman" w:hAnsi="Times New Roman" w:eastAsia="黑体" w:cs="Times New Roman"/>
          <w:b w:val="0"/>
          <w:color w:val="auto"/>
          <w:sz w:val="24"/>
          <w:szCs w:val="24"/>
          <w:highlight w:val="none"/>
        </w:rPr>
        <w:t xml:space="preserve">    </w:t>
      </w:r>
    </w:p>
    <w:p w14:paraId="0AA26E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4.10.1 发包人应将其持有的现场地质勘探资料、水文气象资料提供给承包人，并对其准确性负责。但承包人应对其阅读上述有关资料后所作出的解释和推断负责。</w:t>
      </w:r>
    </w:p>
    <w:p w14:paraId="568C85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739F96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31" w:name="_Toc17320"/>
      <w:bookmarkStart w:id="632" w:name="_Toc22483"/>
      <w:bookmarkStart w:id="633" w:name="_Toc234833006"/>
      <w:bookmarkStart w:id="634" w:name="_Toc9021"/>
      <w:bookmarkStart w:id="635" w:name="_Toc13491"/>
      <w:r>
        <w:rPr>
          <w:rFonts w:hint="default" w:ascii="Times New Roman" w:hAnsi="Times New Roman" w:eastAsia="黑体" w:cs="Times New Roman"/>
          <w:b w:val="0"/>
          <w:color w:val="auto"/>
          <w:sz w:val="24"/>
          <w:szCs w:val="24"/>
          <w:highlight w:val="none"/>
        </w:rPr>
        <w:t>4.11 不利物质条件</w:t>
      </w:r>
      <w:bookmarkEnd w:id="631"/>
      <w:bookmarkEnd w:id="632"/>
      <w:bookmarkEnd w:id="633"/>
      <w:bookmarkEnd w:id="634"/>
      <w:bookmarkEnd w:id="635"/>
    </w:p>
    <w:p w14:paraId="555EC2EA">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4.11.1不利物质条件，除专用合同条款另有约定外，是指承包人在施工场地遇到的不可预见的自然物质条件、非自然的物质障碍和污染物，包括地下和水文条件，但不包括气候条件。</w:t>
      </w:r>
    </w:p>
    <w:p w14:paraId="5D1EAFA9">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5427EF0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36" w:name="_Toc25496"/>
      <w:bookmarkStart w:id="637" w:name="_Toc4965"/>
      <w:bookmarkStart w:id="638" w:name="_Toc17106"/>
      <w:bookmarkStart w:id="639" w:name="_Toc234833007"/>
      <w:bookmarkStart w:id="640" w:name="_Toc2987"/>
      <w:r>
        <w:rPr>
          <w:rFonts w:hint="default" w:ascii="Times New Roman" w:hAnsi="Times New Roman" w:eastAsia="黑体" w:cs="Times New Roman"/>
          <w:b w:val="0"/>
          <w:color w:val="auto"/>
          <w:sz w:val="28"/>
          <w:szCs w:val="28"/>
          <w:highlight w:val="none"/>
        </w:rPr>
        <w:t>5. 材料和工程设备</w:t>
      </w:r>
      <w:bookmarkEnd w:id="636"/>
      <w:bookmarkEnd w:id="637"/>
      <w:bookmarkEnd w:id="638"/>
      <w:bookmarkEnd w:id="639"/>
      <w:bookmarkEnd w:id="640"/>
    </w:p>
    <w:p w14:paraId="2694970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1" w:name="_Toc4914"/>
      <w:bookmarkStart w:id="642" w:name="_Toc17077"/>
      <w:bookmarkStart w:id="643" w:name="_Toc234833008"/>
      <w:bookmarkStart w:id="644" w:name="_Toc20835"/>
      <w:bookmarkStart w:id="645" w:name="_Toc28474"/>
      <w:r>
        <w:rPr>
          <w:rFonts w:hint="default" w:ascii="Times New Roman" w:hAnsi="Times New Roman" w:eastAsia="黑体" w:cs="Times New Roman"/>
          <w:b w:val="0"/>
          <w:color w:val="auto"/>
          <w:sz w:val="24"/>
          <w:szCs w:val="24"/>
          <w:highlight w:val="none"/>
        </w:rPr>
        <w:t>5.1 承包人提供的材料和工程设备</w:t>
      </w:r>
      <w:bookmarkEnd w:id="641"/>
      <w:bookmarkEnd w:id="642"/>
      <w:bookmarkEnd w:id="643"/>
      <w:bookmarkEnd w:id="644"/>
      <w:bookmarkEnd w:id="645"/>
    </w:p>
    <w:p w14:paraId="120313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5.1.1 除专用合同条款另有约定外，承包人提供的材料和工程设备均由承包人负责采购、运输和保管。承包人应对其采购的材料和工程设备负责。</w:t>
      </w:r>
    </w:p>
    <w:p w14:paraId="141BC9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color w:val="auto"/>
          <w:sz w:val="24"/>
          <w:highlight w:val="none"/>
        </w:rPr>
        <w:t>人</w:t>
      </w:r>
      <w:r>
        <w:rPr>
          <w:rFonts w:hint="default" w:ascii="Times New Roman" w:hAnsi="Times New Roman" w:cs="Times New Roman"/>
          <w:color w:val="auto"/>
          <w:sz w:val="24"/>
          <w:highlight w:val="none"/>
        </w:rPr>
        <w:t>提交其负责提供的材料和工程设备的质量证明文件，并满足合同约定的质量标准。</w:t>
      </w:r>
    </w:p>
    <w:p w14:paraId="3E3EFB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C60718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46" w:name="_Toc1587"/>
      <w:bookmarkStart w:id="647" w:name="_Toc5584"/>
      <w:bookmarkStart w:id="648" w:name="_Toc234833009"/>
      <w:bookmarkStart w:id="649" w:name="_Toc17398"/>
      <w:bookmarkStart w:id="650" w:name="_Toc11854"/>
      <w:r>
        <w:rPr>
          <w:rFonts w:hint="default" w:ascii="Times New Roman" w:hAnsi="Times New Roman" w:eastAsia="黑体" w:cs="Times New Roman"/>
          <w:b w:val="0"/>
          <w:color w:val="auto"/>
          <w:sz w:val="24"/>
          <w:szCs w:val="24"/>
          <w:highlight w:val="none"/>
        </w:rPr>
        <w:t>5.2 发包人提供的材料和工程设备</w:t>
      </w:r>
      <w:bookmarkEnd w:id="646"/>
      <w:bookmarkEnd w:id="647"/>
      <w:bookmarkEnd w:id="648"/>
      <w:bookmarkEnd w:id="649"/>
      <w:bookmarkEnd w:id="650"/>
    </w:p>
    <w:p w14:paraId="13B79FE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发包人提供的材料和工程设备，应在专用合同条款中写明材料和工程设备的名称、规格、数量、价格、交货方式、交货地点和计划交货日期等。</w:t>
      </w:r>
    </w:p>
    <w:p w14:paraId="486429E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承包人应根据合同进度计划的安排，向监理人报送要求发包人交货的日期计划。发包人应按照监理人与合同双方当事人</w:t>
      </w:r>
      <w:r>
        <w:rPr>
          <w:rFonts w:hint="default" w:ascii="Times New Roman" w:hAnsi="Times New Roman" w:cs="Times New Roman"/>
          <w:iCs/>
          <w:color w:val="auto"/>
          <w:sz w:val="24"/>
          <w:highlight w:val="none"/>
        </w:rPr>
        <w:t>商定</w:t>
      </w:r>
      <w:r>
        <w:rPr>
          <w:rFonts w:hint="default" w:ascii="Times New Roman" w:hAnsi="Times New Roman" w:cs="Times New Roman"/>
          <w:color w:val="auto"/>
          <w:sz w:val="24"/>
          <w:highlight w:val="none"/>
        </w:rPr>
        <w:t>的交货日期，向承包人提交材料和工程设备。</w:t>
      </w:r>
    </w:p>
    <w:p w14:paraId="340670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29F363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5.2.4 发包人要求向承包人提前交货的，承包人不得拒绝，但发包人应承担承包人由此增加的费用。 </w:t>
      </w:r>
    </w:p>
    <w:p w14:paraId="02DA23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5.2.5 承包人要求更改交货日期或地点的，应事先报请监理人批准。由于承包人要求更改交货时间或地点所增加的费用和（或）工期延误由承包人承担。 </w:t>
      </w:r>
    </w:p>
    <w:p w14:paraId="66D968B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037959B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1" w:name="_Toc16074"/>
      <w:bookmarkStart w:id="652" w:name="_Toc23205"/>
      <w:bookmarkStart w:id="653" w:name="_Toc3308"/>
      <w:bookmarkStart w:id="654" w:name="_Toc234833010"/>
      <w:bookmarkStart w:id="655" w:name="_Toc32393"/>
      <w:r>
        <w:rPr>
          <w:rFonts w:hint="default" w:ascii="Times New Roman" w:hAnsi="Times New Roman" w:eastAsia="黑体" w:cs="Times New Roman"/>
          <w:b w:val="0"/>
          <w:color w:val="auto"/>
          <w:sz w:val="24"/>
          <w:szCs w:val="24"/>
          <w:highlight w:val="none"/>
        </w:rPr>
        <w:t>5.3 材料和工程设备专用于合同工程</w:t>
      </w:r>
      <w:bookmarkEnd w:id="651"/>
      <w:bookmarkEnd w:id="652"/>
      <w:bookmarkEnd w:id="653"/>
      <w:bookmarkEnd w:id="654"/>
      <w:bookmarkEnd w:id="655"/>
    </w:p>
    <w:p w14:paraId="3323F9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5.3.1运入施工场地的材料、工程设备，包括备品备件、安装专用工器具与随机资料，必须专用于合同工程，未经监理人同意，承包人不得运出施工场地或挪作他用。</w:t>
      </w:r>
    </w:p>
    <w:p w14:paraId="5D9337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13B9A91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56" w:name="_Toc30003"/>
      <w:bookmarkStart w:id="657" w:name="_Toc25420"/>
      <w:bookmarkStart w:id="658" w:name="_Toc5084"/>
      <w:bookmarkStart w:id="659" w:name="_Toc16251"/>
      <w:bookmarkStart w:id="660" w:name="_Toc234833011"/>
      <w:r>
        <w:rPr>
          <w:rFonts w:hint="default" w:ascii="Times New Roman" w:hAnsi="Times New Roman" w:eastAsia="黑体" w:cs="Times New Roman"/>
          <w:b w:val="0"/>
          <w:color w:val="auto"/>
          <w:sz w:val="24"/>
          <w:szCs w:val="24"/>
          <w:highlight w:val="none"/>
        </w:rPr>
        <w:t>5.4 禁止使用不合格的材料和工程设备</w:t>
      </w:r>
      <w:bookmarkEnd w:id="656"/>
      <w:bookmarkEnd w:id="657"/>
      <w:bookmarkEnd w:id="658"/>
      <w:bookmarkEnd w:id="659"/>
      <w:bookmarkEnd w:id="660"/>
      <w:r>
        <w:rPr>
          <w:rFonts w:hint="default" w:ascii="Times New Roman" w:hAnsi="Times New Roman" w:eastAsia="黑体" w:cs="Times New Roman"/>
          <w:b w:val="0"/>
          <w:color w:val="auto"/>
          <w:sz w:val="24"/>
          <w:szCs w:val="24"/>
          <w:highlight w:val="none"/>
        </w:rPr>
        <w:t xml:space="preserve"> </w:t>
      </w:r>
    </w:p>
    <w:p w14:paraId="2C100C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5.4.1 监理人有权拒绝承包人提供的不合格材料或工程设备，并要求承包人立即进行更换。监理人应在更换后再次进行检查和检验，由此增加的费用和（或）工期延误由承包人承担。</w:t>
      </w:r>
    </w:p>
    <w:p w14:paraId="6A7BBD6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5.4.2 监理人发现承包人使用了不合格的材料和工程设备，应即时发出指示要求承包人立即改正，并禁止在工程中继续使用不合格的材料和工程设备。</w:t>
      </w:r>
    </w:p>
    <w:p w14:paraId="1CD9C7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5.4.3 发包人提供的材料或工程设备不符合合同要求的，承包人有权拒绝，并可要求发包人更换，由此增加的费用和（或）工期延误由发包人承担。</w:t>
      </w:r>
    </w:p>
    <w:p w14:paraId="05B890C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61" w:name="_Toc19538"/>
      <w:bookmarkStart w:id="662" w:name="_Toc234833012"/>
      <w:bookmarkStart w:id="663" w:name="_Toc26517"/>
      <w:bookmarkStart w:id="664" w:name="_Toc17211"/>
      <w:bookmarkStart w:id="665" w:name="_Toc29185"/>
      <w:r>
        <w:rPr>
          <w:rFonts w:hint="default" w:ascii="Times New Roman" w:hAnsi="Times New Roman" w:eastAsia="黑体" w:cs="Times New Roman"/>
          <w:b w:val="0"/>
          <w:color w:val="auto"/>
          <w:sz w:val="28"/>
          <w:szCs w:val="28"/>
          <w:highlight w:val="none"/>
        </w:rPr>
        <w:t>6. 施工设备和临时设施</w:t>
      </w:r>
      <w:bookmarkEnd w:id="661"/>
      <w:bookmarkEnd w:id="662"/>
      <w:bookmarkEnd w:id="663"/>
      <w:bookmarkEnd w:id="664"/>
      <w:bookmarkEnd w:id="665"/>
      <w:r>
        <w:rPr>
          <w:rFonts w:hint="default" w:ascii="Times New Roman" w:hAnsi="Times New Roman" w:eastAsia="黑体" w:cs="Times New Roman"/>
          <w:b w:val="0"/>
          <w:color w:val="auto"/>
          <w:sz w:val="28"/>
          <w:szCs w:val="28"/>
          <w:highlight w:val="none"/>
        </w:rPr>
        <w:t xml:space="preserve"> </w:t>
      </w:r>
    </w:p>
    <w:p w14:paraId="76D7846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66" w:name="_Toc234833013"/>
      <w:bookmarkStart w:id="667" w:name="_Toc14244"/>
      <w:bookmarkStart w:id="668" w:name="_Toc11446"/>
      <w:bookmarkStart w:id="669" w:name="_Toc12035"/>
      <w:bookmarkStart w:id="670" w:name="_Toc4093"/>
      <w:r>
        <w:rPr>
          <w:rFonts w:hint="default" w:ascii="Times New Roman" w:hAnsi="Times New Roman" w:eastAsia="黑体" w:cs="Times New Roman"/>
          <w:b w:val="0"/>
          <w:color w:val="auto"/>
          <w:sz w:val="24"/>
          <w:szCs w:val="24"/>
          <w:highlight w:val="none"/>
        </w:rPr>
        <w:t>6.1 承包人提供的施工设备和临时设施</w:t>
      </w:r>
      <w:bookmarkEnd w:id="666"/>
      <w:bookmarkEnd w:id="667"/>
      <w:bookmarkEnd w:id="668"/>
      <w:bookmarkEnd w:id="669"/>
      <w:bookmarkEnd w:id="670"/>
    </w:p>
    <w:p w14:paraId="4B600E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18012A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6.1.2 除专用合同条款另有约定外，承包人应自行承担修建临时设施的费用，需要临时占地的，应由发包人办理申请手续并承担相应费用。</w:t>
      </w:r>
    </w:p>
    <w:p w14:paraId="5A1A860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1" w:name="_Toc30109"/>
      <w:bookmarkStart w:id="672" w:name="_Toc234833014"/>
      <w:bookmarkStart w:id="673" w:name="_Toc25302"/>
      <w:bookmarkStart w:id="674" w:name="_Toc31129"/>
      <w:bookmarkStart w:id="675" w:name="_Toc4812"/>
      <w:r>
        <w:rPr>
          <w:rFonts w:hint="default" w:ascii="Times New Roman" w:hAnsi="Times New Roman" w:eastAsia="黑体" w:cs="Times New Roman"/>
          <w:b w:val="0"/>
          <w:color w:val="auto"/>
          <w:sz w:val="24"/>
          <w:szCs w:val="24"/>
          <w:highlight w:val="none"/>
        </w:rPr>
        <w:t>6.2 发包人提供的施工设备和临时设施</w:t>
      </w:r>
      <w:bookmarkEnd w:id="671"/>
      <w:bookmarkEnd w:id="672"/>
      <w:bookmarkEnd w:id="673"/>
      <w:bookmarkEnd w:id="674"/>
      <w:bookmarkEnd w:id="675"/>
    </w:p>
    <w:p w14:paraId="245D0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发包人提供的施工设备或临时设施在专用合同条款中约定。</w:t>
      </w:r>
    </w:p>
    <w:p w14:paraId="7A0F7DF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76" w:name="_Toc26083"/>
      <w:bookmarkStart w:id="677" w:name="_Toc29190"/>
      <w:bookmarkStart w:id="678" w:name="_Toc234833015"/>
      <w:bookmarkStart w:id="679" w:name="_Toc7691"/>
      <w:bookmarkStart w:id="680" w:name="_Toc1669"/>
      <w:r>
        <w:rPr>
          <w:rFonts w:hint="default" w:ascii="Times New Roman" w:hAnsi="Times New Roman" w:eastAsia="黑体" w:cs="Times New Roman"/>
          <w:b w:val="0"/>
          <w:color w:val="auto"/>
          <w:sz w:val="24"/>
          <w:szCs w:val="24"/>
          <w:highlight w:val="none"/>
        </w:rPr>
        <w:t>6.3 要求承包人增加或更换施工设备</w:t>
      </w:r>
      <w:bookmarkEnd w:id="676"/>
      <w:bookmarkEnd w:id="677"/>
      <w:bookmarkEnd w:id="678"/>
      <w:bookmarkEnd w:id="679"/>
      <w:bookmarkEnd w:id="680"/>
    </w:p>
    <w:p w14:paraId="3174FC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57A89B0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81" w:name="_Toc13599"/>
      <w:bookmarkStart w:id="682" w:name="_Toc20359"/>
      <w:bookmarkStart w:id="683" w:name="_Toc18996"/>
      <w:bookmarkStart w:id="684" w:name="_Toc19683"/>
      <w:bookmarkStart w:id="685" w:name="_Toc234833016"/>
      <w:r>
        <w:rPr>
          <w:rFonts w:hint="default" w:ascii="Times New Roman" w:hAnsi="Times New Roman" w:eastAsia="黑体" w:cs="Times New Roman"/>
          <w:b w:val="0"/>
          <w:color w:val="auto"/>
          <w:sz w:val="24"/>
          <w:szCs w:val="24"/>
          <w:highlight w:val="none"/>
        </w:rPr>
        <w:t>6.4 施工设备和临时设施专用于合同工程</w:t>
      </w:r>
      <w:bookmarkEnd w:id="681"/>
      <w:bookmarkEnd w:id="682"/>
      <w:bookmarkEnd w:id="683"/>
      <w:bookmarkEnd w:id="684"/>
      <w:bookmarkEnd w:id="685"/>
    </w:p>
    <w:p w14:paraId="4AF4938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396BFB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6.4.2 经监理人同意，承包人可根据合同进度计划撤走闲置的施工设备。</w:t>
      </w:r>
    </w:p>
    <w:p w14:paraId="3460F8E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686" w:name="_Toc234833017"/>
      <w:bookmarkStart w:id="687" w:name="_Toc18503"/>
      <w:bookmarkStart w:id="688" w:name="_Toc7239"/>
      <w:bookmarkStart w:id="689" w:name="_Toc7342"/>
      <w:bookmarkStart w:id="690" w:name="_Toc16465"/>
      <w:r>
        <w:rPr>
          <w:rFonts w:hint="default" w:ascii="Times New Roman" w:hAnsi="Times New Roman" w:eastAsia="黑体" w:cs="Times New Roman"/>
          <w:b w:val="0"/>
          <w:color w:val="auto"/>
          <w:sz w:val="28"/>
          <w:szCs w:val="28"/>
          <w:highlight w:val="none"/>
        </w:rPr>
        <w:t>7. 交通运输</w:t>
      </w:r>
      <w:bookmarkEnd w:id="686"/>
      <w:bookmarkEnd w:id="687"/>
      <w:bookmarkEnd w:id="688"/>
      <w:bookmarkEnd w:id="689"/>
      <w:bookmarkEnd w:id="690"/>
      <w:r>
        <w:rPr>
          <w:rFonts w:hint="default" w:ascii="Times New Roman" w:hAnsi="Times New Roman" w:eastAsia="黑体" w:cs="Times New Roman"/>
          <w:b w:val="0"/>
          <w:color w:val="auto"/>
          <w:sz w:val="28"/>
          <w:szCs w:val="28"/>
          <w:highlight w:val="none"/>
        </w:rPr>
        <w:t xml:space="preserve"> </w:t>
      </w:r>
    </w:p>
    <w:p w14:paraId="6F5C8E5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1" w:name="_Toc16812"/>
      <w:bookmarkStart w:id="692" w:name="_Toc26715"/>
      <w:bookmarkStart w:id="693" w:name="_Toc6489"/>
      <w:bookmarkStart w:id="694" w:name="_Toc234833018"/>
      <w:bookmarkStart w:id="695" w:name="_Toc2798"/>
      <w:r>
        <w:rPr>
          <w:rFonts w:hint="default" w:ascii="Times New Roman" w:hAnsi="Times New Roman" w:eastAsia="黑体" w:cs="Times New Roman"/>
          <w:b w:val="0"/>
          <w:color w:val="auto"/>
          <w:sz w:val="24"/>
          <w:szCs w:val="24"/>
          <w:highlight w:val="none"/>
        </w:rPr>
        <w:t>7.1 道路通行权和场外设施</w:t>
      </w:r>
      <w:bookmarkEnd w:id="691"/>
      <w:bookmarkEnd w:id="692"/>
      <w:bookmarkEnd w:id="693"/>
      <w:bookmarkEnd w:id="694"/>
      <w:bookmarkEnd w:id="695"/>
    </w:p>
    <w:p w14:paraId="42C8A552">
      <w:pPr>
        <w:pageBreakBefore w:val="0"/>
        <w:kinsoku/>
        <w:wordWrap w:val="0"/>
        <w:bidi w:val="0"/>
        <w:spacing w:line="400" w:lineRule="atLeast"/>
        <w:ind w:firstLine="420"/>
        <w:rPr>
          <w:rFonts w:hint="default" w:ascii="Times New Roman" w:hAnsi="Times New Roman" w:cs="Times New Roman"/>
          <w:i/>
          <w:color w:val="auto"/>
          <w:sz w:val="24"/>
          <w:highlight w:val="none"/>
        </w:rPr>
      </w:pPr>
      <w:r>
        <w:rPr>
          <w:rFonts w:hint="default" w:ascii="Times New Roman" w:hAnsi="Times New Roman" w:cs="Times New Roman"/>
          <w:color w:val="auto"/>
          <w:sz w:val="24"/>
          <w:highlight w:val="none"/>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8E8B0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696" w:name="_Toc9049"/>
      <w:bookmarkStart w:id="697" w:name="_Toc234833019"/>
      <w:bookmarkStart w:id="698" w:name="_Toc9296"/>
      <w:bookmarkStart w:id="699" w:name="_Toc9056"/>
      <w:bookmarkStart w:id="700" w:name="_Toc18679"/>
      <w:r>
        <w:rPr>
          <w:rFonts w:hint="default" w:ascii="Times New Roman" w:hAnsi="Times New Roman" w:eastAsia="黑体" w:cs="Times New Roman"/>
          <w:b w:val="0"/>
          <w:color w:val="auto"/>
          <w:sz w:val="24"/>
          <w:szCs w:val="24"/>
          <w:highlight w:val="none"/>
        </w:rPr>
        <w:t>7.2 场内施工道路</w:t>
      </w:r>
      <w:bookmarkEnd w:id="696"/>
      <w:bookmarkEnd w:id="697"/>
      <w:bookmarkEnd w:id="698"/>
      <w:bookmarkEnd w:id="699"/>
      <w:bookmarkEnd w:id="700"/>
    </w:p>
    <w:p w14:paraId="51C43E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7.2.1 除专用合同条款另有约定外，承包人应负责修建、维修、养护和管理施工所需的临时道路和交通设施，包括维修、养护和管理发包人提供的道路和交通设施，并承担相应费用。</w:t>
      </w:r>
    </w:p>
    <w:p w14:paraId="460C43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7.2.2 除专用合同条款另有约定外，承包人修建的临时道路和交通设施应免费提供发包人和监理人使用。</w:t>
      </w:r>
    </w:p>
    <w:p w14:paraId="5AB8FD3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1" w:name="_Toc16389"/>
      <w:bookmarkStart w:id="702" w:name="_Toc234833020"/>
      <w:bookmarkStart w:id="703" w:name="_Toc19305"/>
      <w:bookmarkStart w:id="704" w:name="_Toc21208"/>
      <w:bookmarkStart w:id="705" w:name="_Toc31425"/>
      <w:r>
        <w:rPr>
          <w:rFonts w:hint="default" w:ascii="Times New Roman" w:hAnsi="Times New Roman" w:eastAsia="黑体" w:cs="Times New Roman"/>
          <w:b w:val="0"/>
          <w:color w:val="auto"/>
          <w:sz w:val="24"/>
          <w:szCs w:val="24"/>
          <w:highlight w:val="none"/>
        </w:rPr>
        <w:t>7.3 场外交通</w:t>
      </w:r>
      <w:bookmarkEnd w:id="701"/>
      <w:bookmarkEnd w:id="702"/>
      <w:bookmarkEnd w:id="703"/>
      <w:bookmarkEnd w:id="704"/>
      <w:bookmarkEnd w:id="705"/>
    </w:p>
    <w:p w14:paraId="15559C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7.3.1 承包人车辆外出行驶所需的场外公共道路的通行费、养路费和税款等由承包人承担。</w:t>
      </w:r>
    </w:p>
    <w:p w14:paraId="4E0210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7.3.2 承包人应遵守有关交通法规，严格按照道路和桥梁的限制荷重安全行驶，并服从交通管理部门的检查和监督。</w:t>
      </w:r>
    </w:p>
    <w:p w14:paraId="259277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06" w:name="_Toc3057"/>
      <w:bookmarkStart w:id="707" w:name="_Toc29695"/>
      <w:bookmarkStart w:id="708" w:name="_Toc234833021"/>
      <w:bookmarkStart w:id="709" w:name="_Toc15125"/>
      <w:bookmarkStart w:id="710" w:name="_Toc16025"/>
      <w:r>
        <w:rPr>
          <w:rFonts w:hint="default" w:ascii="Times New Roman" w:hAnsi="Times New Roman" w:eastAsia="黑体" w:cs="Times New Roman"/>
          <w:b w:val="0"/>
          <w:color w:val="auto"/>
          <w:sz w:val="24"/>
          <w:szCs w:val="24"/>
          <w:highlight w:val="none"/>
        </w:rPr>
        <w:t>7.4 超大件和超重件的运输</w:t>
      </w:r>
      <w:bookmarkEnd w:id="706"/>
      <w:bookmarkEnd w:id="707"/>
      <w:bookmarkEnd w:id="708"/>
      <w:bookmarkEnd w:id="709"/>
      <w:bookmarkEnd w:id="710"/>
    </w:p>
    <w:p w14:paraId="0A709C8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FAA6870">
      <w:pPr>
        <w:pageBreakBefore w:val="0"/>
        <w:kinsoku/>
        <w:wordWrap w:val="0"/>
        <w:bidi w:val="0"/>
        <w:spacing w:line="400" w:lineRule="atLeast"/>
        <w:rPr>
          <w:rFonts w:hint="default" w:ascii="Times New Roman" w:hAnsi="Times New Roman" w:cs="Times New Roman"/>
          <w:color w:val="auto"/>
          <w:sz w:val="24"/>
          <w:highlight w:val="none"/>
        </w:rPr>
      </w:pPr>
    </w:p>
    <w:p w14:paraId="32245C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1" w:name="_Toc340"/>
      <w:bookmarkStart w:id="712" w:name="_Toc234833022"/>
      <w:bookmarkStart w:id="713" w:name="_Toc30531"/>
      <w:bookmarkStart w:id="714" w:name="_Toc5290"/>
      <w:bookmarkStart w:id="715" w:name="_Toc9627"/>
      <w:r>
        <w:rPr>
          <w:rFonts w:hint="default" w:ascii="Times New Roman" w:hAnsi="Times New Roman" w:eastAsia="黑体" w:cs="Times New Roman"/>
          <w:b w:val="0"/>
          <w:color w:val="auto"/>
          <w:sz w:val="24"/>
          <w:szCs w:val="24"/>
          <w:highlight w:val="none"/>
        </w:rPr>
        <w:t>7.5 道路和桥梁的损坏责任</w:t>
      </w:r>
      <w:bookmarkEnd w:id="711"/>
      <w:bookmarkEnd w:id="712"/>
      <w:bookmarkEnd w:id="713"/>
      <w:bookmarkEnd w:id="714"/>
      <w:bookmarkEnd w:id="715"/>
    </w:p>
    <w:p w14:paraId="3978CDF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因承包人运输造成施工场地内外公共道路和桥梁损坏的，由承包人承担修复损坏的全部费用和可能引起的赔偿。</w:t>
      </w:r>
    </w:p>
    <w:p w14:paraId="35F2D1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16" w:name="_Toc23109"/>
      <w:bookmarkStart w:id="717" w:name="_Toc25193"/>
      <w:bookmarkStart w:id="718" w:name="_Toc234833023"/>
      <w:bookmarkStart w:id="719" w:name="_Toc9650"/>
      <w:bookmarkStart w:id="720" w:name="_Toc30141"/>
      <w:r>
        <w:rPr>
          <w:rFonts w:hint="default" w:ascii="Times New Roman" w:hAnsi="Times New Roman" w:eastAsia="黑体" w:cs="Times New Roman"/>
          <w:b w:val="0"/>
          <w:color w:val="auto"/>
          <w:sz w:val="24"/>
          <w:szCs w:val="24"/>
          <w:highlight w:val="none"/>
        </w:rPr>
        <w:t>7.6 水路和航空运输</w:t>
      </w:r>
      <w:bookmarkEnd w:id="716"/>
      <w:bookmarkEnd w:id="717"/>
      <w:bookmarkEnd w:id="718"/>
      <w:bookmarkEnd w:id="719"/>
      <w:bookmarkEnd w:id="720"/>
    </w:p>
    <w:p w14:paraId="39E4E0D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本条上述各款的内容适用于水路运输和航空运输，其中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道路</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一词的涵义包括河道、航线、船闸、机场、码头、堤防以及水路或航空运输中其他相似结构物；</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车辆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一词的涵义包括船舶和飞机等。 </w:t>
      </w:r>
    </w:p>
    <w:p w14:paraId="1047FB5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21" w:name="_Toc4669"/>
      <w:bookmarkStart w:id="722" w:name="_Toc24534"/>
      <w:bookmarkStart w:id="723" w:name="_Toc20896"/>
      <w:bookmarkStart w:id="724" w:name="_Toc234833024"/>
      <w:bookmarkStart w:id="725" w:name="_Toc19372"/>
      <w:r>
        <w:rPr>
          <w:rFonts w:hint="default" w:ascii="Times New Roman" w:hAnsi="Times New Roman" w:eastAsia="黑体" w:cs="Times New Roman"/>
          <w:b w:val="0"/>
          <w:color w:val="auto"/>
          <w:sz w:val="28"/>
          <w:szCs w:val="28"/>
          <w:highlight w:val="none"/>
        </w:rPr>
        <w:t>8. 测量放线</w:t>
      </w:r>
      <w:bookmarkEnd w:id="721"/>
      <w:bookmarkEnd w:id="722"/>
      <w:bookmarkEnd w:id="723"/>
      <w:bookmarkEnd w:id="724"/>
      <w:bookmarkEnd w:id="725"/>
    </w:p>
    <w:p w14:paraId="4A8BF6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26" w:name="_Toc709"/>
      <w:bookmarkStart w:id="727" w:name="_Toc10567"/>
      <w:bookmarkStart w:id="728" w:name="_Toc234833025"/>
      <w:bookmarkStart w:id="729" w:name="_Toc22172"/>
      <w:bookmarkStart w:id="730" w:name="_Toc9189"/>
      <w:r>
        <w:rPr>
          <w:rFonts w:hint="default" w:ascii="Times New Roman" w:hAnsi="Times New Roman" w:eastAsia="黑体" w:cs="Times New Roman"/>
          <w:b w:val="0"/>
          <w:color w:val="auto"/>
          <w:sz w:val="24"/>
          <w:szCs w:val="24"/>
          <w:highlight w:val="none"/>
        </w:rPr>
        <w:t>8.1 施工控制网</w:t>
      </w:r>
      <w:bookmarkEnd w:id="726"/>
      <w:bookmarkEnd w:id="727"/>
      <w:bookmarkEnd w:id="728"/>
      <w:bookmarkEnd w:id="729"/>
      <w:bookmarkEnd w:id="730"/>
    </w:p>
    <w:p w14:paraId="1BE5AE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65BD8E4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8.1.2承包人应负责管理施工控制网点。施工控制网点丢失或损坏的，承包人应及时修复。承包人应承担施工控制网点的管理与修复费用，并在工程竣工后将施工控制网点移交发包人。</w:t>
      </w:r>
    </w:p>
    <w:p w14:paraId="336BB64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1" w:name="_Toc234833026"/>
      <w:bookmarkStart w:id="732" w:name="_Toc25309"/>
      <w:bookmarkStart w:id="733" w:name="_Toc23418"/>
      <w:bookmarkStart w:id="734" w:name="_Toc4204"/>
      <w:bookmarkStart w:id="735" w:name="_Toc17769"/>
      <w:r>
        <w:rPr>
          <w:rFonts w:hint="default" w:ascii="Times New Roman" w:hAnsi="Times New Roman" w:eastAsia="黑体" w:cs="Times New Roman"/>
          <w:b w:val="0"/>
          <w:color w:val="auto"/>
          <w:sz w:val="24"/>
          <w:szCs w:val="24"/>
          <w:highlight w:val="none"/>
        </w:rPr>
        <w:t>8.2 施工测量</w:t>
      </w:r>
      <w:bookmarkEnd w:id="731"/>
      <w:bookmarkEnd w:id="732"/>
      <w:bookmarkEnd w:id="733"/>
      <w:bookmarkEnd w:id="734"/>
      <w:bookmarkEnd w:id="735"/>
    </w:p>
    <w:p w14:paraId="2ECB024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8.2.1承包人应负责施工过程中的全部施工测量放线工作，并配置合格的人员、仪器、设备和其他物品。</w:t>
      </w:r>
    </w:p>
    <w:p w14:paraId="5354215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8.2.2监理人可以指示承包人进行抽样复测，当复测中发现错误或出现超过合同约定的误差时，承包人应按监理人指示进行修正或补测，并承担相应的复测费用。</w:t>
      </w:r>
    </w:p>
    <w:p w14:paraId="0F5CD1F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36" w:name="_Toc26654"/>
      <w:bookmarkStart w:id="737" w:name="_Toc27621"/>
      <w:bookmarkStart w:id="738" w:name="_Toc30617"/>
      <w:bookmarkStart w:id="739" w:name="_Toc234833027"/>
      <w:bookmarkStart w:id="740" w:name="_Toc10297"/>
      <w:r>
        <w:rPr>
          <w:rFonts w:hint="default" w:ascii="Times New Roman" w:hAnsi="Times New Roman" w:eastAsia="黑体" w:cs="Times New Roman"/>
          <w:b w:val="0"/>
          <w:color w:val="auto"/>
          <w:sz w:val="24"/>
          <w:szCs w:val="24"/>
          <w:highlight w:val="none"/>
        </w:rPr>
        <w:t>8.3 基准资料错误的责任</w:t>
      </w:r>
      <w:bookmarkEnd w:id="736"/>
      <w:bookmarkEnd w:id="737"/>
      <w:bookmarkEnd w:id="738"/>
      <w:bookmarkEnd w:id="739"/>
      <w:bookmarkEnd w:id="740"/>
    </w:p>
    <w:p w14:paraId="6954389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94E1F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41" w:name="_Toc15727"/>
      <w:bookmarkStart w:id="742" w:name="_Toc1487"/>
      <w:bookmarkStart w:id="743" w:name="_Toc234833028"/>
      <w:bookmarkStart w:id="744" w:name="_Toc31976"/>
      <w:bookmarkStart w:id="745" w:name="_Toc21794"/>
      <w:r>
        <w:rPr>
          <w:rFonts w:hint="default" w:ascii="Times New Roman" w:hAnsi="Times New Roman" w:eastAsia="黑体" w:cs="Times New Roman"/>
          <w:b w:val="0"/>
          <w:color w:val="auto"/>
          <w:sz w:val="24"/>
          <w:szCs w:val="24"/>
          <w:highlight w:val="none"/>
        </w:rPr>
        <w:t>8.4 监理人使用施工控制网</w:t>
      </w:r>
      <w:bookmarkEnd w:id="741"/>
      <w:bookmarkEnd w:id="742"/>
      <w:bookmarkEnd w:id="743"/>
      <w:bookmarkEnd w:id="744"/>
      <w:bookmarkEnd w:id="745"/>
    </w:p>
    <w:p w14:paraId="182405F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监理人需要使用施工控制网的，承包人应提供必要的协助，发包人不再为此支付费用。</w:t>
      </w:r>
    </w:p>
    <w:p w14:paraId="2748BE8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46" w:name="_Toc3624"/>
      <w:bookmarkStart w:id="747" w:name="_Toc19364"/>
      <w:bookmarkStart w:id="748" w:name="_Toc24858"/>
      <w:bookmarkStart w:id="749" w:name="_Toc1730"/>
      <w:bookmarkStart w:id="750" w:name="_Toc234833029"/>
      <w:r>
        <w:rPr>
          <w:rFonts w:hint="default" w:ascii="Times New Roman" w:hAnsi="Times New Roman" w:eastAsia="黑体" w:cs="Times New Roman"/>
          <w:b w:val="0"/>
          <w:color w:val="auto"/>
          <w:sz w:val="28"/>
          <w:szCs w:val="28"/>
          <w:highlight w:val="none"/>
        </w:rPr>
        <w:t>9. 施工安全、治安保卫和环境保护</w:t>
      </w:r>
      <w:bookmarkEnd w:id="746"/>
      <w:bookmarkEnd w:id="747"/>
      <w:bookmarkEnd w:id="748"/>
      <w:bookmarkEnd w:id="749"/>
      <w:bookmarkEnd w:id="750"/>
    </w:p>
    <w:p w14:paraId="417DB60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51" w:name="_Toc20223"/>
      <w:bookmarkStart w:id="752" w:name="_Toc3769"/>
      <w:bookmarkStart w:id="753" w:name="_Toc8674"/>
      <w:bookmarkStart w:id="754" w:name="_Toc5314"/>
      <w:bookmarkStart w:id="755" w:name="_Toc234833030"/>
      <w:r>
        <w:rPr>
          <w:rFonts w:hint="default" w:ascii="Times New Roman" w:hAnsi="Times New Roman" w:eastAsia="黑体" w:cs="Times New Roman"/>
          <w:b w:val="0"/>
          <w:color w:val="auto"/>
          <w:sz w:val="24"/>
          <w:szCs w:val="24"/>
          <w:highlight w:val="none"/>
        </w:rPr>
        <w:t>9.1 发包人的施工安全责任</w:t>
      </w:r>
      <w:bookmarkEnd w:id="751"/>
      <w:bookmarkEnd w:id="752"/>
      <w:bookmarkEnd w:id="753"/>
      <w:bookmarkEnd w:id="754"/>
      <w:bookmarkEnd w:id="755"/>
    </w:p>
    <w:p w14:paraId="00DD29E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9.1.1发包人应按合同约定履行安全职责，授权监理人按合同约定的安全工作内容监督、检查承包人安全工作的实施，组织承包人和有关单位进行安全检查。</w:t>
      </w:r>
    </w:p>
    <w:p w14:paraId="42D9B4B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9.1.2发包人应对其现场机构雇佣的全部人员的工伤事故承担责任，但由于承包人原因造成发包人人员工伤的，应由承包人承担责任。</w:t>
      </w:r>
    </w:p>
    <w:p w14:paraId="1C5D6EB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9.1.3发包人应负责赔偿以下各种情况造成的第三者人身伤亡和财产损失：</w:t>
      </w:r>
    </w:p>
    <w:p w14:paraId="5DBFCB4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（1）工程或工程的任何部分对土地的占用所造成的第三者财产损失；</w:t>
      </w:r>
    </w:p>
    <w:p w14:paraId="60EDF15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（2）由于发包人原因在施工场地及其毗邻地带造成的第三者人身伤亡和财产损失。</w:t>
      </w:r>
    </w:p>
    <w:p w14:paraId="263CEF1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56" w:name="_Toc3730"/>
      <w:bookmarkStart w:id="757" w:name="_Toc16709"/>
      <w:bookmarkStart w:id="758" w:name="_Toc26218"/>
      <w:bookmarkStart w:id="759" w:name="_Toc234833031"/>
      <w:bookmarkStart w:id="760" w:name="_Toc16523"/>
      <w:r>
        <w:rPr>
          <w:rFonts w:hint="default" w:ascii="Times New Roman" w:hAnsi="Times New Roman" w:eastAsia="黑体" w:cs="Times New Roman"/>
          <w:b w:val="0"/>
          <w:color w:val="auto"/>
          <w:sz w:val="24"/>
          <w:szCs w:val="24"/>
          <w:highlight w:val="none"/>
        </w:rPr>
        <w:t>9.2 承包人的施工安全责任</w:t>
      </w:r>
      <w:bookmarkEnd w:id="756"/>
      <w:bookmarkEnd w:id="757"/>
      <w:bookmarkEnd w:id="758"/>
      <w:bookmarkEnd w:id="759"/>
      <w:bookmarkEnd w:id="760"/>
    </w:p>
    <w:p w14:paraId="229DA9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 承包人应按合同约定履行安全职责,执行监理人有关安全工作的指示,并在专用合同条款约定的期限内，按合同约定的安全工作内容，编制施工安全措施计划报送监理人审批。</w:t>
      </w:r>
    </w:p>
    <w:p w14:paraId="606DE2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9.2.2 承包人应加强施工作业安全管理，特别应加强易燃、易爆材料、火工器材、有毒与腐蚀性材料和其他危险品的管理，以及对爆破作业和地下工程施工等危险作业的管理。</w:t>
      </w:r>
    </w:p>
    <w:p w14:paraId="6C1016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9.2.3 承包人应严格按照国家安全标准制定施工安全操作规程，配备必要的安全生产和劳动保护设施，加强对承包人人员的安全教育，并发放安全工作手册和劳动保护用具。</w:t>
      </w:r>
    </w:p>
    <w:p w14:paraId="3C27EF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9.2.4 承包人应按监理人的指示制定应对灾害的紧急预案，报送监理人审批。承包人还应按预案做好安全检查，配置必要的救助物资和器材，切实保护好有关人员的人身和财产安全。</w:t>
      </w:r>
    </w:p>
    <w:p w14:paraId="1F5A1E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3E35AA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9.2.6 承包人应对其履行合同所雇佣的全部人员，包括分包人人员的工伤事故承担责任，但由于发包人原因造成承包人人员工伤事故的，应由发包人承担责任。</w:t>
      </w:r>
    </w:p>
    <w:p w14:paraId="64549F4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9.2.7 由于承包人原因在施工场地内及其毗邻地带造成的第三者人员伤亡和财产损失，由承包人负责赔偿。</w:t>
      </w:r>
    </w:p>
    <w:p w14:paraId="235F075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1" w:name="_Toc234833032"/>
      <w:bookmarkStart w:id="762" w:name="_Toc27835"/>
      <w:bookmarkStart w:id="763" w:name="_Toc21586"/>
      <w:bookmarkStart w:id="764" w:name="_Toc24377"/>
      <w:bookmarkStart w:id="765" w:name="_Toc31111"/>
      <w:r>
        <w:rPr>
          <w:rFonts w:hint="default" w:ascii="Times New Roman" w:hAnsi="Times New Roman" w:eastAsia="黑体" w:cs="Times New Roman"/>
          <w:b w:val="0"/>
          <w:color w:val="auto"/>
          <w:sz w:val="24"/>
          <w:szCs w:val="24"/>
          <w:highlight w:val="none"/>
        </w:rPr>
        <w:t>9.3 治安保卫</w:t>
      </w:r>
      <w:bookmarkEnd w:id="761"/>
      <w:bookmarkEnd w:id="762"/>
      <w:bookmarkEnd w:id="763"/>
      <w:bookmarkEnd w:id="764"/>
      <w:bookmarkEnd w:id="765"/>
    </w:p>
    <w:p w14:paraId="619A70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9.3.1 除合同另有约定外，发包人应与当地公安部门协商，在现场建立治安管理机构或联防组织，统一管理施工场地的治安保卫事项，履行合同工程的治安保卫职责。</w:t>
      </w:r>
    </w:p>
    <w:p w14:paraId="4C93F6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9.3.2 发包人和承包人除应协助现场治安管理机构或联防组织维护施工场地的社会治安外，还应做好包括生活区在内的各自管辖区的治安保卫工作。</w:t>
      </w:r>
    </w:p>
    <w:p w14:paraId="184153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1C1CE46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66" w:name="_Toc234833033"/>
      <w:bookmarkStart w:id="767" w:name="_Toc30300"/>
      <w:bookmarkStart w:id="768" w:name="_Toc30186"/>
      <w:bookmarkStart w:id="769" w:name="_Toc269"/>
      <w:bookmarkStart w:id="770" w:name="_Toc16001"/>
      <w:r>
        <w:rPr>
          <w:rFonts w:hint="default" w:ascii="Times New Roman" w:hAnsi="Times New Roman" w:eastAsia="黑体" w:cs="Times New Roman"/>
          <w:b w:val="0"/>
          <w:color w:val="auto"/>
          <w:sz w:val="24"/>
          <w:szCs w:val="24"/>
          <w:highlight w:val="none"/>
        </w:rPr>
        <w:t>9.4 环境保护</w:t>
      </w:r>
      <w:bookmarkEnd w:id="766"/>
      <w:bookmarkEnd w:id="767"/>
      <w:bookmarkEnd w:id="768"/>
      <w:bookmarkEnd w:id="769"/>
      <w:bookmarkEnd w:id="770"/>
    </w:p>
    <w:p w14:paraId="545C87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 承包人在施工过程中，应遵守有关环境保护的法律，履行合同约定的环境保护义务，并对违反法律和合同约定义务所造成的环境破坏、人身伤害和财产损失负责。</w:t>
      </w:r>
    </w:p>
    <w:p w14:paraId="146FCF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9.4.2 承包人应按合同约定的环保工作内容，编制施工环保措施计划，报送监理人审批。</w:t>
      </w:r>
    </w:p>
    <w:p w14:paraId="76377A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3E9BE2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9.4.4 承包人应按合同约定采取有效措施，对施工开挖的边坡及时进行支护,维护排水设施，并进行水土保护，避免因施工造成的地质灾害。</w:t>
      </w:r>
    </w:p>
    <w:p w14:paraId="062E26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9.4.5 承包人应按国家饮用水管理标准定期对饮用水源进行监测，防止施工活动污染饮用水源。</w:t>
      </w:r>
    </w:p>
    <w:p w14:paraId="29271A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9.4.6 承包人应按合同约定，加强对噪声、粉尘、废气、废水和废油的控制，努力降低噪声，控制粉尘和废气浓度，做好废水和废油的治理和排放。</w:t>
      </w:r>
    </w:p>
    <w:p w14:paraId="7BBF9C3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71" w:name="_Toc26780"/>
      <w:bookmarkStart w:id="772" w:name="_Toc234833034"/>
      <w:bookmarkStart w:id="773" w:name="_Toc17129"/>
      <w:bookmarkStart w:id="774" w:name="_Toc5457"/>
      <w:bookmarkStart w:id="775" w:name="_Toc25938"/>
      <w:r>
        <w:rPr>
          <w:rFonts w:hint="default" w:ascii="Times New Roman" w:hAnsi="Times New Roman" w:eastAsia="黑体" w:cs="Times New Roman"/>
          <w:b w:val="0"/>
          <w:color w:val="auto"/>
          <w:sz w:val="24"/>
          <w:szCs w:val="24"/>
          <w:highlight w:val="none"/>
        </w:rPr>
        <w:t>9.5 事故处理</w:t>
      </w:r>
      <w:bookmarkEnd w:id="771"/>
      <w:bookmarkEnd w:id="772"/>
      <w:bookmarkEnd w:id="773"/>
      <w:bookmarkEnd w:id="774"/>
      <w:bookmarkEnd w:id="775"/>
    </w:p>
    <w:p w14:paraId="1FF503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8B5042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76" w:name="_Toc32151"/>
      <w:bookmarkStart w:id="777" w:name="_Toc234833035"/>
      <w:bookmarkStart w:id="778" w:name="_Toc12198"/>
      <w:bookmarkStart w:id="779" w:name="_Toc12821"/>
      <w:bookmarkStart w:id="780" w:name="_Toc30729"/>
      <w:r>
        <w:rPr>
          <w:rFonts w:hint="default" w:ascii="Times New Roman" w:hAnsi="Times New Roman" w:eastAsia="黑体" w:cs="Times New Roman"/>
          <w:b w:val="0"/>
          <w:color w:val="auto"/>
          <w:sz w:val="28"/>
          <w:szCs w:val="28"/>
          <w:highlight w:val="none"/>
        </w:rPr>
        <w:t>10. 进度计划</w:t>
      </w:r>
      <w:bookmarkEnd w:id="776"/>
      <w:bookmarkEnd w:id="777"/>
      <w:bookmarkEnd w:id="778"/>
      <w:bookmarkEnd w:id="779"/>
      <w:bookmarkEnd w:id="780"/>
    </w:p>
    <w:p w14:paraId="6EDB38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1" w:name="_Toc6712"/>
      <w:bookmarkStart w:id="782" w:name="_Toc9432"/>
      <w:bookmarkStart w:id="783" w:name="_Toc17150"/>
      <w:bookmarkStart w:id="784" w:name="_Toc24434"/>
      <w:bookmarkStart w:id="785" w:name="_Toc234833036"/>
      <w:r>
        <w:rPr>
          <w:rFonts w:hint="default" w:ascii="Times New Roman" w:hAnsi="Times New Roman" w:eastAsia="黑体" w:cs="Times New Roman"/>
          <w:b w:val="0"/>
          <w:color w:val="auto"/>
          <w:sz w:val="24"/>
          <w:szCs w:val="24"/>
          <w:highlight w:val="none"/>
        </w:rPr>
        <w:t>10.1 合同进度计划</w:t>
      </w:r>
      <w:bookmarkEnd w:id="781"/>
      <w:bookmarkEnd w:id="782"/>
      <w:bookmarkEnd w:id="783"/>
      <w:bookmarkEnd w:id="784"/>
      <w:bookmarkEnd w:id="785"/>
    </w:p>
    <w:p w14:paraId="70FF88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4242638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86" w:name="_Toc23622"/>
      <w:bookmarkStart w:id="787" w:name="_Toc234833037"/>
      <w:bookmarkStart w:id="788" w:name="_Toc15025"/>
      <w:bookmarkStart w:id="789" w:name="_Toc1091"/>
      <w:bookmarkStart w:id="790" w:name="_Toc21458"/>
      <w:r>
        <w:rPr>
          <w:rFonts w:hint="default" w:ascii="Times New Roman" w:hAnsi="Times New Roman" w:eastAsia="黑体" w:cs="Times New Roman"/>
          <w:b w:val="0"/>
          <w:color w:val="auto"/>
          <w:sz w:val="24"/>
          <w:szCs w:val="24"/>
          <w:highlight w:val="none"/>
        </w:rPr>
        <w:t>10.2 合同进度计划的修订</w:t>
      </w:r>
      <w:bookmarkEnd w:id="786"/>
      <w:bookmarkEnd w:id="787"/>
      <w:bookmarkEnd w:id="788"/>
      <w:bookmarkEnd w:id="789"/>
      <w:bookmarkEnd w:id="790"/>
    </w:p>
    <w:p w14:paraId="717C7D5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233704B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791" w:name="_Toc234833038"/>
      <w:bookmarkStart w:id="792" w:name="_Toc30089"/>
      <w:bookmarkStart w:id="793" w:name="_Toc1558"/>
      <w:bookmarkStart w:id="794" w:name="_Toc31278"/>
      <w:bookmarkStart w:id="795" w:name="_Toc15582"/>
      <w:r>
        <w:rPr>
          <w:rFonts w:hint="default" w:ascii="Times New Roman" w:hAnsi="Times New Roman" w:eastAsia="黑体" w:cs="Times New Roman"/>
          <w:b w:val="0"/>
          <w:color w:val="auto"/>
          <w:sz w:val="28"/>
          <w:szCs w:val="28"/>
          <w:highlight w:val="none"/>
        </w:rPr>
        <w:t>11. 开工和竣工</w:t>
      </w:r>
      <w:bookmarkEnd w:id="791"/>
      <w:bookmarkEnd w:id="792"/>
      <w:bookmarkEnd w:id="793"/>
      <w:bookmarkEnd w:id="794"/>
      <w:bookmarkEnd w:id="795"/>
    </w:p>
    <w:p w14:paraId="4AC0B3A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796" w:name="_Toc196"/>
      <w:bookmarkStart w:id="797" w:name="_Toc12994"/>
      <w:bookmarkStart w:id="798" w:name="_Toc20810"/>
      <w:bookmarkStart w:id="799" w:name="_Toc234833039"/>
      <w:bookmarkStart w:id="800" w:name="_Toc19831"/>
      <w:r>
        <w:rPr>
          <w:rFonts w:hint="default" w:ascii="Times New Roman" w:hAnsi="Times New Roman" w:eastAsia="黑体" w:cs="Times New Roman"/>
          <w:b w:val="0"/>
          <w:color w:val="auto"/>
          <w:sz w:val="24"/>
          <w:szCs w:val="24"/>
          <w:highlight w:val="none"/>
        </w:rPr>
        <w:t>11.1 开工</w:t>
      </w:r>
      <w:bookmarkEnd w:id="796"/>
      <w:bookmarkEnd w:id="797"/>
      <w:bookmarkEnd w:id="798"/>
      <w:bookmarkEnd w:id="799"/>
      <w:bookmarkEnd w:id="800"/>
    </w:p>
    <w:p w14:paraId="2D335B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14:paraId="2D8947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6E5A9B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1" w:name="_Toc10996"/>
      <w:bookmarkStart w:id="802" w:name="_Toc9084"/>
      <w:bookmarkStart w:id="803" w:name="_Toc21663"/>
      <w:bookmarkStart w:id="804" w:name="_Toc830"/>
      <w:bookmarkStart w:id="805" w:name="_Toc234833040"/>
      <w:r>
        <w:rPr>
          <w:rFonts w:hint="default" w:ascii="Times New Roman" w:hAnsi="Times New Roman" w:eastAsia="黑体" w:cs="Times New Roman"/>
          <w:b w:val="0"/>
          <w:color w:val="auto"/>
          <w:sz w:val="24"/>
          <w:szCs w:val="24"/>
          <w:highlight w:val="none"/>
        </w:rPr>
        <w:t>11.2竣工</w:t>
      </w:r>
      <w:bookmarkEnd w:id="801"/>
      <w:bookmarkEnd w:id="802"/>
      <w:bookmarkEnd w:id="803"/>
      <w:bookmarkEnd w:id="804"/>
      <w:bookmarkEnd w:id="805"/>
    </w:p>
    <w:p w14:paraId="669933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承包人应在第1.1.4.3目约定的期限内完成合同工程。实际竣工日期在接收证书中写明。</w:t>
      </w:r>
    </w:p>
    <w:p w14:paraId="55C9B2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06" w:name="_Toc18689"/>
      <w:bookmarkStart w:id="807" w:name="_Toc27035"/>
      <w:bookmarkStart w:id="808" w:name="_Toc234833041"/>
      <w:bookmarkStart w:id="809" w:name="_Toc27799"/>
      <w:bookmarkStart w:id="810" w:name="_Toc7100"/>
      <w:r>
        <w:rPr>
          <w:rFonts w:hint="default" w:ascii="Times New Roman" w:hAnsi="Times New Roman" w:eastAsia="黑体" w:cs="Times New Roman"/>
          <w:b w:val="0"/>
          <w:color w:val="auto"/>
          <w:sz w:val="24"/>
          <w:szCs w:val="24"/>
          <w:highlight w:val="none"/>
        </w:rPr>
        <w:t>11.3 发包人的工期延误</w:t>
      </w:r>
      <w:bookmarkEnd w:id="806"/>
      <w:bookmarkEnd w:id="807"/>
      <w:bookmarkEnd w:id="808"/>
      <w:bookmarkEnd w:id="809"/>
      <w:bookmarkEnd w:id="810"/>
    </w:p>
    <w:p w14:paraId="1B238D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在履行合同过程中，由于发包人的下列原因造成工期延误的，承包人有权要求发包人延长工期和（或）增加费用，并支付合理利润。需要修订合同进度计划的，按照第10.2款的约定办理。</w:t>
      </w:r>
    </w:p>
    <w:p w14:paraId="5D19ED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（1）增加合同工作内容;</w:t>
      </w:r>
    </w:p>
    <w:p w14:paraId="1C67A1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（2）改变合同中任何一项工作的质量要求或其他特性；</w:t>
      </w:r>
    </w:p>
    <w:p w14:paraId="7A0608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（3）发包人迟延提供材料、工程设备或变更交货地点的；</w:t>
      </w:r>
    </w:p>
    <w:p w14:paraId="7E63DD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（4）因发包人原因导致的暂停施工；</w:t>
      </w:r>
    </w:p>
    <w:p w14:paraId="252938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（5）提供图纸延误；</w:t>
      </w:r>
    </w:p>
    <w:p w14:paraId="455992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（6）未按合同约定及时支付预付款、进度款；</w:t>
      </w:r>
    </w:p>
    <w:p w14:paraId="184EF8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（7）发包人造成工期延误的其他原因。</w:t>
      </w:r>
    </w:p>
    <w:p w14:paraId="18FE62D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1" w:name="_Toc31357"/>
      <w:bookmarkStart w:id="812" w:name="_Toc22343"/>
      <w:bookmarkStart w:id="813" w:name="_Toc21589"/>
      <w:bookmarkStart w:id="814" w:name="_Toc234833042"/>
      <w:bookmarkStart w:id="815" w:name="_Toc10516"/>
      <w:r>
        <w:rPr>
          <w:rFonts w:hint="default" w:ascii="Times New Roman" w:hAnsi="Times New Roman" w:eastAsia="黑体" w:cs="Times New Roman"/>
          <w:b w:val="0"/>
          <w:color w:val="auto"/>
          <w:sz w:val="24"/>
          <w:szCs w:val="24"/>
          <w:highlight w:val="none"/>
        </w:rPr>
        <w:t>11.4异常恶劣的气候条件</w:t>
      </w:r>
      <w:bookmarkEnd w:id="811"/>
      <w:bookmarkEnd w:id="812"/>
      <w:bookmarkEnd w:id="813"/>
      <w:bookmarkEnd w:id="814"/>
      <w:bookmarkEnd w:id="815"/>
    </w:p>
    <w:p w14:paraId="3CC8741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由于出现专用合同条款约定的异常恶劣气候的条件导致工期延误的，承包人有权要求发包人延长工期。</w:t>
      </w:r>
    </w:p>
    <w:p w14:paraId="6ADF96D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16" w:name="_Toc29531"/>
      <w:bookmarkStart w:id="817" w:name="_Toc23628"/>
      <w:bookmarkStart w:id="818" w:name="_Toc234833043"/>
      <w:bookmarkStart w:id="819" w:name="_Toc27127"/>
      <w:bookmarkStart w:id="820" w:name="_Toc21931"/>
      <w:r>
        <w:rPr>
          <w:rFonts w:hint="default" w:ascii="Times New Roman" w:hAnsi="Times New Roman" w:eastAsia="黑体" w:cs="Times New Roman"/>
          <w:b w:val="0"/>
          <w:color w:val="auto"/>
          <w:sz w:val="24"/>
          <w:szCs w:val="24"/>
          <w:highlight w:val="none"/>
        </w:rPr>
        <w:t>11.5 承包人的工期延误</w:t>
      </w:r>
      <w:bookmarkEnd w:id="816"/>
      <w:bookmarkEnd w:id="817"/>
      <w:bookmarkEnd w:id="818"/>
      <w:bookmarkEnd w:id="819"/>
      <w:bookmarkEnd w:id="820"/>
    </w:p>
    <w:p w14:paraId="2D7232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56982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21" w:name="_Toc18576"/>
      <w:bookmarkStart w:id="822" w:name="_Toc16451"/>
      <w:bookmarkStart w:id="823" w:name="_Toc234833044"/>
      <w:bookmarkStart w:id="824" w:name="_Toc25703"/>
      <w:bookmarkStart w:id="825" w:name="_Toc4477"/>
      <w:r>
        <w:rPr>
          <w:rFonts w:hint="default" w:ascii="Times New Roman" w:hAnsi="Times New Roman" w:eastAsia="黑体" w:cs="Times New Roman"/>
          <w:b w:val="0"/>
          <w:color w:val="auto"/>
          <w:sz w:val="24"/>
          <w:szCs w:val="24"/>
          <w:highlight w:val="none"/>
        </w:rPr>
        <w:t>11.6 工期提前</w:t>
      </w:r>
      <w:bookmarkEnd w:id="821"/>
      <w:bookmarkEnd w:id="822"/>
      <w:bookmarkEnd w:id="823"/>
      <w:bookmarkEnd w:id="824"/>
      <w:bookmarkEnd w:id="825"/>
    </w:p>
    <w:p w14:paraId="7865CB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0775BA8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26" w:name="_Toc6904"/>
      <w:bookmarkStart w:id="827" w:name="_Toc234833045"/>
      <w:bookmarkStart w:id="828" w:name="_Toc29212"/>
      <w:bookmarkStart w:id="829" w:name="_Toc23679"/>
      <w:bookmarkStart w:id="830" w:name="_Toc17617"/>
      <w:r>
        <w:rPr>
          <w:rFonts w:hint="default" w:ascii="Times New Roman" w:hAnsi="Times New Roman" w:eastAsia="黑体" w:cs="Times New Roman"/>
          <w:b w:val="0"/>
          <w:color w:val="auto"/>
          <w:sz w:val="28"/>
          <w:szCs w:val="28"/>
          <w:highlight w:val="none"/>
        </w:rPr>
        <w:t>12. 暂停施工</w:t>
      </w:r>
      <w:bookmarkEnd w:id="826"/>
      <w:bookmarkEnd w:id="827"/>
      <w:bookmarkEnd w:id="828"/>
      <w:bookmarkEnd w:id="829"/>
      <w:bookmarkEnd w:id="830"/>
    </w:p>
    <w:p w14:paraId="3B254CC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1" w:name="_Toc234833046"/>
      <w:bookmarkStart w:id="832" w:name="_Toc8685"/>
      <w:bookmarkStart w:id="833" w:name="_Toc4704"/>
      <w:bookmarkStart w:id="834" w:name="_Toc27"/>
      <w:bookmarkStart w:id="835" w:name="_Toc18760"/>
      <w:r>
        <w:rPr>
          <w:rFonts w:hint="default" w:ascii="Times New Roman" w:hAnsi="Times New Roman" w:eastAsia="黑体" w:cs="Times New Roman"/>
          <w:b w:val="0"/>
          <w:color w:val="auto"/>
          <w:sz w:val="24"/>
          <w:szCs w:val="24"/>
          <w:highlight w:val="none"/>
        </w:rPr>
        <w:t>12.1 承包人暂停施工的责任</w:t>
      </w:r>
      <w:bookmarkEnd w:id="831"/>
      <w:bookmarkEnd w:id="832"/>
      <w:bookmarkEnd w:id="833"/>
      <w:bookmarkEnd w:id="834"/>
      <w:bookmarkEnd w:id="835"/>
    </w:p>
    <w:p w14:paraId="6D9E7C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因下列暂停施工增加的费用和（或）工期延误由承包人承担：</w:t>
      </w:r>
    </w:p>
    <w:p w14:paraId="37796B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（1）承包人违约引起的暂停施工；</w:t>
      </w:r>
    </w:p>
    <w:p w14:paraId="251865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（2）由于承包人原因为工程合理施工和安全保障所必需的暂停施工；</w:t>
      </w:r>
    </w:p>
    <w:p w14:paraId="39AB77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（3）承包人擅自暂停施工；</w:t>
      </w:r>
    </w:p>
    <w:p w14:paraId="1AD3CE0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（4）承包人其他原因引起的暂停施工；</w:t>
      </w:r>
    </w:p>
    <w:p w14:paraId="3C6A85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（5）专用合同条款约定由承包人承担的其他暂停施工。</w:t>
      </w:r>
    </w:p>
    <w:p w14:paraId="4FA1AAD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36" w:name="_Toc18857"/>
      <w:bookmarkStart w:id="837" w:name="_Toc23726"/>
      <w:bookmarkStart w:id="838" w:name="_Toc20625"/>
      <w:bookmarkStart w:id="839" w:name="_Toc29989"/>
      <w:bookmarkStart w:id="840" w:name="_Toc234833047"/>
      <w:r>
        <w:rPr>
          <w:rFonts w:hint="default" w:ascii="Times New Roman" w:hAnsi="Times New Roman" w:eastAsia="黑体" w:cs="Times New Roman"/>
          <w:b w:val="0"/>
          <w:color w:val="auto"/>
          <w:sz w:val="24"/>
          <w:szCs w:val="24"/>
          <w:highlight w:val="none"/>
        </w:rPr>
        <w:t>12.2 发包人暂停施工的责任</w:t>
      </w:r>
      <w:bookmarkEnd w:id="836"/>
      <w:bookmarkEnd w:id="837"/>
      <w:bookmarkEnd w:id="838"/>
      <w:bookmarkEnd w:id="839"/>
      <w:bookmarkEnd w:id="840"/>
    </w:p>
    <w:p w14:paraId="5E7D27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由于发包人原因引起的暂停施工造成工期延误的，承包人有权要求发包人延长工期和（或）增加费用，并支付合理利润。</w:t>
      </w:r>
    </w:p>
    <w:p w14:paraId="5489B2B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1" w:name="_Toc234833048"/>
      <w:bookmarkStart w:id="842" w:name="_Toc4773"/>
      <w:bookmarkStart w:id="843" w:name="_Toc18672"/>
      <w:bookmarkStart w:id="844" w:name="_Toc3772"/>
      <w:bookmarkStart w:id="845" w:name="_Toc15395"/>
      <w:r>
        <w:rPr>
          <w:rFonts w:hint="default" w:ascii="Times New Roman" w:hAnsi="Times New Roman" w:eastAsia="黑体" w:cs="Times New Roman"/>
          <w:b w:val="0"/>
          <w:color w:val="auto"/>
          <w:sz w:val="24"/>
          <w:szCs w:val="24"/>
          <w:highlight w:val="none"/>
        </w:rPr>
        <w:t>12.3 监理人暂停施工指示</w:t>
      </w:r>
      <w:bookmarkEnd w:id="841"/>
      <w:bookmarkEnd w:id="842"/>
      <w:bookmarkEnd w:id="843"/>
      <w:bookmarkEnd w:id="844"/>
      <w:bookmarkEnd w:id="845"/>
    </w:p>
    <w:p w14:paraId="299708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27087C3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2F818E5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46" w:name="_Toc11081"/>
      <w:bookmarkStart w:id="847" w:name="_Toc16137"/>
      <w:bookmarkStart w:id="848" w:name="_Toc9838"/>
      <w:bookmarkStart w:id="849" w:name="_Toc1869"/>
      <w:bookmarkStart w:id="850" w:name="_Toc234833049"/>
      <w:r>
        <w:rPr>
          <w:rFonts w:hint="default" w:ascii="Times New Roman" w:hAnsi="Times New Roman" w:eastAsia="黑体" w:cs="Times New Roman"/>
          <w:b w:val="0"/>
          <w:color w:val="auto"/>
          <w:sz w:val="24"/>
          <w:szCs w:val="24"/>
          <w:highlight w:val="none"/>
        </w:rPr>
        <w:t>12.4 暂停施工后的复工</w:t>
      </w:r>
      <w:bookmarkEnd w:id="846"/>
      <w:bookmarkEnd w:id="847"/>
      <w:bookmarkEnd w:id="848"/>
      <w:bookmarkEnd w:id="849"/>
      <w:bookmarkEnd w:id="850"/>
    </w:p>
    <w:p w14:paraId="7650E2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78E8EF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12.4.2承包人无故拖延和拒绝复工的，由此增加的费用和工期延误由承包人承担；因发包人原因无法按时复工的，承包人有权要求发包人延长工期和（或）增加费用，并支付合理利润。</w:t>
      </w:r>
    </w:p>
    <w:p w14:paraId="4E83983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51" w:name="_Toc12999"/>
      <w:bookmarkStart w:id="852" w:name="_Toc23504"/>
      <w:bookmarkStart w:id="853" w:name="_Toc4186"/>
      <w:bookmarkStart w:id="854" w:name="_Toc11816"/>
      <w:bookmarkStart w:id="855" w:name="_Toc234833050"/>
      <w:r>
        <w:rPr>
          <w:rFonts w:hint="default" w:ascii="Times New Roman" w:hAnsi="Times New Roman" w:eastAsia="黑体" w:cs="Times New Roman"/>
          <w:b w:val="0"/>
          <w:color w:val="auto"/>
          <w:sz w:val="24"/>
          <w:szCs w:val="24"/>
          <w:highlight w:val="none"/>
        </w:rPr>
        <w:t>12.5 暂停施工持续56天以上</w:t>
      </w:r>
      <w:bookmarkEnd w:id="851"/>
      <w:bookmarkEnd w:id="852"/>
      <w:bookmarkEnd w:id="853"/>
      <w:bookmarkEnd w:id="854"/>
      <w:bookmarkEnd w:id="855"/>
    </w:p>
    <w:p w14:paraId="6265A8A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52A54E2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12.5.2由于承包人责任引起的暂停施工，如承包人在收到监理人暂停施工指示后56天内不认真采取有效的复工措施，造成工期延误，可视为承包人违约，应按第22.1款的约定办理。</w:t>
      </w:r>
    </w:p>
    <w:p w14:paraId="67DC23D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56" w:name="_Toc234833051"/>
      <w:bookmarkStart w:id="857" w:name="_Toc7813"/>
      <w:bookmarkStart w:id="858" w:name="_Toc38"/>
      <w:bookmarkStart w:id="859" w:name="_Toc32763"/>
      <w:bookmarkStart w:id="860" w:name="_Toc11532"/>
      <w:r>
        <w:rPr>
          <w:rFonts w:hint="default" w:ascii="Times New Roman" w:hAnsi="Times New Roman" w:eastAsia="黑体" w:cs="Times New Roman"/>
          <w:b w:val="0"/>
          <w:color w:val="auto"/>
          <w:sz w:val="28"/>
          <w:szCs w:val="28"/>
          <w:highlight w:val="none"/>
        </w:rPr>
        <w:t>13. 工程质量</w:t>
      </w:r>
      <w:bookmarkEnd w:id="856"/>
      <w:bookmarkEnd w:id="857"/>
      <w:bookmarkEnd w:id="858"/>
      <w:bookmarkEnd w:id="859"/>
      <w:bookmarkEnd w:id="860"/>
    </w:p>
    <w:p w14:paraId="046958F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1" w:name="_Toc9602"/>
      <w:bookmarkStart w:id="862" w:name="_Toc9818"/>
      <w:bookmarkStart w:id="863" w:name="_Toc25776"/>
      <w:bookmarkStart w:id="864" w:name="_Toc5217"/>
      <w:bookmarkStart w:id="865" w:name="_Toc234833052"/>
      <w:r>
        <w:rPr>
          <w:rFonts w:hint="default" w:ascii="Times New Roman" w:hAnsi="Times New Roman" w:eastAsia="黑体" w:cs="Times New Roman"/>
          <w:b w:val="0"/>
          <w:color w:val="auto"/>
          <w:sz w:val="24"/>
          <w:szCs w:val="24"/>
          <w:highlight w:val="none"/>
        </w:rPr>
        <w:t>13.1 工程质量要求</w:t>
      </w:r>
      <w:bookmarkEnd w:id="861"/>
      <w:bookmarkEnd w:id="862"/>
      <w:bookmarkEnd w:id="863"/>
      <w:bookmarkEnd w:id="864"/>
      <w:bookmarkEnd w:id="865"/>
    </w:p>
    <w:p w14:paraId="50DC21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13.1.1 工程质量验收按合同约定验收标准执行。</w:t>
      </w:r>
    </w:p>
    <w:p w14:paraId="320961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13.1.2 因承包人原因造成工程质量达不到合同约定验收标准的，监理人有权要求承包人返工直至符合合同要求为止，由此造成的费用增加和（或）工期延误由承包人承担。</w:t>
      </w:r>
    </w:p>
    <w:p w14:paraId="3091E75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13.1.3 因发包人原因造成工程质量达不到合同约定验收标准的，发包人应承担由于承包人返工造成的费用增加和（或）工期延误，并支付承包人合理利润。</w:t>
      </w:r>
    </w:p>
    <w:p w14:paraId="4C5E20F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66" w:name="_Toc32691"/>
      <w:bookmarkStart w:id="867" w:name="_Toc20391"/>
      <w:bookmarkStart w:id="868" w:name="_Toc14900"/>
      <w:bookmarkStart w:id="869" w:name="_Toc1504"/>
      <w:bookmarkStart w:id="870" w:name="_Toc234833053"/>
      <w:r>
        <w:rPr>
          <w:rFonts w:hint="default" w:ascii="Times New Roman" w:hAnsi="Times New Roman" w:eastAsia="黑体" w:cs="Times New Roman"/>
          <w:b w:val="0"/>
          <w:color w:val="auto"/>
          <w:sz w:val="24"/>
          <w:szCs w:val="24"/>
          <w:highlight w:val="none"/>
        </w:rPr>
        <w:t>13.2 承包人的质量管理</w:t>
      </w:r>
      <w:bookmarkEnd w:id="866"/>
      <w:bookmarkEnd w:id="867"/>
      <w:bookmarkEnd w:id="868"/>
      <w:bookmarkEnd w:id="869"/>
      <w:bookmarkEnd w:id="870"/>
    </w:p>
    <w:p w14:paraId="0E9203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369D6C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13.2.2 承包人应加强对施工人员的质量教育和技术培训，定期考核施工人员的劳动技能，严格执行规范和操作规程。</w:t>
      </w:r>
    </w:p>
    <w:p w14:paraId="1BD7D85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1" w:name="_Toc9790"/>
      <w:bookmarkStart w:id="872" w:name="_Toc18930"/>
      <w:bookmarkStart w:id="873" w:name="_Toc23276"/>
      <w:bookmarkStart w:id="874" w:name="_Toc234833054"/>
      <w:bookmarkStart w:id="875" w:name="_Toc630"/>
      <w:r>
        <w:rPr>
          <w:rFonts w:hint="default" w:ascii="Times New Roman" w:hAnsi="Times New Roman" w:eastAsia="黑体" w:cs="Times New Roman"/>
          <w:b w:val="0"/>
          <w:color w:val="auto"/>
          <w:sz w:val="24"/>
          <w:szCs w:val="24"/>
          <w:highlight w:val="none"/>
        </w:rPr>
        <w:t>13.3 承包人的质量检查</w:t>
      </w:r>
      <w:bookmarkEnd w:id="871"/>
      <w:bookmarkEnd w:id="872"/>
      <w:bookmarkEnd w:id="873"/>
      <w:bookmarkEnd w:id="874"/>
      <w:bookmarkEnd w:id="875"/>
    </w:p>
    <w:p w14:paraId="368DADD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承包人应按合同约定对材料、工程设备以及工程的所有部位及其施工工艺进行全过程的质量检查和检验，并作详细记录，编制工程质量报表，报送监理人审查。</w:t>
      </w:r>
    </w:p>
    <w:p w14:paraId="23041F1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76" w:name="_Toc23210"/>
      <w:bookmarkStart w:id="877" w:name="_Toc29172"/>
      <w:bookmarkStart w:id="878" w:name="_Toc14050"/>
      <w:bookmarkStart w:id="879" w:name="_Toc30195"/>
      <w:bookmarkStart w:id="880" w:name="_Toc234833055"/>
      <w:r>
        <w:rPr>
          <w:rFonts w:hint="default" w:ascii="Times New Roman" w:hAnsi="Times New Roman" w:eastAsia="黑体" w:cs="Times New Roman"/>
          <w:b w:val="0"/>
          <w:color w:val="auto"/>
          <w:sz w:val="24"/>
          <w:szCs w:val="24"/>
          <w:highlight w:val="none"/>
        </w:rPr>
        <w:t>13.4 监理人的质量检查</w:t>
      </w:r>
      <w:bookmarkEnd w:id="876"/>
      <w:bookmarkEnd w:id="877"/>
      <w:bookmarkEnd w:id="878"/>
      <w:bookmarkEnd w:id="879"/>
      <w:bookmarkEnd w:id="880"/>
    </w:p>
    <w:p w14:paraId="2C7A85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24002E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1" w:name="_Toc25084"/>
      <w:bookmarkStart w:id="882" w:name="_Toc17119"/>
      <w:bookmarkStart w:id="883" w:name="_Toc21706"/>
      <w:bookmarkStart w:id="884" w:name="_Toc17194"/>
      <w:bookmarkStart w:id="885" w:name="_Toc234833056"/>
      <w:r>
        <w:rPr>
          <w:rFonts w:hint="default" w:ascii="Times New Roman" w:hAnsi="Times New Roman" w:eastAsia="黑体" w:cs="Times New Roman"/>
          <w:b w:val="0"/>
          <w:color w:val="auto"/>
          <w:sz w:val="24"/>
          <w:szCs w:val="24"/>
          <w:highlight w:val="none"/>
        </w:rPr>
        <w:t>13.5 工程隐蔽部位覆盖前的检查</w:t>
      </w:r>
      <w:bookmarkEnd w:id="881"/>
      <w:bookmarkEnd w:id="882"/>
      <w:bookmarkEnd w:id="883"/>
      <w:bookmarkEnd w:id="884"/>
      <w:bookmarkEnd w:id="885"/>
    </w:p>
    <w:p w14:paraId="2987CF3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13.5.1 </w:t>
      </w:r>
      <w:r>
        <w:rPr>
          <w:rFonts w:hint="default" w:ascii="Times New Roman" w:hAnsi="Times New Roman" w:eastAsia="黑体" w:cs="Times New Roman"/>
          <w:color w:val="auto"/>
          <w:sz w:val="24"/>
          <w:highlight w:val="none"/>
        </w:rPr>
        <w:t xml:space="preserve">通知监理人检查 </w:t>
      </w:r>
    </w:p>
    <w:p w14:paraId="6FBCBC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729771F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13.5.2</w:t>
      </w:r>
      <w:r>
        <w:rPr>
          <w:rFonts w:hint="default" w:ascii="Times New Roman" w:hAnsi="Times New Roman" w:eastAsia="黑体" w:cs="Times New Roman"/>
          <w:color w:val="auto"/>
          <w:sz w:val="24"/>
          <w:highlight w:val="none"/>
        </w:rPr>
        <w:t xml:space="preserve"> 监理人未到场检查</w:t>
      </w:r>
    </w:p>
    <w:p w14:paraId="4C7F07E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675D978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13.5.3</w:t>
      </w:r>
      <w:r>
        <w:rPr>
          <w:rFonts w:hint="default" w:ascii="Times New Roman" w:hAnsi="Times New Roman" w:eastAsia="黑体" w:cs="Times New Roman"/>
          <w:color w:val="auto"/>
          <w:sz w:val="24"/>
          <w:highlight w:val="none"/>
        </w:rPr>
        <w:t xml:space="preserve"> 监理人重新检查</w:t>
      </w:r>
    </w:p>
    <w:p w14:paraId="3C76028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88B2462">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13.5.4 </w:t>
      </w:r>
      <w:r>
        <w:rPr>
          <w:rFonts w:hint="default" w:ascii="Times New Roman" w:hAnsi="Times New Roman" w:eastAsia="黑体" w:cs="Times New Roman"/>
          <w:color w:val="auto"/>
          <w:sz w:val="24"/>
          <w:highlight w:val="none"/>
        </w:rPr>
        <w:t>承包人私自覆盖</w:t>
      </w:r>
    </w:p>
    <w:p w14:paraId="0FAEC38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承包人未通知监理人到场检查，私自将工程隐蔽部位覆盖的，监理人有权指示承包人钻孔探测或揭开检查，由此增加的费用和（或）工期延误由承包人承担。</w:t>
      </w:r>
    </w:p>
    <w:p w14:paraId="7E1154D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86" w:name="_Toc11615"/>
      <w:bookmarkStart w:id="887" w:name="_Toc30792"/>
      <w:bookmarkStart w:id="888" w:name="_Toc29205"/>
      <w:bookmarkStart w:id="889" w:name="_Toc234833057"/>
      <w:bookmarkStart w:id="890" w:name="_Toc27575"/>
      <w:r>
        <w:rPr>
          <w:rFonts w:hint="default" w:ascii="Times New Roman" w:hAnsi="Times New Roman" w:eastAsia="黑体" w:cs="Times New Roman"/>
          <w:b w:val="0"/>
          <w:color w:val="auto"/>
          <w:sz w:val="24"/>
          <w:szCs w:val="24"/>
          <w:highlight w:val="none"/>
        </w:rPr>
        <w:t>13.6 清除不合格工程</w:t>
      </w:r>
      <w:bookmarkEnd w:id="886"/>
      <w:bookmarkEnd w:id="887"/>
      <w:bookmarkEnd w:id="888"/>
      <w:bookmarkEnd w:id="889"/>
      <w:bookmarkEnd w:id="890"/>
    </w:p>
    <w:p w14:paraId="78DC7E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9D489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13.6.2由于发包人提供的材料或工程设备不合格造成的工程不合格，需要承包人采取措施补救的，发包人应承担由此增加的费用和（或）工期延误，并支付承包人合理利润。</w:t>
      </w:r>
    </w:p>
    <w:p w14:paraId="30D743D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891" w:name="_Toc234833058"/>
      <w:bookmarkStart w:id="892" w:name="_Toc7865"/>
      <w:bookmarkStart w:id="893" w:name="_Toc26772"/>
      <w:bookmarkStart w:id="894" w:name="_Toc16816"/>
      <w:bookmarkStart w:id="895" w:name="_Toc17780"/>
      <w:r>
        <w:rPr>
          <w:rFonts w:hint="default" w:ascii="Times New Roman" w:hAnsi="Times New Roman" w:eastAsia="黑体" w:cs="Times New Roman"/>
          <w:b w:val="0"/>
          <w:color w:val="auto"/>
          <w:sz w:val="28"/>
          <w:szCs w:val="28"/>
          <w:highlight w:val="none"/>
        </w:rPr>
        <w:t>14. 试验和检验</w:t>
      </w:r>
      <w:bookmarkEnd w:id="891"/>
      <w:bookmarkEnd w:id="892"/>
      <w:bookmarkEnd w:id="893"/>
      <w:bookmarkEnd w:id="894"/>
      <w:bookmarkEnd w:id="895"/>
    </w:p>
    <w:p w14:paraId="079BEB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896" w:name="_Toc23212"/>
      <w:bookmarkStart w:id="897" w:name="_Toc19299"/>
      <w:bookmarkStart w:id="898" w:name="_Toc234833059"/>
      <w:bookmarkStart w:id="899" w:name="_Toc19607"/>
      <w:bookmarkStart w:id="900" w:name="_Toc7572"/>
      <w:r>
        <w:rPr>
          <w:rFonts w:hint="default" w:ascii="Times New Roman" w:hAnsi="Times New Roman" w:eastAsia="黑体" w:cs="Times New Roman"/>
          <w:b w:val="0"/>
          <w:color w:val="auto"/>
          <w:sz w:val="24"/>
          <w:szCs w:val="24"/>
          <w:highlight w:val="none"/>
        </w:rPr>
        <w:t>14.1 材料、工程设备和工程的试验和检验</w:t>
      </w:r>
      <w:bookmarkEnd w:id="896"/>
      <w:bookmarkEnd w:id="897"/>
      <w:bookmarkEnd w:id="898"/>
      <w:bookmarkEnd w:id="899"/>
      <w:bookmarkEnd w:id="900"/>
    </w:p>
    <w:p w14:paraId="641737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81352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14.1.2 监理人未按合同约定派员参加试验和检验的，除监理人另有指示外，承包人可自行试验和检验，并应立即将试验和检验结果报送监理人，监理人应签字确认。</w:t>
      </w:r>
    </w:p>
    <w:p w14:paraId="308340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F040AD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1" w:name="_Toc9643"/>
      <w:bookmarkStart w:id="902" w:name="_Toc4179"/>
      <w:bookmarkStart w:id="903" w:name="_Toc234833060"/>
      <w:bookmarkStart w:id="904" w:name="_Toc9789"/>
      <w:bookmarkStart w:id="905" w:name="_Toc2015"/>
      <w:r>
        <w:rPr>
          <w:rFonts w:hint="default" w:ascii="Times New Roman" w:hAnsi="Times New Roman" w:eastAsia="黑体" w:cs="Times New Roman"/>
          <w:b w:val="0"/>
          <w:color w:val="auto"/>
          <w:sz w:val="24"/>
          <w:szCs w:val="24"/>
          <w:highlight w:val="none"/>
        </w:rPr>
        <w:t>14.2 现场材料试验</w:t>
      </w:r>
      <w:bookmarkEnd w:id="901"/>
      <w:bookmarkEnd w:id="902"/>
      <w:bookmarkEnd w:id="903"/>
      <w:bookmarkEnd w:id="904"/>
      <w:bookmarkEnd w:id="905"/>
    </w:p>
    <w:p w14:paraId="545734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14.2.1 承包人根据合同约定或监理人指示进行的现场材料试验，应由承包人提供试验场所、试验人员、试验设备器材以及其他必要的试验条件。</w:t>
      </w:r>
    </w:p>
    <w:p w14:paraId="074110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14.2.2 监理人在必要时可以使用承包人的试验场所、试验设备器材以及其他试验条件，进行以工程质量检查为目的的复核性材料试验，承包人应予以协助。</w:t>
      </w:r>
    </w:p>
    <w:p w14:paraId="54F513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06" w:name="_Toc31625"/>
      <w:bookmarkStart w:id="907" w:name="_Toc505"/>
      <w:bookmarkStart w:id="908" w:name="_Toc19643"/>
      <w:bookmarkStart w:id="909" w:name="_Toc19986"/>
      <w:bookmarkStart w:id="910" w:name="_Toc234833061"/>
      <w:r>
        <w:rPr>
          <w:rFonts w:hint="default" w:ascii="Times New Roman" w:hAnsi="Times New Roman" w:eastAsia="黑体" w:cs="Times New Roman"/>
          <w:b w:val="0"/>
          <w:color w:val="auto"/>
          <w:sz w:val="24"/>
          <w:szCs w:val="24"/>
          <w:highlight w:val="none"/>
        </w:rPr>
        <w:t>14.3 现场工艺试验</w:t>
      </w:r>
      <w:bookmarkEnd w:id="906"/>
      <w:bookmarkEnd w:id="907"/>
      <w:bookmarkEnd w:id="908"/>
      <w:bookmarkEnd w:id="909"/>
      <w:bookmarkEnd w:id="910"/>
    </w:p>
    <w:p w14:paraId="01C6BD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0D0FB83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11" w:name="_Toc1929"/>
      <w:bookmarkStart w:id="912" w:name="_Toc17742"/>
      <w:bookmarkStart w:id="913" w:name="_Toc32585"/>
      <w:bookmarkStart w:id="914" w:name="_Toc28048"/>
      <w:bookmarkStart w:id="915" w:name="_Toc234833062"/>
      <w:r>
        <w:rPr>
          <w:rFonts w:hint="default" w:ascii="Times New Roman" w:hAnsi="Times New Roman" w:eastAsia="黑体" w:cs="Times New Roman"/>
          <w:b w:val="0"/>
          <w:color w:val="auto"/>
          <w:sz w:val="28"/>
          <w:szCs w:val="28"/>
          <w:highlight w:val="none"/>
        </w:rPr>
        <w:t>15. 变更</w:t>
      </w:r>
      <w:bookmarkEnd w:id="911"/>
      <w:bookmarkEnd w:id="912"/>
      <w:bookmarkEnd w:id="913"/>
      <w:bookmarkEnd w:id="914"/>
      <w:bookmarkEnd w:id="915"/>
    </w:p>
    <w:p w14:paraId="4EB933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16" w:name="_Toc30228"/>
      <w:bookmarkStart w:id="917" w:name="_Toc4605"/>
      <w:bookmarkStart w:id="918" w:name="_Toc20123"/>
      <w:bookmarkStart w:id="919" w:name="_Toc234833063"/>
      <w:bookmarkStart w:id="920" w:name="_Toc23647"/>
      <w:r>
        <w:rPr>
          <w:rFonts w:hint="default" w:ascii="Times New Roman" w:hAnsi="Times New Roman" w:eastAsia="黑体" w:cs="Times New Roman"/>
          <w:b w:val="0"/>
          <w:color w:val="auto"/>
          <w:sz w:val="24"/>
          <w:szCs w:val="24"/>
          <w:highlight w:val="none"/>
        </w:rPr>
        <w:t>15.1 变更的范围和内容</w:t>
      </w:r>
      <w:bookmarkEnd w:id="916"/>
      <w:bookmarkEnd w:id="917"/>
      <w:bookmarkEnd w:id="918"/>
      <w:bookmarkEnd w:id="919"/>
      <w:bookmarkEnd w:id="920"/>
    </w:p>
    <w:p w14:paraId="72CBB6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除专用合同条款另有约定外，在履行合同中发生以下情形之一，应按照本条规定进行变更。</w:t>
      </w:r>
    </w:p>
    <w:p w14:paraId="41C0FD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w:t>
      </w:r>
    </w:p>
    <w:p w14:paraId="6333C6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（2）改变合同中任何一项工作的质量或其他特性；</w:t>
      </w:r>
    </w:p>
    <w:p w14:paraId="780E2F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（3）改变合同工程的基线、标高、位置或尺寸；</w:t>
      </w:r>
    </w:p>
    <w:p w14:paraId="0C0717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（4）改变合同中任何一项工作的施工时间或改变已批准的施工工艺或顺序；</w:t>
      </w:r>
    </w:p>
    <w:p w14:paraId="590431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（5）为完成工程需要追加的额外工作。</w:t>
      </w:r>
    </w:p>
    <w:p w14:paraId="65F27B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1" w:name="_Toc234833064"/>
      <w:bookmarkStart w:id="922" w:name="_Toc15961"/>
      <w:bookmarkStart w:id="923" w:name="_Toc24888"/>
      <w:bookmarkStart w:id="924" w:name="_Toc8053"/>
      <w:bookmarkStart w:id="925" w:name="_Toc10482"/>
      <w:r>
        <w:rPr>
          <w:rFonts w:hint="default" w:ascii="Times New Roman" w:hAnsi="Times New Roman" w:eastAsia="黑体" w:cs="Times New Roman"/>
          <w:b w:val="0"/>
          <w:color w:val="auto"/>
          <w:sz w:val="24"/>
          <w:szCs w:val="24"/>
          <w:highlight w:val="none"/>
        </w:rPr>
        <w:t>15.2 变更权</w:t>
      </w:r>
      <w:bookmarkEnd w:id="921"/>
      <w:bookmarkEnd w:id="922"/>
      <w:bookmarkEnd w:id="923"/>
      <w:bookmarkEnd w:id="924"/>
      <w:bookmarkEnd w:id="925"/>
    </w:p>
    <w:p w14:paraId="12E04B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在履行合同过程中，经发包人同意，监理人可按第15.3款约定的变更程序向承包人作出变更指示，承包人应遵照执行。没有监理人的变更指示，承包人不得擅自变更。</w:t>
      </w:r>
    </w:p>
    <w:p w14:paraId="3ABA7E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26" w:name="_Toc234833065"/>
      <w:bookmarkStart w:id="927" w:name="_Toc30516"/>
      <w:bookmarkStart w:id="928" w:name="_Toc12919"/>
      <w:bookmarkStart w:id="929" w:name="_Toc29346"/>
      <w:bookmarkStart w:id="930" w:name="_Toc2613"/>
      <w:r>
        <w:rPr>
          <w:rFonts w:hint="default" w:ascii="Times New Roman" w:hAnsi="Times New Roman" w:eastAsia="黑体" w:cs="Times New Roman"/>
          <w:b w:val="0"/>
          <w:color w:val="auto"/>
          <w:sz w:val="24"/>
          <w:szCs w:val="24"/>
          <w:highlight w:val="none"/>
        </w:rPr>
        <w:t>15.3 变更程序</w:t>
      </w:r>
      <w:bookmarkEnd w:id="926"/>
      <w:bookmarkEnd w:id="927"/>
      <w:bookmarkEnd w:id="928"/>
      <w:bookmarkEnd w:id="929"/>
      <w:bookmarkEnd w:id="930"/>
    </w:p>
    <w:p w14:paraId="63AF375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15.3.1 </w:t>
      </w:r>
      <w:r>
        <w:rPr>
          <w:rFonts w:hint="default" w:ascii="Times New Roman" w:hAnsi="Times New Roman" w:eastAsia="黑体" w:cs="Times New Roman"/>
          <w:color w:val="auto"/>
          <w:sz w:val="24"/>
          <w:highlight w:val="none"/>
        </w:rPr>
        <w:t>变更的提出</w:t>
      </w:r>
    </w:p>
    <w:p w14:paraId="74F720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2DEEC3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（2）在合同履行过程中，发生第15.1款约定情形的，监理人应按照第15.3.3项约定向承包人发出变更指示。</w:t>
      </w:r>
    </w:p>
    <w:p w14:paraId="3656BA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21959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（4）若承包人收到监理人的变更意向书后认为难以实施此项变更，应立即通知监理人，说明原因并附详细依据。监理人与承包人和发包人协商后确定撤销、改变或不改变原变更意向书。</w:t>
      </w:r>
    </w:p>
    <w:p w14:paraId="0587EAE3">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15.3.2 </w:t>
      </w:r>
      <w:r>
        <w:rPr>
          <w:rFonts w:hint="default" w:ascii="Times New Roman" w:hAnsi="Times New Roman" w:eastAsia="黑体" w:cs="Times New Roman"/>
          <w:color w:val="auto"/>
          <w:sz w:val="24"/>
          <w:highlight w:val="none"/>
        </w:rPr>
        <w:t>变更估价</w:t>
      </w:r>
    </w:p>
    <w:p w14:paraId="7AED45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5D3B3A2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（2）变更工作影响工期的，承包人应提出调整工期的具体细节。监理人认为有必要时，可要求承包人提交要求提前或延长工期的施工进度计划及相应施工措施等详细资料。</w:t>
      </w:r>
    </w:p>
    <w:p w14:paraId="1EBA5F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（3）除专用合同条款对期限另有约定外，监理人收到承包人变更报价书后的14天内，根据第15.4款约定的估价原则，按照第3.5款商定或确定变更价格。</w:t>
      </w:r>
    </w:p>
    <w:p w14:paraId="2E47263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15.3.3</w:t>
      </w:r>
      <w:r>
        <w:rPr>
          <w:rFonts w:hint="default" w:ascii="Times New Roman" w:hAnsi="Times New Roman" w:eastAsia="黑体" w:cs="Times New Roman"/>
          <w:color w:val="auto"/>
          <w:sz w:val="24"/>
          <w:highlight w:val="none"/>
        </w:rPr>
        <w:t xml:space="preserve"> 变更指示</w:t>
      </w:r>
    </w:p>
    <w:p w14:paraId="201B11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（1）变更指示只能由监理人发出。</w:t>
      </w:r>
    </w:p>
    <w:p w14:paraId="2D695F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（2）变更指示应说明变更的目的、范围、变更内容以及变更的工程量及其进度和技术要求，并附有关图纸和文件。承包人收到变更指示后，应按变更指示进行变更工作。</w:t>
      </w:r>
    </w:p>
    <w:p w14:paraId="4F5CD9D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1" w:name="_Toc21464"/>
      <w:bookmarkStart w:id="932" w:name="_Toc25571"/>
      <w:bookmarkStart w:id="933" w:name="_Toc234833066"/>
      <w:bookmarkStart w:id="934" w:name="_Toc2325"/>
      <w:bookmarkStart w:id="935" w:name="_Toc734"/>
      <w:r>
        <w:rPr>
          <w:rFonts w:hint="default" w:ascii="Times New Roman" w:hAnsi="Times New Roman" w:eastAsia="黑体" w:cs="Times New Roman"/>
          <w:b w:val="0"/>
          <w:color w:val="auto"/>
          <w:sz w:val="24"/>
          <w:szCs w:val="24"/>
          <w:highlight w:val="none"/>
        </w:rPr>
        <w:t>15.4 变更的估价原则</w:t>
      </w:r>
      <w:bookmarkEnd w:id="931"/>
      <w:bookmarkEnd w:id="932"/>
      <w:bookmarkEnd w:id="933"/>
      <w:bookmarkEnd w:id="934"/>
      <w:bookmarkEnd w:id="935"/>
      <w:r>
        <w:rPr>
          <w:rFonts w:hint="default" w:ascii="Times New Roman" w:hAnsi="Times New Roman" w:eastAsia="黑体" w:cs="Times New Roman"/>
          <w:b w:val="0"/>
          <w:color w:val="auto"/>
          <w:sz w:val="24"/>
          <w:szCs w:val="24"/>
          <w:highlight w:val="none"/>
        </w:rPr>
        <w:t xml:space="preserve"> </w:t>
      </w:r>
    </w:p>
    <w:p w14:paraId="5B96D3AA">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除专用合同条款另有约定外，因变更引起的价格调整按照本款约定处理。</w:t>
      </w:r>
    </w:p>
    <w:p w14:paraId="75D073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已标价工程量清单中有适用于变更工作的子目的，采用该子目的单价。</w:t>
      </w:r>
    </w:p>
    <w:p w14:paraId="7CE416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已标价工程量清单中无适用于变更工作的子目，但有类似子目的，可在合理范围内参照类似子目的单价，由监理人按第3.5款商定或确定变更工作的单价。</w:t>
      </w:r>
    </w:p>
    <w:p w14:paraId="72FBB1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已标价工程量清单中无适用或类似子目的单价，可按照成本加利润的原则，由监理人按第3.5款商定或确定变更工作的单价。</w:t>
      </w:r>
    </w:p>
    <w:p w14:paraId="71DD05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36" w:name="_Toc25619"/>
      <w:bookmarkStart w:id="937" w:name="_Toc234833067"/>
      <w:bookmarkStart w:id="938" w:name="_Toc20188"/>
      <w:bookmarkStart w:id="939" w:name="_Toc10517"/>
      <w:bookmarkStart w:id="940" w:name="_Toc5615"/>
      <w:r>
        <w:rPr>
          <w:rFonts w:hint="default" w:ascii="Times New Roman" w:hAnsi="Times New Roman" w:eastAsia="黑体" w:cs="Times New Roman"/>
          <w:b w:val="0"/>
          <w:color w:val="auto"/>
          <w:sz w:val="24"/>
          <w:szCs w:val="24"/>
          <w:highlight w:val="none"/>
        </w:rPr>
        <w:t>15.5 承包人的合理化建议</w:t>
      </w:r>
      <w:bookmarkEnd w:id="936"/>
      <w:bookmarkEnd w:id="937"/>
      <w:bookmarkEnd w:id="938"/>
      <w:bookmarkEnd w:id="939"/>
      <w:bookmarkEnd w:id="940"/>
    </w:p>
    <w:p w14:paraId="7CA9AC0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3C15649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15.5.2 承包人提出的合理化建议降低了合同价格、缩短了工期或者提高了工程经济效益的，发包人可按国家有关规定在专用合同条款中约定给予奖励。</w:t>
      </w:r>
    </w:p>
    <w:p w14:paraId="7FE7C8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1" w:name="_Toc1051"/>
      <w:bookmarkStart w:id="942" w:name="_Toc15655"/>
      <w:bookmarkStart w:id="943" w:name="_Toc27871"/>
      <w:bookmarkStart w:id="944" w:name="_Toc234833068"/>
      <w:bookmarkStart w:id="945" w:name="_Toc32232"/>
      <w:r>
        <w:rPr>
          <w:rFonts w:hint="default" w:ascii="Times New Roman" w:hAnsi="Times New Roman" w:eastAsia="黑体" w:cs="Times New Roman"/>
          <w:b w:val="0"/>
          <w:color w:val="auto"/>
          <w:sz w:val="24"/>
          <w:szCs w:val="24"/>
          <w:highlight w:val="none"/>
        </w:rPr>
        <w:t>15.6 暂列金额</w:t>
      </w:r>
      <w:bookmarkEnd w:id="941"/>
      <w:bookmarkEnd w:id="942"/>
      <w:bookmarkEnd w:id="943"/>
      <w:bookmarkEnd w:id="944"/>
      <w:bookmarkEnd w:id="945"/>
    </w:p>
    <w:p w14:paraId="47AE6EF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暂列金额只能按照监理人的指示使用，并对合同价格进行相应调整。</w:t>
      </w:r>
    </w:p>
    <w:p w14:paraId="1CED6E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46" w:name="_Toc4406"/>
      <w:bookmarkStart w:id="947" w:name="_Toc10060"/>
      <w:bookmarkStart w:id="948" w:name="_Toc25732"/>
      <w:bookmarkStart w:id="949" w:name="_Toc234833069"/>
      <w:bookmarkStart w:id="950" w:name="_Toc2062"/>
      <w:r>
        <w:rPr>
          <w:rFonts w:hint="default" w:ascii="Times New Roman" w:hAnsi="Times New Roman" w:eastAsia="黑体" w:cs="Times New Roman"/>
          <w:b w:val="0"/>
          <w:color w:val="auto"/>
          <w:sz w:val="24"/>
          <w:szCs w:val="24"/>
          <w:highlight w:val="none"/>
        </w:rPr>
        <w:t>15.7 计日工</w:t>
      </w:r>
      <w:bookmarkEnd w:id="946"/>
      <w:bookmarkEnd w:id="947"/>
      <w:bookmarkEnd w:id="948"/>
      <w:bookmarkEnd w:id="949"/>
      <w:bookmarkEnd w:id="950"/>
    </w:p>
    <w:p w14:paraId="57E98D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15.7.1 发包人认为有必要时，由监理人通知承包人以计日工方式实施变更的零星工作。其价款按列入已标价工程量清单中的计日工计价子目及其单价进行计算。</w:t>
      </w:r>
    </w:p>
    <w:p w14:paraId="68B56A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15.7.2 采用计日工计价的任何一项变更工作，应从暂列金额中支付，承包人应在该项变更的实施过程中，每天提交以下报表和有关凭证报送监理人审批：</w:t>
      </w:r>
    </w:p>
    <w:p w14:paraId="5BE73C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（1）工作名称、内容和数量；</w:t>
      </w:r>
    </w:p>
    <w:p w14:paraId="6DEC98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（2）投入该工作所有人员的姓名、工种、级别和耗用工时；</w:t>
      </w:r>
    </w:p>
    <w:p w14:paraId="318F9F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（3）投入该工作的材料类别和数量；</w:t>
      </w:r>
    </w:p>
    <w:p w14:paraId="55D58A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（4）投入该工作的施工设备型号、台数和耗用台时；</w:t>
      </w:r>
    </w:p>
    <w:p w14:paraId="117DC9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（5）监理人要求提交的其他资料和凭证。</w:t>
      </w:r>
    </w:p>
    <w:p w14:paraId="4CFD27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15.7.3 计日工由承包人汇总后，按第17.3.2项的约定列入进度付款申请单，由监理人复核并经发包人同意后列入进度付款。</w:t>
      </w:r>
    </w:p>
    <w:p w14:paraId="3301512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51" w:name="_Toc17561"/>
      <w:bookmarkStart w:id="952" w:name="_Toc13261"/>
      <w:bookmarkStart w:id="953" w:name="_Toc7315"/>
      <w:bookmarkStart w:id="954" w:name="_Toc19722"/>
      <w:bookmarkStart w:id="955" w:name="_Toc234833070"/>
      <w:r>
        <w:rPr>
          <w:rFonts w:hint="default" w:ascii="Times New Roman" w:hAnsi="Times New Roman" w:eastAsia="黑体" w:cs="Times New Roman"/>
          <w:b w:val="0"/>
          <w:color w:val="auto"/>
          <w:sz w:val="24"/>
          <w:szCs w:val="24"/>
          <w:highlight w:val="none"/>
        </w:rPr>
        <w:t>15.8暂估价</w:t>
      </w:r>
      <w:bookmarkEnd w:id="951"/>
      <w:bookmarkEnd w:id="952"/>
      <w:bookmarkEnd w:id="953"/>
      <w:bookmarkEnd w:id="954"/>
      <w:bookmarkEnd w:id="955"/>
    </w:p>
    <w:p w14:paraId="45607C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67A1D3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1F4681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84FA4E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56" w:name="_Toc7147"/>
      <w:bookmarkStart w:id="957" w:name="_Toc10500"/>
      <w:bookmarkStart w:id="958" w:name="_Toc15345"/>
      <w:bookmarkStart w:id="959" w:name="_Toc22564"/>
      <w:bookmarkStart w:id="960" w:name="_Toc234833071"/>
      <w:r>
        <w:rPr>
          <w:rFonts w:hint="default" w:ascii="Times New Roman" w:hAnsi="Times New Roman" w:eastAsia="黑体" w:cs="Times New Roman"/>
          <w:b w:val="0"/>
          <w:color w:val="auto"/>
          <w:sz w:val="28"/>
          <w:szCs w:val="28"/>
          <w:highlight w:val="none"/>
        </w:rPr>
        <w:t>16. 价格调整</w:t>
      </w:r>
      <w:bookmarkEnd w:id="956"/>
      <w:bookmarkEnd w:id="957"/>
      <w:bookmarkEnd w:id="958"/>
      <w:bookmarkEnd w:id="959"/>
      <w:bookmarkEnd w:id="960"/>
    </w:p>
    <w:p w14:paraId="7114F71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61" w:name="_Toc28582"/>
      <w:bookmarkStart w:id="962" w:name="_Toc29053"/>
      <w:bookmarkStart w:id="963" w:name="_Toc234833072"/>
      <w:bookmarkStart w:id="964" w:name="_Toc892"/>
      <w:bookmarkStart w:id="965" w:name="_Toc5119"/>
      <w:r>
        <w:rPr>
          <w:rFonts w:hint="default" w:ascii="Times New Roman" w:hAnsi="Times New Roman" w:eastAsia="黑体" w:cs="Times New Roman"/>
          <w:b w:val="0"/>
          <w:color w:val="auto"/>
          <w:sz w:val="24"/>
          <w:szCs w:val="24"/>
          <w:highlight w:val="none"/>
        </w:rPr>
        <w:t>16.1 物价波动引起的价格调整</w:t>
      </w:r>
      <w:bookmarkEnd w:id="961"/>
      <w:bookmarkEnd w:id="962"/>
      <w:bookmarkEnd w:id="963"/>
      <w:bookmarkEnd w:id="964"/>
      <w:bookmarkEnd w:id="965"/>
    </w:p>
    <w:p w14:paraId="0E758B8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除专用合同条款另有约定外，因物价波动引起的价格调整按照本款约定处理。</w:t>
      </w:r>
    </w:p>
    <w:p w14:paraId="107EB63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1B6F8B1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16.1.1.1 价格调整公式</w:t>
      </w:r>
    </w:p>
    <w:p w14:paraId="655C087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因人工、材料和设备等价格波动影响合同价格时，根据投标函附录中的价格指数和权重表约定的数据，按以下公式计算差额并调整合同价格：</w:t>
      </w:r>
    </w:p>
    <w:p w14:paraId="01174766">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kern w:val="0"/>
          <w:position w:val="-34"/>
          <w:sz w:val="24"/>
          <w:highlight w:val="none"/>
          <w:lang w:val="zh-CN"/>
        </w:rPr>
        <w:object>
          <v:shape id="_x0000_i1025" o:spt="75" type="#_x0000_t75" style="height:50.35pt;width:363.95pt;" o:ole="t" filled="f" o:preferrelative="t" stroked="f" coordsize="21600,21600">
            <v:path/>
            <v:fill on="f" alignshape="1" focussize="0,0"/>
            <v:stroke on="f"/>
            <v:imagedata r:id="rId54" o:title=""/>
            <o:lock v:ext="edit" aspectratio="t"/>
            <w10:wrap type="none"/>
            <w10:anchorlock/>
          </v:shape>
          <o:OLEObject Type="Embed" ProgID="Equation.3" ShapeID="_x0000_i1025" DrawAspect="Content" ObjectID="_1468075725" r:id="rId53">
            <o:LockedField>false</o:LockedField>
          </o:OLEObject>
        </w:object>
      </w:r>
    </w:p>
    <w:p w14:paraId="248AA9E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式中： </w:t>
      </w:r>
      <w:r>
        <w:rPr>
          <w:rFonts w:hint="default" w:ascii="Times New Roman" w:hAnsi="Times New Roman" w:cs="Times New Roman"/>
          <w:b/>
          <w:color w:val="auto"/>
          <w:sz w:val="24"/>
          <w:highlight w:val="none"/>
        </w:rPr>
        <w:t>△P</w:t>
      </w:r>
      <w:r>
        <w:rPr>
          <w:rFonts w:hint="default" w:ascii="Times New Roman" w:hAnsi="Times New Roman" w:cs="Times New Roman"/>
          <w:color w:val="auto"/>
          <w:sz w:val="24"/>
          <w:highlight w:val="none"/>
        </w:rPr>
        <w:t>-- 需调整的价格差额；</w:t>
      </w:r>
    </w:p>
    <w:p w14:paraId="7214B47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P</w:t>
      </w:r>
      <w:r>
        <w:rPr>
          <w:rFonts w:hint="default" w:ascii="Times New Roman" w:hAnsi="Times New Roman" w:cs="Times New Roman"/>
          <w:b/>
          <w:bCs/>
          <w:color w:val="auto"/>
          <w:sz w:val="24"/>
          <w:highlight w:val="none"/>
          <w:vertAlign w:val="subscript"/>
          <w:lang w:val="zh-CN"/>
        </w:rPr>
        <w:t xml:space="preserve">0 </w:t>
      </w:r>
      <w:r>
        <w:rPr>
          <w:rFonts w:hint="default" w:ascii="Times New Roman" w:hAnsi="Times New Roman" w:cs="Times New Roman"/>
          <w:color w:val="auto"/>
          <w:sz w:val="24"/>
          <w:highlight w:val="none"/>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B1B970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A</w:t>
      </w:r>
      <w:r>
        <w:rPr>
          <w:rFonts w:hint="default" w:ascii="Times New Roman" w:hAnsi="Times New Roman" w:cs="Times New Roman"/>
          <w:color w:val="auto"/>
          <w:sz w:val="24"/>
          <w:highlight w:val="none"/>
        </w:rPr>
        <w:t xml:space="preserve"> -- 定值权重（即不调部分的权重）；</w:t>
      </w:r>
    </w:p>
    <w:p w14:paraId="06FAA28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rPr>
        <w:t xml:space="preserve"> 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vertAlign w:val="subscript"/>
          <w:lang w:val="zh-CN"/>
        </w:rPr>
        <w:t xml:space="preserve">; </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lang w:val="zh-CN"/>
        </w:rPr>
        <w:t>B</w:t>
      </w:r>
      <w:r>
        <w:rPr>
          <w:rFonts w:hint="default" w:ascii="Times New Roman" w:hAnsi="Times New Roman" w:cs="Times New Roman"/>
          <w:b/>
          <w:bCs/>
          <w:color w:val="auto"/>
          <w:sz w:val="24"/>
          <w:highlight w:val="none"/>
          <w:vertAlign w:val="subscript"/>
          <w:lang w:val="zh-CN"/>
        </w:rPr>
        <w:t>n</w:t>
      </w:r>
      <w:r>
        <w:rPr>
          <w:rFonts w:hint="default" w:ascii="Times New Roman" w:hAnsi="Times New Roman" w:cs="Times New Roman"/>
          <w:color w:val="auto"/>
          <w:sz w:val="24"/>
          <w:highlight w:val="none"/>
          <w:vertAlign w:val="subscript"/>
        </w:rPr>
        <w:t xml:space="preserve"> </w:t>
      </w:r>
      <w:r>
        <w:rPr>
          <w:rFonts w:hint="default" w:ascii="Times New Roman" w:hAnsi="Times New Roman" w:cs="Times New Roman"/>
          <w:color w:val="auto"/>
          <w:sz w:val="24"/>
          <w:highlight w:val="none"/>
        </w:rPr>
        <w:t xml:space="preserve"> -- 各可调因子的变值权重（即可调部分的权重）为各可调因子在投标函投标总报价中所占的比例；</w:t>
      </w:r>
    </w:p>
    <w:p w14:paraId="04992BC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t1;</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t2;</w:t>
      </w:r>
      <w:r>
        <w:rPr>
          <w:rFonts w:hint="default" w:ascii="Times New Roman" w:hAnsi="Times New Roman" w:cs="Times New Roman"/>
          <w:b/>
          <w:bCs/>
          <w:color w:val="auto"/>
          <w:sz w:val="24"/>
          <w:highlight w:val="none"/>
          <w:lang w:val="zh-CN"/>
        </w:rPr>
        <w:t xml:space="preserve"> F</w:t>
      </w:r>
      <w:r>
        <w:rPr>
          <w:rFonts w:hint="default" w:ascii="Times New Roman" w:hAnsi="Times New Roman" w:cs="Times New Roman"/>
          <w:b/>
          <w:bCs/>
          <w:color w:val="auto"/>
          <w:sz w:val="24"/>
          <w:highlight w:val="none"/>
          <w:vertAlign w:val="subscript"/>
          <w:lang w:val="zh-CN"/>
        </w:rPr>
        <w:t>t3</w:t>
      </w:r>
      <w:r>
        <w:rPr>
          <w:rFonts w:hint="default" w:ascii="Times New Roman" w:hAnsi="Times New Roman" w:cs="Times New Roman"/>
          <w:b/>
          <w:bCs/>
          <w:color w:val="auto"/>
          <w:sz w:val="24"/>
          <w:highlight w:val="none"/>
          <w:lang w:val="zh-CN"/>
        </w:rPr>
        <w:t>……F</w:t>
      </w:r>
      <w:r>
        <w:rPr>
          <w:rFonts w:hint="default" w:ascii="Times New Roman" w:hAnsi="Times New Roman" w:cs="Times New Roman"/>
          <w:b/>
          <w:bCs/>
          <w:color w:val="auto"/>
          <w:sz w:val="24"/>
          <w:highlight w:val="none"/>
          <w:vertAlign w:val="subscript"/>
          <w:lang w:val="zh-CN"/>
        </w:rPr>
        <w:t>tn</w:t>
      </w:r>
      <w:r>
        <w:rPr>
          <w:rFonts w:hint="default" w:ascii="Times New Roman" w:hAnsi="Times New Roman" w:cs="Times New Roman"/>
          <w:color w:val="auto"/>
          <w:sz w:val="24"/>
          <w:highlight w:val="none"/>
        </w:rPr>
        <w:t xml:space="preserve"> -- 各可调因子的现行价格指数，指第17.3.3项、第17.5.2项和第17.6.2项约定的付款证书相关周期最后一天的前42天的各可调因子的价格指数；</w:t>
      </w:r>
    </w:p>
    <w:p w14:paraId="18F4BF23">
      <w:pPr>
        <w:pageBreakBefore w:val="0"/>
        <w:kinsoku/>
        <w:wordWrap w:val="0"/>
        <w:bidi w:val="0"/>
        <w:spacing w:line="400" w:lineRule="atLeast"/>
        <w:ind w:firstLine="716" w:firstLineChars="297"/>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o1;</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o2;</w:t>
      </w:r>
      <w:r>
        <w:rPr>
          <w:rFonts w:hint="default" w:ascii="Times New Roman" w:hAnsi="Times New Roman" w:cs="Times New Roman"/>
          <w:b/>
          <w:bCs/>
          <w:color w:val="auto"/>
          <w:sz w:val="24"/>
          <w:highlight w:val="none"/>
        </w:rPr>
        <w:t xml:space="preserve"> F</w:t>
      </w:r>
      <w:r>
        <w:rPr>
          <w:rFonts w:hint="default" w:ascii="Times New Roman" w:hAnsi="Times New Roman" w:cs="Times New Roman"/>
          <w:b/>
          <w:bCs/>
          <w:color w:val="auto"/>
          <w:sz w:val="24"/>
          <w:highlight w:val="none"/>
          <w:vertAlign w:val="subscript"/>
        </w:rPr>
        <w:t>o3</w:t>
      </w:r>
      <w:r>
        <w:rPr>
          <w:rFonts w:hint="default" w:ascii="Times New Roman" w:hAnsi="Times New Roman" w:cs="Times New Roman"/>
          <w:b/>
          <w:bCs/>
          <w:color w:val="auto"/>
          <w:sz w:val="24"/>
          <w:highlight w:val="none"/>
        </w:rPr>
        <w:t>……F</w:t>
      </w:r>
      <w:r>
        <w:rPr>
          <w:rFonts w:hint="default" w:ascii="Times New Roman" w:hAnsi="Times New Roman" w:cs="Times New Roman"/>
          <w:b/>
          <w:bCs/>
          <w:color w:val="auto"/>
          <w:sz w:val="24"/>
          <w:highlight w:val="none"/>
          <w:vertAlign w:val="subscript"/>
        </w:rPr>
        <w:t>on</w:t>
      </w:r>
      <w:r>
        <w:rPr>
          <w:rFonts w:hint="default" w:ascii="Times New Roman" w:hAnsi="Times New Roman" w:cs="Times New Roman"/>
          <w:color w:val="auto"/>
          <w:sz w:val="24"/>
          <w:highlight w:val="none"/>
        </w:rPr>
        <w:t xml:space="preserve"> --各可调因子的基本价格指数，指基准日期的各可调因子的价格指数。</w:t>
      </w:r>
    </w:p>
    <w:p w14:paraId="24B8A4E7">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43D302B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16.1.1.2 暂时确定调整差额</w:t>
      </w:r>
    </w:p>
    <w:p w14:paraId="4ED0487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在计算调整差额时得不到现行价格指数的，可暂用上一次价格指数计算，并在以后的付款中再按实际价格指数进行调整。</w:t>
      </w:r>
    </w:p>
    <w:p w14:paraId="00613CF5">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16.1.1.3 权重的调整</w:t>
      </w:r>
    </w:p>
    <w:p w14:paraId="3A9AA9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按第15.1款约定的变更导致原定合同中的权重不合理时，由监理人与承包人和发包人协商后进行调整。</w:t>
      </w:r>
    </w:p>
    <w:p w14:paraId="24C0E3A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16.1.1.4 承包人工期延误后的价格调整</w:t>
      </w:r>
    </w:p>
    <w:p w14:paraId="0967ADF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7113F3C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16.1.2 </w:t>
      </w:r>
      <w:r>
        <w:rPr>
          <w:rFonts w:hint="default" w:ascii="Times New Roman" w:hAnsi="Times New Roman" w:eastAsia="黑体" w:cs="Times New Roman"/>
          <w:color w:val="auto"/>
          <w:sz w:val="24"/>
          <w:highlight w:val="none"/>
        </w:rPr>
        <w:t>采用造价信息调整价格差额</w:t>
      </w:r>
    </w:p>
    <w:p w14:paraId="6304E6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w:t>
      </w:r>
      <w:r>
        <w:rPr>
          <w:rFonts w:hint="eastAsia" w:cs="Times New Roman"/>
          <w:color w:val="auto"/>
          <w:sz w:val="24"/>
          <w:highlight w:val="none"/>
          <w:lang w:val="en-US" w:eastAsia="zh-CN"/>
        </w:rPr>
        <w:t>量</w:t>
      </w:r>
      <w:r>
        <w:rPr>
          <w:rFonts w:hint="default" w:ascii="Times New Roman" w:hAnsi="Times New Roman" w:cs="Times New Roman"/>
          <w:color w:val="auto"/>
          <w:sz w:val="24"/>
          <w:highlight w:val="none"/>
        </w:rPr>
        <w:t>应由监理人复核，监理人确认需调整的材料单价及数量，作为调整工程合同价格差额的依据。</w:t>
      </w:r>
    </w:p>
    <w:p w14:paraId="6FF933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66" w:name="_Toc15845"/>
      <w:bookmarkStart w:id="967" w:name="_Toc5910"/>
      <w:bookmarkStart w:id="968" w:name="_Toc234833073"/>
      <w:bookmarkStart w:id="969" w:name="_Toc10804"/>
      <w:bookmarkStart w:id="970" w:name="_Toc25291"/>
      <w:r>
        <w:rPr>
          <w:rFonts w:hint="default" w:ascii="Times New Roman" w:hAnsi="Times New Roman" w:eastAsia="黑体" w:cs="Times New Roman"/>
          <w:b w:val="0"/>
          <w:color w:val="auto"/>
          <w:sz w:val="24"/>
          <w:szCs w:val="24"/>
          <w:highlight w:val="none"/>
        </w:rPr>
        <w:t>16.2 法律变化引起的价格调整</w:t>
      </w:r>
      <w:bookmarkEnd w:id="966"/>
      <w:bookmarkEnd w:id="967"/>
      <w:bookmarkEnd w:id="968"/>
      <w:bookmarkEnd w:id="969"/>
      <w:bookmarkEnd w:id="970"/>
    </w:p>
    <w:p w14:paraId="396ECE3F">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5543A74E">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971" w:name="_Toc234833074"/>
      <w:bookmarkStart w:id="972" w:name="_Toc11413"/>
      <w:bookmarkStart w:id="973" w:name="_Toc6207"/>
      <w:bookmarkStart w:id="974" w:name="_Toc32220"/>
      <w:bookmarkStart w:id="975" w:name="_Toc2237"/>
      <w:r>
        <w:rPr>
          <w:rFonts w:hint="default" w:ascii="Times New Roman" w:hAnsi="Times New Roman" w:eastAsia="黑体" w:cs="Times New Roman"/>
          <w:b w:val="0"/>
          <w:color w:val="auto"/>
          <w:sz w:val="28"/>
          <w:szCs w:val="28"/>
          <w:highlight w:val="none"/>
        </w:rPr>
        <w:t>17. 计量与支付</w:t>
      </w:r>
      <w:bookmarkEnd w:id="971"/>
      <w:bookmarkEnd w:id="972"/>
      <w:bookmarkEnd w:id="973"/>
      <w:bookmarkEnd w:id="974"/>
      <w:bookmarkEnd w:id="975"/>
    </w:p>
    <w:p w14:paraId="0BC4878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76" w:name="_Toc234833075"/>
      <w:bookmarkStart w:id="977" w:name="_Toc12856"/>
      <w:bookmarkStart w:id="978" w:name="_Toc21036"/>
      <w:bookmarkStart w:id="979" w:name="_Toc11688"/>
      <w:bookmarkStart w:id="980" w:name="_Toc29292"/>
      <w:r>
        <w:rPr>
          <w:rFonts w:hint="default" w:ascii="Times New Roman" w:hAnsi="Times New Roman" w:eastAsia="黑体" w:cs="Times New Roman"/>
          <w:b w:val="0"/>
          <w:color w:val="auto"/>
          <w:sz w:val="24"/>
          <w:szCs w:val="24"/>
          <w:highlight w:val="none"/>
        </w:rPr>
        <w:t>17.1 计量</w:t>
      </w:r>
      <w:bookmarkEnd w:id="976"/>
      <w:bookmarkEnd w:id="977"/>
      <w:bookmarkEnd w:id="978"/>
      <w:bookmarkEnd w:id="979"/>
      <w:bookmarkEnd w:id="980"/>
      <w:r>
        <w:rPr>
          <w:rFonts w:hint="default" w:ascii="Times New Roman" w:hAnsi="Times New Roman" w:eastAsia="黑体" w:cs="Times New Roman"/>
          <w:b w:val="0"/>
          <w:color w:val="auto"/>
          <w:sz w:val="24"/>
          <w:szCs w:val="24"/>
          <w:highlight w:val="none"/>
        </w:rPr>
        <w:t xml:space="preserve"> </w:t>
      </w:r>
    </w:p>
    <w:p w14:paraId="28ED7FC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17.1.1 </w:t>
      </w:r>
      <w:r>
        <w:rPr>
          <w:rFonts w:hint="default" w:ascii="Times New Roman" w:hAnsi="Times New Roman" w:eastAsia="黑体" w:cs="Times New Roman"/>
          <w:color w:val="auto"/>
          <w:sz w:val="24"/>
          <w:highlight w:val="none"/>
        </w:rPr>
        <w:t>计量单位</w:t>
      </w:r>
    </w:p>
    <w:p w14:paraId="036D9B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计量采用国家法定的计量单位。</w:t>
      </w:r>
    </w:p>
    <w:p w14:paraId="30472AFD">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1ACAB7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工程量清单中的工程量计算规则应按有关国家标准、行业标准的规定，并在合同中约定执行。</w:t>
      </w:r>
    </w:p>
    <w:p w14:paraId="6A29080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17.1.3 </w:t>
      </w:r>
      <w:r>
        <w:rPr>
          <w:rFonts w:hint="default" w:ascii="Times New Roman" w:hAnsi="Times New Roman" w:eastAsia="黑体" w:cs="Times New Roman"/>
          <w:color w:val="auto"/>
          <w:sz w:val="24"/>
          <w:highlight w:val="none"/>
        </w:rPr>
        <w:t>计量周期</w:t>
      </w:r>
    </w:p>
    <w:p w14:paraId="142C97B8">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除专用合同条款另有约定外，单价子目已完成工程量按月计量，总价子目的计量周期按批准的支付分解报告确定。 </w:t>
      </w:r>
    </w:p>
    <w:p w14:paraId="612DD1EA">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2946069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（1）已标价工程量清单中的单价子目工程量为估算工程量。结算工程量是承包人实际完成的，并按合同约定的计量方法进行计量的工程量。</w:t>
      </w:r>
    </w:p>
    <w:p w14:paraId="458AF9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（2）承包人对已完成的工程进行计量，向监理人提交进度付款申请单、已完成工程量报表和有关计量资料。</w:t>
      </w:r>
    </w:p>
    <w:p w14:paraId="3C2A4A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15794A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（4）监理人认为有必要时，可通知承包人共同进行联合测量、计量，承包人应遵照执行。</w:t>
      </w:r>
    </w:p>
    <w:p w14:paraId="512C0D7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17088D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（6）监理人应在收到承包人提交的工程量报表后的7天内进行复核，监理人未在约定时间内复核的，承包人提交的工程量报表中的工程量视为承包人实际完成的工程量，据此计算工程价款。</w:t>
      </w:r>
    </w:p>
    <w:p w14:paraId="03907C6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021A391C">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除专用合同条款另有约定外，总价子目的分解和计量按照下述约定进行。</w:t>
      </w:r>
    </w:p>
    <w:p w14:paraId="776D039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（1）总价子目的计量和支付应以总价为基础，不因第16.1款中的因素而进行调整。承包人实际完成的工程量，是进行工程目标管理和控制进度支付的依据。</w:t>
      </w:r>
    </w:p>
    <w:p w14:paraId="2937D51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66B069B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（3）监理人对承包人提交的上述资料进行复核，以确定分阶段实际完成的工程量和工程形象目标。对其有异议的，可要求承包人按第8.2款约定进行共同复核和抽样复测。</w:t>
      </w:r>
    </w:p>
    <w:p w14:paraId="20F2E71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（4）除按照第15条约定的变更外，总价子目的工程量是承包人用于结算的最终工程量。</w:t>
      </w:r>
    </w:p>
    <w:p w14:paraId="3A65B36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1" w:name="_Toc234833076"/>
      <w:bookmarkStart w:id="982" w:name="_Toc16552"/>
      <w:bookmarkStart w:id="983" w:name="_Toc10349"/>
      <w:bookmarkStart w:id="984" w:name="_Toc28845"/>
      <w:bookmarkStart w:id="985" w:name="_Toc28011"/>
      <w:r>
        <w:rPr>
          <w:rFonts w:hint="default" w:ascii="Times New Roman" w:hAnsi="Times New Roman" w:eastAsia="黑体" w:cs="Times New Roman"/>
          <w:b w:val="0"/>
          <w:color w:val="auto"/>
          <w:sz w:val="24"/>
          <w:szCs w:val="24"/>
          <w:highlight w:val="none"/>
        </w:rPr>
        <w:t>17.2 预付款</w:t>
      </w:r>
      <w:bookmarkEnd w:id="981"/>
      <w:bookmarkEnd w:id="982"/>
      <w:bookmarkEnd w:id="983"/>
      <w:bookmarkEnd w:id="984"/>
      <w:bookmarkEnd w:id="985"/>
    </w:p>
    <w:p w14:paraId="7CC1BB2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25FA72C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预付款用于承包人为合同工程施工购置材料、工程设备、施工设备、修建临时设施以及组织施工队伍进场等。预付款的额度和预付办法在专用合同条款中约定。预付款必须专用于合同工程。</w:t>
      </w:r>
    </w:p>
    <w:p w14:paraId="250BF36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0A8ED5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除专用合同条款另有约定外，承包人应在收到预付款的同时向发包人提交预付款保函，预付款保函的担保金额应与预付款金额相同。保函的担保金额可根据预付款扣回的金额相应递减。</w:t>
      </w:r>
    </w:p>
    <w:p w14:paraId="51527674">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6EC110C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预付款在进度付款中扣回，扣回办法在专用合同条款中约定。在颁发工程接收证书前，由于不可抗力或其他原因解除合同时，预付款尚未扣清的，尚未扣清的预付款余额应作为承包人的到期应付款。</w:t>
      </w:r>
    </w:p>
    <w:p w14:paraId="15967F0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86" w:name="_Toc26397"/>
      <w:bookmarkStart w:id="987" w:name="_Toc13844"/>
      <w:bookmarkStart w:id="988" w:name="_Toc20532"/>
      <w:bookmarkStart w:id="989" w:name="_Toc234833077"/>
      <w:bookmarkStart w:id="990" w:name="_Toc7717"/>
      <w:r>
        <w:rPr>
          <w:rFonts w:hint="default" w:ascii="Times New Roman" w:hAnsi="Times New Roman" w:eastAsia="黑体" w:cs="Times New Roman"/>
          <w:b w:val="0"/>
          <w:color w:val="auto"/>
          <w:sz w:val="24"/>
          <w:szCs w:val="24"/>
          <w:highlight w:val="none"/>
        </w:rPr>
        <w:t>17.3 工程进度付款</w:t>
      </w:r>
      <w:bookmarkEnd w:id="986"/>
      <w:bookmarkEnd w:id="987"/>
      <w:bookmarkEnd w:id="988"/>
      <w:bookmarkEnd w:id="989"/>
      <w:bookmarkEnd w:id="990"/>
    </w:p>
    <w:p w14:paraId="28B0B6C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17.3.1 </w:t>
      </w:r>
      <w:r>
        <w:rPr>
          <w:rFonts w:hint="default" w:ascii="Times New Roman" w:hAnsi="Times New Roman" w:eastAsia="黑体" w:cs="Times New Roman"/>
          <w:color w:val="auto"/>
          <w:sz w:val="24"/>
          <w:highlight w:val="none"/>
        </w:rPr>
        <w:t>付款周期</w:t>
      </w:r>
    </w:p>
    <w:p w14:paraId="0607079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付款周期同计量周期。</w:t>
      </w:r>
    </w:p>
    <w:p w14:paraId="5E091D9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17.3.2 </w:t>
      </w:r>
      <w:r>
        <w:rPr>
          <w:rFonts w:hint="default" w:ascii="Times New Roman" w:hAnsi="Times New Roman" w:eastAsia="黑体" w:cs="Times New Roman"/>
          <w:color w:val="auto"/>
          <w:sz w:val="24"/>
          <w:highlight w:val="none"/>
        </w:rPr>
        <w:t>进度付款申请单</w:t>
      </w:r>
    </w:p>
    <w:p w14:paraId="66F5E86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42B40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（1）截至本次付款周期末已实施工程的价款；</w:t>
      </w:r>
    </w:p>
    <w:p w14:paraId="78A0E3A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（2）根据第15条应增加和扣减的变更金额；</w:t>
      </w:r>
    </w:p>
    <w:p w14:paraId="08D648F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（3）根据第23条应增加和扣减的索赔金额；</w:t>
      </w:r>
    </w:p>
    <w:p w14:paraId="25E4C99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（4）根据第17.2款约定应支付的预付款和扣减的返还预付款；</w:t>
      </w:r>
    </w:p>
    <w:p w14:paraId="6622DAE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（5）根据第17.4.1项约定应扣减的质量保证金；</w:t>
      </w:r>
    </w:p>
    <w:p w14:paraId="25A0EC7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（6）根据合同应增加和扣减的其他金额。</w:t>
      </w:r>
    </w:p>
    <w:p w14:paraId="35BF378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707919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2BBF13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（2）发包人应在监理人收到进度付款申请单后的28天内，将进度应付款支付给承包人。发包人不按期支付的，按专用合同条款的约定支付逾期付款违约金。</w:t>
      </w:r>
    </w:p>
    <w:p w14:paraId="0BEEB9A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（3）监理人出具进度付款证书，不应视为监理人已同意、批准或接受了承包人完成的该部分工作。</w:t>
      </w:r>
    </w:p>
    <w:p w14:paraId="6FCFE9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（4）进度付款涉及政府投资资金的，按照国库集中支付等国家相关规定和专用合同条款的约定办理。</w:t>
      </w:r>
    </w:p>
    <w:p w14:paraId="741FFE1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br w:type="page"/>
      </w:r>
      <w:r>
        <w:rPr>
          <w:rFonts w:hint="default" w:ascii="Times New Roman" w:hAnsi="Times New Roman" w:cs="Times New Roman"/>
          <w:color w:val="auto"/>
          <w:sz w:val="24"/>
          <w:highlight w:val="none"/>
        </w:rPr>
        <w:t>17.3.4</w:t>
      </w:r>
      <w:r>
        <w:rPr>
          <w:rFonts w:hint="default" w:ascii="Times New Roman" w:hAnsi="Times New Roman" w:eastAsia="黑体" w:cs="Times New Roman"/>
          <w:color w:val="auto"/>
          <w:sz w:val="24"/>
          <w:highlight w:val="none"/>
        </w:rPr>
        <w:t xml:space="preserve"> 工程进度付款的修正</w:t>
      </w:r>
    </w:p>
    <w:p w14:paraId="481447A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2FB6BAD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1" w:name="_Toc234833078"/>
      <w:bookmarkStart w:id="992" w:name="_Toc2545"/>
      <w:bookmarkStart w:id="993" w:name="_Toc10469"/>
      <w:bookmarkStart w:id="994" w:name="_Toc30905"/>
      <w:bookmarkStart w:id="995" w:name="_Toc27494"/>
      <w:r>
        <w:rPr>
          <w:rFonts w:hint="default" w:ascii="Times New Roman" w:hAnsi="Times New Roman" w:eastAsia="黑体" w:cs="Times New Roman"/>
          <w:b w:val="0"/>
          <w:color w:val="auto"/>
          <w:sz w:val="24"/>
          <w:szCs w:val="24"/>
          <w:highlight w:val="none"/>
        </w:rPr>
        <w:t>17.4 质量保证金</w:t>
      </w:r>
      <w:bookmarkEnd w:id="991"/>
      <w:bookmarkEnd w:id="992"/>
      <w:bookmarkEnd w:id="993"/>
      <w:bookmarkEnd w:id="994"/>
      <w:bookmarkEnd w:id="995"/>
    </w:p>
    <w:p w14:paraId="6CCA1F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78955F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2178EF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31345A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996" w:name="_Toc26637"/>
      <w:bookmarkStart w:id="997" w:name="_Toc23313"/>
      <w:bookmarkStart w:id="998" w:name="_Toc26619"/>
      <w:bookmarkStart w:id="999" w:name="_Toc234833079"/>
      <w:bookmarkStart w:id="1000" w:name="_Toc9754"/>
      <w:r>
        <w:rPr>
          <w:rFonts w:hint="default" w:ascii="Times New Roman" w:hAnsi="Times New Roman" w:eastAsia="黑体" w:cs="Times New Roman"/>
          <w:b w:val="0"/>
          <w:color w:val="auto"/>
          <w:sz w:val="24"/>
          <w:szCs w:val="24"/>
          <w:highlight w:val="none"/>
        </w:rPr>
        <w:t>17.5 竣工结算</w:t>
      </w:r>
      <w:bookmarkEnd w:id="996"/>
      <w:bookmarkEnd w:id="997"/>
      <w:bookmarkEnd w:id="998"/>
      <w:bookmarkEnd w:id="999"/>
      <w:bookmarkEnd w:id="1000"/>
    </w:p>
    <w:p w14:paraId="31ECABC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竣工付款申请单</w:t>
      </w:r>
    </w:p>
    <w:p w14:paraId="5D1F1A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3F6EA2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（2）监理人对竣工付款申请单有异议的，有权要求承包人进行修正和提供补充资料。经监理人和承包人协商后，由承包人向监理人提交修正后的竣工付款申请单。</w:t>
      </w:r>
    </w:p>
    <w:p w14:paraId="55EAB5A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竣工付款证书及支付时间</w:t>
      </w:r>
    </w:p>
    <w:p w14:paraId="4F9F6D7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0D20CB2A">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（2）发包人应在监理人出具竣工付款证书后的14天内，将应支付款支付给承包人。发包人不按期支付的，按第17.3.3（2）目的约定，将逾期付款违约金支付给承包人。</w:t>
      </w:r>
    </w:p>
    <w:p w14:paraId="5E38CC33">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（3）承包人对发包人签认的竣工付款证书有异议的，发包人可出具竣工付款申请单中承包人已同意部分的临时付款证书。存在争议的部分，按第24条的约定办理。</w:t>
      </w:r>
    </w:p>
    <w:p w14:paraId="4A661219">
      <w:pPr>
        <w:pageBreakBefore w:val="0"/>
        <w:kinsoku/>
        <w:wordWrap w:val="0"/>
        <w:bidi w:val="0"/>
        <w:spacing w:line="400" w:lineRule="atLeast"/>
        <w:ind w:firstLine="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（4）竣工付款涉及政府投资资金的，按第17.3.3（4）目的约定办理。</w:t>
      </w:r>
    </w:p>
    <w:p w14:paraId="67002C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01" w:name="_Toc1613"/>
      <w:bookmarkStart w:id="1002" w:name="_Toc234833080"/>
      <w:bookmarkStart w:id="1003" w:name="_Toc4427"/>
      <w:bookmarkStart w:id="1004" w:name="_Toc13815"/>
      <w:bookmarkStart w:id="1005" w:name="_Toc3447"/>
      <w:r>
        <w:rPr>
          <w:rFonts w:hint="default" w:ascii="Times New Roman" w:hAnsi="Times New Roman" w:eastAsia="黑体" w:cs="Times New Roman"/>
          <w:b w:val="0"/>
          <w:color w:val="auto"/>
          <w:sz w:val="24"/>
          <w:szCs w:val="24"/>
          <w:highlight w:val="none"/>
        </w:rPr>
        <w:t>17.6 最终结清</w:t>
      </w:r>
      <w:bookmarkEnd w:id="1001"/>
      <w:bookmarkEnd w:id="1002"/>
      <w:bookmarkEnd w:id="1003"/>
      <w:bookmarkEnd w:id="1004"/>
      <w:bookmarkEnd w:id="1005"/>
    </w:p>
    <w:p w14:paraId="4EE9008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36BE307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（1）缺陷责任期终止证书签发后，承包人可按专用合同条款约定的份数和期限向监理人提交最终结清申请单，并提供相关证明材料。</w:t>
      </w:r>
    </w:p>
    <w:p w14:paraId="612536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（2）发包人对最终结清申请单内容有异议的，有权要求承包人进行修正和提供补充资料，由承包人向监理人提交修正后的最终结清申请单。</w:t>
      </w:r>
    </w:p>
    <w:p w14:paraId="11C6E37A">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086E4A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13EAE5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（2）发包人应在监理人出具最终结清证书后的14天内，将应支付款支付给承包人。发包人不按期支付的，按第17.3.3（2）目的约定，将逾期付款违约金支付给承包人。</w:t>
      </w:r>
    </w:p>
    <w:p w14:paraId="04FBDE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（3）承包人对发包人签认的最终结清证书有异议的，按第24条的约定办理。</w:t>
      </w:r>
    </w:p>
    <w:p w14:paraId="2A096F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（4）最终结清付款涉及政府投资资金的，按第17.3.3（4）目的约定办理。</w:t>
      </w:r>
    </w:p>
    <w:p w14:paraId="340F40B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06" w:name="_Toc1653"/>
      <w:bookmarkStart w:id="1007" w:name="_Toc234833081"/>
      <w:bookmarkStart w:id="1008" w:name="_Toc29576"/>
      <w:bookmarkStart w:id="1009" w:name="_Toc31279"/>
      <w:bookmarkStart w:id="1010" w:name="_Toc13751"/>
      <w:r>
        <w:rPr>
          <w:rFonts w:hint="default" w:ascii="Times New Roman" w:hAnsi="Times New Roman" w:eastAsia="黑体" w:cs="Times New Roman"/>
          <w:b w:val="0"/>
          <w:color w:val="auto"/>
          <w:sz w:val="28"/>
          <w:szCs w:val="28"/>
          <w:highlight w:val="none"/>
        </w:rPr>
        <w:t>18. 竣工验收</w:t>
      </w:r>
      <w:bookmarkEnd w:id="1006"/>
      <w:bookmarkEnd w:id="1007"/>
      <w:bookmarkEnd w:id="1008"/>
      <w:bookmarkEnd w:id="1009"/>
      <w:bookmarkEnd w:id="1010"/>
    </w:p>
    <w:p w14:paraId="639FDFB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1" w:name="_Toc234833082"/>
      <w:bookmarkStart w:id="1012" w:name="_Toc10071"/>
      <w:bookmarkStart w:id="1013" w:name="_Toc14256"/>
      <w:bookmarkStart w:id="1014" w:name="_Toc11052"/>
      <w:bookmarkStart w:id="1015" w:name="_Toc11287"/>
      <w:r>
        <w:rPr>
          <w:rFonts w:hint="default" w:ascii="Times New Roman" w:hAnsi="Times New Roman" w:eastAsia="黑体" w:cs="Times New Roman"/>
          <w:b w:val="0"/>
          <w:color w:val="auto"/>
          <w:sz w:val="24"/>
          <w:szCs w:val="24"/>
          <w:highlight w:val="none"/>
        </w:rPr>
        <w:t>18.1 竣工验收的含义</w:t>
      </w:r>
      <w:bookmarkEnd w:id="1011"/>
      <w:bookmarkEnd w:id="1012"/>
      <w:bookmarkEnd w:id="1013"/>
      <w:bookmarkEnd w:id="1014"/>
      <w:bookmarkEnd w:id="1015"/>
    </w:p>
    <w:p w14:paraId="61077F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18.1.1 竣工验收指承包人完成了全部合同工作后，发包人按合同要求进行的验收。</w:t>
      </w:r>
    </w:p>
    <w:p w14:paraId="7EFD7B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18.1.2 国家验收是政府有关部门根据法律、规范、规程和政策要求，针对发包人全面组织实施的整个工程正式交付投运前的验收。</w:t>
      </w:r>
    </w:p>
    <w:p w14:paraId="471C8E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3EA8B6E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16" w:name="_Toc234833083"/>
      <w:bookmarkStart w:id="1017" w:name="_Toc25249"/>
      <w:bookmarkStart w:id="1018" w:name="_Toc9365"/>
      <w:bookmarkStart w:id="1019" w:name="_Toc3760"/>
      <w:bookmarkStart w:id="1020" w:name="_Toc11221"/>
      <w:r>
        <w:rPr>
          <w:rFonts w:hint="default" w:ascii="Times New Roman" w:hAnsi="Times New Roman" w:eastAsia="黑体" w:cs="Times New Roman"/>
          <w:b w:val="0"/>
          <w:color w:val="auto"/>
          <w:sz w:val="24"/>
          <w:szCs w:val="24"/>
          <w:highlight w:val="none"/>
        </w:rPr>
        <w:t>18.2 竣工验收申请报告</w:t>
      </w:r>
      <w:bookmarkEnd w:id="1016"/>
      <w:bookmarkEnd w:id="1017"/>
      <w:bookmarkEnd w:id="1018"/>
      <w:bookmarkEnd w:id="1019"/>
      <w:bookmarkEnd w:id="1020"/>
    </w:p>
    <w:p w14:paraId="1EBF23F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当工程具备以下条件时，承包人即可向监理人报送竣工验收申请报告：</w:t>
      </w:r>
    </w:p>
    <w:p w14:paraId="3D61D4F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（1）除监理人同意列入缺陷责任期内完成的尾工（甩项）工程和缺陷修补工作外，合同范围内的全部单位工程以及有关工作，包括合同要求的试验、试运行以及检验和验收均已完成，并符合合同要求；</w:t>
      </w:r>
    </w:p>
    <w:p w14:paraId="2EADE62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（2）已按合同约定的内容和份数备齐了符合要求的竣工资料； </w:t>
      </w:r>
    </w:p>
    <w:p w14:paraId="0498FA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（3）已按监理人的要求编制了在缺陷责任期内完成的尾工（甩项）工程和缺陷修补工作清单以及相应施工计划；</w:t>
      </w:r>
    </w:p>
    <w:p w14:paraId="4C187E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（4）监理人要求在竣工验收前应完成的其他工作；</w:t>
      </w:r>
    </w:p>
    <w:p w14:paraId="3781E6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（5）监理人要求提交的竣工验收资料清单。</w:t>
      </w:r>
    </w:p>
    <w:p w14:paraId="5ADE14F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1" w:name="_Toc25904"/>
      <w:bookmarkStart w:id="1022" w:name="_Toc234833084"/>
      <w:bookmarkStart w:id="1023" w:name="_Toc30208"/>
      <w:bookmarkStart w:id="1024" w:name="_Toc11295"/>
      <w:bookmarkStart w:id="1025" w:name="_Toc18269"/>
      <w:r>
        <w:rPr>
          <w:rFonts w:hint="default" w:ascii="Times New Roman" w:hAnsi="Times New Roman" w:eastAsia="黑体" w:cs="Times New Roman"/>
          <w:b w:val="0"/>
          <w:color w:val="auto"/>
          <w:sz w:val="24"/>
          <w:szCs w:val="24"/>
          <w:highlight w:val="none"/>
        </w:rPr>
        <w:t>18.3 验收</w:t>
      </w:r>
      <w:bookmarkEnd w:id="1021"/>
      <w:bookmarkEnd w:id="1022"/>
      <w:bookmarkEnd w:id="1023"/>
      <w:bookmarkEnd w:id="1024"/>
      <w:bookmarkEnd w:id="1025"/>
    </w:p>
    <w:p w14:paraId="46B2E2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监理人收到承包人按第18.2款约定提交的竣工验收申请报告后，应审查申请报告的各项内容，并按以下不同情况进行处理。</w:t>
      </w:r>
    </w:p>
    <w:p w14:paraId="24D04D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8089AB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18.3.2 监理人审查后认为已具备竣工验收条件的，应在收到竣工验收申请报告后的28天内提请发包人进行工程验收。</w:t>
      </w:r>
    </w:p>
    <w:p w14:paraId="573CDC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21D89D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6801F5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18.3.5 除专用合同条款另有约定外，经验收合格工程的实际竣工日期，以提交竣工验收申请报告的日期为准，并在工程接收证书中写明。</w:t>
      </w:r>
    </w:p>
    <w:p w14:paraId="4BF4C9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18.3.6 发包人在收到承包人竣工验收申请报告56天后未进行验收的，视为验收合格，实际竣工日期以提交竣工验收申请报告的日期为准，但发包人由于不可抗力不能进行验收的除外。</w:t>
      </w:r>
    </w:p>
    <w:p w14:paraId="63F21D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26" w:name="_Toc234833085"/>
      <w:bookmarkStart w:id="1027" w:name="_Toc11852"/>
      <w:bookmarkStart w:id="1028" w:name="_Toc11780"/>
      <w:bookmarkStart w:id="1029" w:name="_Toc21157"/>
      <w:bookmarkStart w:id="1030" w:name="_Toc7791"/>
      <w:r>
        <w:rPr>
          <w:rFonts w:hint="default" w:ascii="Times New Roman" w:hAnsi="Times New Roman" w:eastAsia="黑体" w:cs="Times New Roman"/>
          <w:b w:val="0"/>
          <w:color w:val="auto"/>
          <w:sz w:val="24"/>
          <w:szCs w:val="24"/>
          <w:highlight w:val="none"/>
        </w:rPr>
        <w:t>18.4 单位工程验收</w:t>
      </w:r>
      <w:bookmarkEnd w:id="1026"/>
      <w:bookmarkEnd w:id="1027"/>
      <w:bookmarkEnd w:id="1028"/>
      <w:bookmarkEnd w:id="1029"/>
      <w:bookmarkEnd w:id="1030"/>
    </w:p>
    <w:p w14:paraId="5FADC80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18.4.1</w:t>
      </w:r>
      <w:r>
        <w:rPr>
          <w:rFonts w:hint="default" w:ascii="Times New Roman" w:hAnsi="Times New Roman" w:cs="Times New Roman"/>
          <w:color w:val="auto"/>
          <w:sz w:val="24"/>
          <w:highlight w:val="none"/>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7CC7E6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18.4.2发包人在全部工程竣工前，使用已接收的单位工程导致承包人费用增加的，发包人应承担由此增加的费用和（或）工期延误，并支付承包人合理利润。</w:t>
      </w:r>
    </w:p>
    <w:p w14:paraId="557EEE2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1" w:name="_Toc15835"/>
      <w:bookmarkStart w:id="1032" w:name="_Toc28737"/>
      <w:bookmarkStart w:id="1033" w:name="_Toc2444"/>
      <w:bookmarkStart w:id="1034" w:name="_Toc28198"/>
      <w:bookmarkStart w:id="1035" w:name="_Toc234833086"/>
      <w:r>
        <w:rPr>
          <w:rFonts w:hint="default" w:ascii="Times New Roman" w:hAnsi="Times New Roman" w:eastAsia="黑体" w:cs="Times New Roman"/>
          <w:b w:val="0"/>
          <w:color w:val="auto"/>
          <w:sz w:val="24"/>
          <w:szCs w:val="24"/>
          <w:highlight w:val="none"/>
        </w:rPr>
        <w:t>18.5施工期运行</w:t>
      </w:r>
      <w:bookmarkEnd w:id="1031"/>
      <w:bookmarkEnd w:id="1032"/>
      <w:bookmarkEnd w:id="1033"/>
      <w:bookmarkEnd w:id="1034"/>
      <w:bookmarkEnd w:id="1035"/>
    </w:p>
    <w:p w14:paraId="319D309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178A0C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18.5.2 在施工期运行中发现工程或工程设备损坏或存在缺陷的，由承包人按第19.2款约定进行修复。</w:t>
      </w:r>
    </w:p>
    <w:p w14:paraId="3BEC3B7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36" w:name="_Toc21844"/>
      <w:bookmarkStart w:id="1037" w:name="_Toc27512"/>
      <w:bookmarkStart w:id="1038" w:name="_Toc17390"/>
      <w:bookmarkStart w:id="1039" w:name="_Toc19050"/>
      <w:bookmarkStart w:id="1040" w:name="_Toc234833087"/>
      <w:r>
        <w:rPr>
          <w:rFonts w:hint="default" w:ascii="Times New Roman" w:hAnsi="Times New Roman" w:eastAsia="黑体" w:cs="Times New Roman"/>
          <w:b w:val="0"/>
          <w:color w:val="auto"/>
          <w:sz w:val="24"/>
          <w:szCs w:val="24"/>
          <w:highlight w:val="none"/>
        </w:rPr>
        <w:t>18.6 试运行</w:t>
      </w:r>
      <w:bookmarkEnd w:id="1036"/>
      <w:bookmarkEnd w:id="1037"/>
      <w:bookmarkEnd w:id="1038"/>
      <w:bookmarkEnd w:id="1039"/>
      <w:bookmarkEnd w:id="1040"/>
    </w:p>
    <w:p w14:paraId="6A248B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18.6.1</w:t>
      </w:r>
      <w:r>
        <w:rPr>
          <w:rFonts w:hint="default" w:ascii="Times New Roman" w:hAnsi="Times New Roman" w:cs="Times New Roman"/>
          <w:b/>
          <w:color w:val="auto"/>
          <w:sz w:val="24"/>
          <w:highlight w:val="none"/>
        </w:rPr>
        <w:t xml:space="preserve"> </w:t>
      </w:r>
      <w:r>
        <w:rPr>
          <w:rFonts w:hint="default" w:ascii="Times New Roman" w:hAnsi="Times New Roman" w:cs="Times New Roman"/>
          <w:color w:val="auto"/>
          <w:sz w:val="24"/>
          <w:highlight w:val="none"/>
        </w:rPr>
        <w:t>除专用合同条款另有约定外，承包人应按专用合同条款约定进行工程及工程设备试运行，负责提供试运行所需的人员、器材和必要的条件，并承担全部试运行费用。</w:t>
      </w:r>
    </w:p>
    <w:p w14:paraId="0F0084DB">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11DF0F2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1" w:name="_Toc14071"/>
      <w:bookmarkStart w:id="1042" w:name="_Toc22550"/>
      <w:bookmarkStart w:id="1043" w:name="_Toc13521"/>
      <w:bookmarkStart w:id="1044" w:name="_Toc234833088"/>
      <w:bookmarkStart w:id="1045" w:name="_Toc26314"/>
      <w:r>
        <w:rPr>
          <w:rFonts w:hint="default" w:ascii="Times New Roman" w:hAnsi="Times New Roman" w:eastAsia="黑体" w:cs="Times New Roman"/>
          <w:b w:val="0"/>
          <w:color w:val="auto"/>
          <w:sz w:val="24"/>
          <w:szCs w:val="24"/>
          <w:highlight w:val="none"/>
        </w:rPr>
        <w:t>18.7 竣工清场</w:t>
      </w:r>
      <w:bookmarkEnd w:id="1041"/>
      <w:bookmarkEnd w:id="1042"/>
      <w:bookmarkEnd w:id="1043"/>
      <w:bookmarkEnd w:id="1044"/>
      <w:bookmarkEnd w:id="1045"/>
    </w:p>
    <w:p w14:paraId="623250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18.7.1除合同另有约定外，工程接收证书颁发后，承包人应按以下要求对施工场地进行清理，直至监理人检验合格为止。竣工清场费用由承包人承担。</w:t>
      </w:r>
    </w:p>
    <w:p w14:paraId="74ACF30C">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（1）施工场地内残留的垃圾已全部清除出场；</w:t>
      </w:r>
    </w:p>
    <w:p w14:paraId="2F3EDEA7">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（2）临时工程已拆除，场地已按合同要求进行清理、平整或复原；</w:t>
      </w:r>
    </w:p>
    <w:p w14:paraId="699CD41F">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（3）按合同约定应撤离的承包人设备和剩余的材料，包括废弃的施工设备和材料，已按计划撤离施工场地；</w:t>
      </w:r>
    </w:p>
    <w:p w14:paraId="1B2FC8B5">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（4）工程建筑物周边及其附近道路、河道的施工堆积物，已按监理人指示全部清理；</w:t>
      </w:r>
    </w:p>
    <w:p w14:paraId="3351419E">
      <w:pPr>
        <w:pageBreakBefore w:val="0"/>
        <w:kinsoku/>
        <w:wordWrap w:val="0"/>
        <w:bidi w:val="0"/>
        <w:spacing w:line="400" w:lineRule="atLeast"/>
        <w:ind w:firstLine="650" w:firstLineChars="27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（5）监理人指示的其他场地清理工作已全部完成。</w:t>
      </w:r>
    </w:p>
    <w:p w14:paraId="3AEEACE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18.7.2承包人未按监理人的要求恢复临时占地，或者场地清理未达到合同约定的，发包人有权委托其他人恢复或清理，所发生的金额从拟支付给承包人的款项中扣除。</w:t>
      </w:r>
    </w:p>
    <w:p w14:paraId="5FE22C9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46" w:name="_Toc7517"/>
      <w:bookmarkStart w:id="1047" w:name="_Toc234833089"/>
      <w:bookmarkStart w:id="1048" w:name="_Toc5042"/>
      <w:bookmarkStart w:id="1049" w:name="_Toc23526"/>
      <w:bookmarkStart w:id="1050" w:name="_Toc14033"/>
      <w:r>
        <w:rPr>
          <w:rFonts w:hint="default" w:ascii="Times New Roman" w:hAnsi="Times New Roman" w:eastAsia="黑体" w:cs="Times New Roman"/>
          <w:b w:val="0"/>
          <w:color w:val="auto"/>
          <w:sz w:val="24"/>
          <w:szCs w:val="24"/>
          <w:highlight w:val="none"/>
        </w:rPr>
        <w:t>18.8施工队伍的撤离</w:t>
      </w:r>
      <w:bookmarkEnd w:id="1046"/>
      <w:bookmarkEnd w:id="1047"/>
      <w:bookmarkEnd w:id="1048"/>
      <w:bookmarkEnd w:id="1049"/>
      <w:bookmarkEnd w:id="1050"/>
    </w:p>
    <w:p w14:paraId="3227E8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4531121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51" w:name="_Toc234833090"/>
      <w:bookmarkStart w:id="1052" w:name="_Toc2492"/>
      <w:bookmarkStart w:id="1053" w:name="_Toc2434"/>
      <w:bookmarkStart w:id="1054" w:name="_Toc7332"/>
      <w:bookmarkStart w:id="1055" w:name="_Toc11982"/>
      <w:r>
        <w:rPr>
          <w:rFonts w:hint="default" w:ascii="Times New Roman" w:hAnsi="Times New Roman" w:eastAsia="黑体" w:cs="Times New Roman"/>
          <w:b w:val="0"/>
          <w:color w:val="auto"/>
          <w:sz w:val="28"/>
          <w:szCs w:val="28"/>
          <w:highlight w:val="none"/>
        </w:rPr>
        <w:t>19. 缺陷责任与保修责任</w:t>
      </w:r>
      <w:bookmarkEnd w:id="1051"/>
      <w:bookmarkEnd w:id="1052"/>
      <w:bookmarkEnd w:id="1053"/>
      <w:bookmarkEnd w:id="1054"/>
      <w:bookmarkEnd w:id="1055"/>
    </w:p>
    <w:p w14:paraId="54FE2C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56" w:name="_Toc29823"/>
      <w:bookmarkStart w:id="1057" w:name="_Toc234833091"/>
      <w:bookmarkStart w:id="1058" w:name="_Toc26824"/>
      <w:bookmarkStart w:id="1059" w:name="_Toc21347"/>
      <w:bookmarkStart w:id="1060" w:name="_Toc28348"/>
      <w:r>
        <w:rPr>
          <w:rFonts w:hint="default" w:ascii="Times New Roman" w:hAnsi="Times New Roman" w:eastAsia="黑体" w:cs="Times New Roman"/>
          <w:b w:val="0"/>
          <w:color w:val="auto"/>
          <w:sz w:val="24"/>
          <w:szCs w:val="24"/>
          <w:highlight w:val="none"/>
        </w:rPr>
        <w:t>19.1 缺陷责任期的起算时间</w:t>
      </w:r>
      <w:bookmarkEnd w:id="1056"/>
      <w:bookmarkEnd w:id="1057"/>
      <w:bookmarkEnd w:id="1058"/>
      <w:bookmarkEnd w:id="1059"/>
      <w:bookmarkEnd w:id="1060"/>
    </w:p>
    <w:p w14:paraId="1ED3CD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缺陷责任期自实际竣工日期起计算。在全部工程竣工验收前，已经发包人提前验收的单位工程，其缺陷责任期的起算日期相应提前。</w:t>
      </w:r>
    </w:p>
    <w:p w14:paraId="4B8765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1" w:name="_Toc18931"/>
      <w:bookmarkStart w:id="1062" w:name="_Toc23702"/>
      <w:bookmarkStart w:id="1063" w:name="_Toc17874"/>
      <w:bookmarkStart w:id="1064" w:name="_Toc234833092"/>
      <w:bookmarkStart w:id="1065" w:name="_Toc28619"/>
      <w:r>
        <w:rPr>
          <w:rFonts w:hint="default" w:ascii="Times New Roman" w:hAnsi="Times New Roman" w:eastAsia="黑体" w:cs="Times New Roman"/>
          <w:b w:val="0"/>
          <w:color w:val="auto"/>
          <w:sz w:val="24"/>
          <w:szCs w:val="24"/>
          <w:highlight w:val="none"/>
        </w:rPr>
        <w:t>19.2 缺陷责任</w:t>
      </w:r>
      <w:bookmarkEnd w:id="1061"/>
      <w:bookmarkEnd w:id="1062"/>
      <w:bookmarkEnd w:id="1063"/>
      <w:bookmarkEnd w:id="1064"/>
      <w:bookmarkEnd w:id="1065"/>
    </w:p>
    <w:p w14:paraId="1148CC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19.2.1 承包人应在缺陷责任期内对已交付使用的工程承担缺陷责任。</w:t>
      </w:r>
    </w:p>
    <w:p w14:paraId="37EB852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3FF8DC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6F5071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19.2.4 承包人不能在合理时间内修复缺陷的，发包人可自行修复或委托其他人修复，所需费用和利润的承担，按第19.2.3项约定办理。</w:t>
      </w:r>
    </w:p>
    <w:p w14:paraId="4A9E44C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66" w:name="_Toc4363"/>
      <w:bookmarkStart w:id="1067" w:name="_Toc26044"/>
      <w:bookmarkStart w:id="1068" w:name="_Toc28473"/>
      <w:bookmarkStart w:id="1069" w:name="_Toc234833093"/>
      <w:bookmarkStart w:id="1070" w:name="_Toc10617"/>
      <w:r>
        <w:rPr>
          <w:rFonts w:hint="default" w:ascii="Times New Roman" w:hAnsi="Times New Roman" w:eastAsia="黑体" w:cs="Times New Roman"/>
          <w:b w:val="0"/>
          <w:color w:val="auto"/>
          <w:sz w:val="24"/>
          <w:szCs w:val="24"/>
          <w:highlight w:val="none"/>
        </w:rPr>
        <w:t>19.3 缺陷责任期的延长</w:t>
      </w:r>
      <w:bookmarkEnd w:id="1066"/>
      <w:bookmarkEnd w:id="1067"/>
      <w:bookmarkEnd w:id="1068"/>
      <w:bookmarkEnd w:id="1069"/>
      <w:bookmarkEnd w:id="1070"/>
    </w:p>
    <w:p w14:paraId="0DFFD4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5A5A2C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1" w:name="_Toc722"/>
      <w:bookmarkStart w:id="1072" w:name="_Toc234833094"/>
      <w:bookmarkStart w:id="1073" w:name="_Toc15365"/>
      <w:bookmarkStart w:id="1074" w:name="_Toc10764"/>
      <w:bookmarkStart w:id="1075" w:name="_Toc7466"/>
      <w:r>
        <w:rPr>
          <w:rFonts w:hint="default" w:ascii="Times New Roman" w:hAnsi="Times New Roman" w:eastAsia="黑体" w:cs="Times New Roman"/>
          <w:b w:val="0"/>
          <w:color w:val="auto"/>
          <w:sz w:val="24"/>
          <w:szCs w:val="24"/>
          <w:highlight w:val="none"/>
        </w:rPr>
        <w:t>19.4 进一步试验和试运行</w:t>
      </w:r>
      <w:bookmarkEnd w:id="1071"/>
      <w:bookmarkEnd w:id="1072"/>
      <w:bookmarkEnd w:id="1073"/>
      <w:bookmarkEnd w:id="1074"/>
      <w:bookmarkEnd w:id="1075"/>
    </w:p>
    <w:p w14:paraId="71505749">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任何一项缺陷或损坏修复后，经检查证明其影响了工程或工程设备的使用性能，承包人应重新进行合同约定的试验和试运行，试验和试运行的全部费用应由责任方承担。</w:t>
      </w:r>
    </w:p>
    <w:p w14:paraId="24D0675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76" w:name="_Toc31117"/>
      <w:bookmarkStart w:id="1077" w:name="_Toc234833095"/>
      <w:bookmarkStart w:id="1078" w:name="_Toc13723"/>
      <w:bookmarkStart w:id="1079" w:name="_Toc5095"/>
      <w:bookmarkStart w:id="1080" w:name="_Toc1336"/>
      <w:r>
        <w:rPr>
          <w:rFonts w:hint="default" w:ascii="Times New Roman" w:hAnsi="Times New Roman" w:eastAsia="黑体" w:cs="Times New Roman"/>
          <w:b w:val="0"/>
          <w:color w:val="auto"/>
          <w:sz w:val="24"/>
          <w:szCs w:val="24"/>
          <w:highlight w:val="none"/>
        </w:rPr>
        <w:t>19.5 承包人的进入权</w:t>
      </w:r>
      <w:bookmarkEnd w:id="1076"/>
      <w:bookmarkEnd w:id="1077"/>
      <w:bookmarkEnd w:id="1078"/>
      <w:bookmarkEnd w:id="1079"/>
      <w:bookmarkEnd w:id="1080"/>
      <w:r>
        <w:rPr>
          <w:rFonts w:hint="default" w:ascii="Times New Roman" w:hAnsi="Times New Roman" w:eastAsia="黑体" w:cs="Times New Roman"/>
          <w:b w:val="0"/>
          <w:color w:val="auto"/>
          <w:sz w:val="24"/>
          <w:szCs w:val="24"/>
          <w:highlight w:val="none"/>
        </w:rPr>
        <w:t xml:space="preserve"> </w:t>
      </w:r>
    </w:p>
    <w:p w14:paraId="5A72FDEC">
      <w:pPr>
        <w:pageBreakBefore w:val="0"/>
        <w:kinsoku/>
        <w:wordWrap w:val="0"/>
        <w:bidi w:val="0"/>
        <w:spacing w:line="400" w:lineRule="atLeast"/>
        <w:ind w:firstLine="43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缺陷责任期内承包人为缺陷修复工作需要，有权进入工程现场，但应遵守发包人的保安和保密规定。</w:t>
      </w:r>
    </w:p>
    <w:p w14:paraId="4FA4872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1" w:name="_Toc10078"/>
      <w:bookmarkStart w:id="1082" w:name="_Toc20655"/>
      <w:bookmarkStart w:id="1083" w:name="_Toc12330"/>
      <w:bookmarkStart w:id="1084" w:name="_Toc2337"/>
      <w:bookmarkStart w:id="1085" w:name="_Toc234833096"/>
      <w:r>
        <w:rPr>
          <w:rFonts w:hint="default" w:ascii="Times New Roman" w:hAnsi="Times New Roman" w:eastAsia="黑体" w:cs="Times New Roman"/>
          <w:b w:val="0"/>
          <w:color w:val="auto"/>
          <w:sz w:val="24"/>
          <w:szCs w:val="24"/>
          <w:highlight w:val="none"/>
        </w:rPr>
        <w:t>19.6 缺陷责任期终止证书</w:t>
      </w:r>
      <w:bookmarkEnd w:id="1081"/>
      <w:bookmarkEnd w:id="1082"/>
      <w:bookmarkEnd w:id="1083"/>
      <w:bookmarkEnd w:id="1084"/>
      <w:bookmarkEnd w:id="1085"/>
    </w:p>
    <w:p w14:paraId="5EC578B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在第1.1.4.5目约定的缺陷责任期，包括根据第19.3款延长的期限终止后14天内，由监理人向承包人出具经发包人签认的缺陷责任期终止证书，并退还剩余的质量保证金。</w:t>
      </w:r>
    </w:p>
    <w:p w14:paraId="507968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86" w:name="_Toc7127"/>
      <w:bookmarkStart w:id="1087" w:name="_Toc234833097"/>
      <w:bookmarkStart w:id="1088" w:name="_Toc21869"/>
      <w:bookmarkStart w:id="1089" w:name="_Toc19867"/>
      <w:bookmarkStart w:id="1090" w:name="_Toc19327"/>
      <w:r>
        <w:rPr>
          <w:rFonts w:hint="default" w:ascii="Times New Roman" w:hAnsi="Times New Roman" w:eastAsia="黑体" w:cs="Times New Roman"/>
          <w:b w:val="0"/>
          <w:color w:val="auto"/>
          <w:sz w:val="24"/>
          <w:szCs w:val="24"/>
          <w:highlight w:val="none"/>
        </w:rPr>
        <w:t>19.7 保修责任</w:t>
      </w:r>
      <w:bookmarkEnd w:id="1086"/>
      <w:bookmarkEnd w:id="1087"/>
      <w:bookmarkEnd w:id="1088"/>
      <w:bookmarkEnd w:id="1089"/>
      <w:bookmarkEnd w:id="1090"/>
    </w:p>
    <w:p w14:paraId="3DA2A2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4BB78575">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091" w:name="_Toc234833098"/>
      <w:bookmarkStart w:id="1092" w:name="_Toc12018"/>
      <w:bookmarkStart w:id="1093" w:name="_Toc19060"/>
      <w:bookmarkStart w:id="1094" w:name="_Toc31666"/>
      <w:bookmarkStart w:id="1095" w:name="_Toc13061"/>
      <w:r>
        <w:rPr>
          <w:rFonts w:hint="default" w:ascii="Times New Roman" w:hAnsi="Times New Roman" w:eastAsia="黑体" w:cs="Times New Roman"/>
          <w:b w:val="0"/>
          <w:color w:val="auto"/>
          <w:sz w:val="28"/>
          <w:szCs w:val="28"/>
          <w:highlight w:val="none"/>
        </w:rPr>
        <w:t>20. 保险</w:t>
      </w:r>
      <w:bookmarkEnd w:id="1091"/>
      <w:bookmarkEnd w:id="1092"/>
      <w:bookmarkEnd w:id="1093"/>
      <w:bookmarkEnd w:id="1094"/>
      <w:bookmarkEnd w:id="1095"/>
    </w:p>
    <w:p w14:paraId="6BAAD5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096" w:name="_Toc1238"/>
      <w:bookmarkStart w:id="1097" w:name="_Toc234833099"/>
      <w:bookmarkStart w:id="1098" w:name="_Toc1058"/>
      <w:bookmarkStart w:id="1099" w:name="_Toc4841"/>
      <w:bookmarkStart w:id="1100" w:name="_Toc2070"/>
      <w:r>
        <w:rPr>
          <w:rFonts w:hint="default" w:ascii="Times New Roman" w:hAnsi="Times New Roman" w:eastAsia="黑体" w:cs="Times New Roman"/>
          <w:b w:val="0"/>
          <w:color w:val="auto"/>
          <w:sz w:val="24"/>
          <w:szCs w:val="24"/>
          <w:highlight w:val="none"/>
        </w:rPr>
        <w:t>20.1工程保险</w:t>
      </w:r>
      <w:bookmarkEnd w:id="1096"/>
      <w:bookmarkEnd w:id="1097"/>
      <w:bookmarkEnd w:id="1098"/>
      <w:bookmarkEnd w:id="1099"/>
      <w:bookmarkEnd w:id="1100"/>
    </w:p>
    <w:p w14:paraId="708F206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ECFDBD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1" w:name="_Toc234833100"/>
      <w:bookmarkStart w:id="1102" w:name="_Toc30523"/>
      <w:bookmarkStart w:id="1103" w:name="_Toc20291"/>
      <w:bookmarkStart w:id="1104" w:name="_Toc21060"/>
      <w:bookmarkStart w:id="1105" w:name="_Toc10723"/>
      <w:r>
        <w:rPr>
          <w:rFonts w:hint="default" w:ascii="Times New Roman" w:hAnsi="Times New Roman" w:eastAsia="黑体" w:cs="Times New Roman"/>
          <w:b w:val="0"/>
          <w:color w:val="auto"/>
          <w:sz w:val="24"/>
          <w:szCs w:val="24"/>
          <w:highlight w:val="none"/>
        </w:rPr>
        <w:t>20.2人员工伤事故的保险</w:t>
      </w:r>
      <w:bookmarkEnd w:id="1101"/>
      <w:bookmarkEnd w:id="1102"/>
      <w:bookmarkEnd w:id="1103"/>
      <w:bookmarkEnd w:id="1104"/>
      <w:bookmarkEnd w:id="1105"/>
    </w:p>
    <w:p w14:paraId="27F30A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20.2.1 </w:t>
      </w:r>
      <w:r>
        <w:rPr>
          <w:rFonts w:hint="default" w:ascii="Times New Roman" w:hAnsi="Times New Roman" w:eastAsia="黑体" w:cs="Times New Roman"/>
          <w:color w:val="auto"/>
          <w:sz w:val="24"/>
          <w:highlight w:val="none"/>
        </w:rPr>
        <w:t>承包人员工伤事故的保险</w:t>
      </w:r>
    </w:p>
    <w:p w14:paraId="43DB6F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承包人应依照有关法律规定参加工伤保险，为其履行合同所雇用的全部人员，缴纳工伤保险费，并要求其分包人也进行此项保险。</w:t>
      </w:r>
    </w:p>
    <w:p w14:paraId="1EE1E1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20.2.2</w:t>
      </w:r>
      <w:r>
        <w:rPr>
          <w:rFonts w:hint="default" w:ascii="Times New Roman" w:hAnsi="Times New Roman" w:eastAsia="黑体" w:cs="Times New Roman"/>
          <w:color w:val="auto"/>
          <w:sz w:val="24"/>
          <w:highlight w:val="none"/>
        </w:rPr>
        <w:t>发包人员工伤事故的保险</w:t>
      </w:r>
    </w:p>
    <w:p w14:paraId="0949F37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发包人应依照有关法律规定参加工伤保险，为其现场机构雇用的全部人员，缴纳工伤保险费，并要求其监理人也进行此项保险。</w:t>
      </w:r>
    </w:p>
    <w:p w14:paraId="646DFC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06" w:name="_Toc14046"/>
      <w:bookmarkStart w:id="1107" w:name="_Toc11127"/>
      <w:bookmarkStart w:id="1108" w:name="_Toc18737"/>
      <w:bookmarkStart w:id="1109" w:name="_Toc234833101"/>
      <w:bookmarkStart w:id="1110" w:name="_Toc20449"/>
      <w:r>
        <w:rPr>
          <w:rFonts w:hint="default" w:ascii="Times New Roman" w:hAnsi="Times New Roman" w:eastAsia="黑体" w:cs="Times New Roman"/>
          <w:b w:val="0"/>
          <w:color w:val="auto"/>
          <w:sz w:val="24"/>
          <w:szCs w:val="24"/>
          <w:highlight w:val="none"/>
        </w:rPr>
        <w:t>20.3 人身意外伤害险</w:t>
      </w:r>
      <w:bookmarkEnd w:id="1106"/>
      <w:bookmarkEnd w:id="1107"/>
      <w:bookmarkEnd w:id="1108"/>
      <w:bookmarkEnd w:id="1109"/>
      <w:bookmarkEnd w:id="1110"/>
    </w:p>
    <w:p w14:paraId="3EE5F1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20.3.1发包人应在整个施工期间为其现场机构雇用的全部人员，投保人身意外伤害险，缴纳保险费，并要求其监理人也进行此项保险。</w:t>
      </w:r>
    </w:p>
    <w:p w14:paraId="2A2E35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20.3.2 承包人应在整个施工期间为其现场机构雇用的全部人员，投保人身意外伤害险，缴纳保险费，并要求其分包人也进行此项保险。</w:t>
      </w:r>
    </w:p>
    <w:p w14:paraId="58081B4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1" w:name="_Toc234833102"/>
      <w:bookmarkStart w:id="1112" w:name="_Toc26139"/>
      <w:bookmarkStart w:id="1113" w:name="_Toc27566"/>
      <w:bookmarkStart w:id="1114" w:name="_Toc23644"/>
      <w:bookmarkStart w:id="1115" w:name="_Toc542"/>
      <w:r>
        <w:rPr>
          <w:rFonts w:hint="default" w:ascii="Times New Roman" w:hAnsi="Times New Roman" w:eastAsia="黑体" w:cs="Times New Roman"/>
          <w:b w:val="0"/>
          <w:color w:val="auto"/>
          <w:sz w:val="24"/>
          <w:szCs w:val="24"/>
          <w:highlight w:val="none"/>
        </w:rPr>
        <w:t>20.4 第三者责任险</w:t>
      </w:r>
      <w:bookmarkEnd w:id="1111"/>
      <w:bookmarkEnd w:id="1112"/>
      <w:bookmarkEnd w:id="1113"/>
      <w:bookmarkEnd w:id="1114"/>
      <w:bookmarkEnd w:id="1115"/>
    </w:p>
    <w:p w14:paraId="69569092">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21E17C53">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20.4.2 在缺陷责任期终止证书颁发前，承包人应以承包人和发包人的共同名义，投保第20.4.1项约定的第三者责任险，其保险费率、保险金额等有关内容在专用合同条款中约定。</w:t>
      </w:r>
    </w:p>
    <w:p w14:paraId="51DB05F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16" w:name="_Toc15956"/>
      <w:bookmarkStart w:id="1117" w:name="_Toc11738"/>
      <w:bookmarkStart w:id="1118" w:name="_Toc234833103"/>
      <w:bookmarkStart w:id="1119" w:name="_Toc17223"/>
      <w:bookmarkStart w:id="1120" w:name="_Toc27726"/>
      <w:r>
        <w:rPr>
          <w:rFonts w:hint="default" w:ascii="Times New Roman" w:hAnsi="Times New Roman" w:eastAsia="黑体" w:cs="Times New Roman"/>
          <w:b w:val="0"/>
          <w:color w:val="auto"/>
          <w:sz w:val="24"/>
          <w:szCs w:val="24"/>
          <w:highlight w:val="none"/>
        </w:rPr>
        <w:t>20.5 其他保险</w:t>
      </w:r>
      <w:bookmarkEnd w:id="1116"/>
      <w:bookmarkEnd w:id="1117"/>
      <w:bookmarkEnd w:id="1118"/>
      <w:bookmarkEnd w:id="1119"/>
      <w:bookmarkEnd w:id="1120"/>
    </w:p>
    <w:p w14:paraId="3A6D00C2">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除专用合同条款另有约定外，承包人应为其施工设备、进场的材料和工程设备等办理保险。</w:t>
      </w:r>
    </w:p>
    <w:p w14:paraId="35715E0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21" w:name="_Toc1822"/>
      <w:bookmarkStart w:id="1122" w:name="_Toc6798"/>
      <w:bookmarkStart w:id="1123" w:name="_Toc16557"/>
      <w:bookmarkStart w:id="1124" w:name="_Toc25129"/>
      <w:bookmarkStart w:id="1125" w:name="_Toc234833104"/>
      <w:r>
        <w:rPr>
          <w:rFonts w:hint="default" w:ascii="Times New Roman" w:hAnsi="Times New Roman" w:eastAsia="黑体" w:cs="Times New Roman"/>
          <w:b w:val="0"/>
          <w:color w:val="auto"/>
          <w:sz w:val="24"/>
          <w:szCs w:val="24"/>
          <w:highlight w:val="none"/>
        </w:rPr>
        <w:t>20.6 对各项保险的一般要求</w:t>
      </w:r>
      <w:bookmarkEnd w:id="1121"/>
      <w:bookmarkEnd w:id="1122"/>
      <w:bookmarkEnd w:id="1123"/>
      <w:bookmarkEnd w:id="1124"/>
      <w:bookmarkEnd w:id="1125"/>
    </w:p>
    <w:p w14:paraId="62C0EAD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20.6.1 </w:t>
      </w:r>
      <w:r>
        <w:rPr>
          <w:rFonts w:hint="default" w:ascii="Times New Roman" w:hAnsi="Times New Roman" w:eastAsia="黑体" w:cs="Times New Roman"/>
          <w:color w:val="auto"/>
          <w:sz w:val="24"/>
          <w:highlight w:val="none"/>
        </w:rPr>
        <w:t>保险凭证</w:t>
      </w:r>
    </w:p>
    <w:p w14:paraId="5675955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承包人应在专用合同条款约定的期限内向发包人提交各项保险生效的证据和保险单副本，保险单必须与专用合同条款约定的条件保持一致。</w:t>
      </w:r>
    </w:p>
    <w:p w14:paraId="1A4C371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20.6.2</w:t>
      </w:r>
      <w:r>
        <w:rPr>
          <w:rFonts w:hint="default" w:ascii="Times New Roman" w:hAnsi="Times New Roman" w:eastAsia="黑体" w:cs="Times New Roman"/>
          <w:color w:val="auto"/>
          <w:sz w:val="24"/>
          <w:highlight w:val="none"/>
        </w:rPr>
        <w:t>保险合同条款的变动</w:t>
      </w:r>
    </w:p>
    <w:p w14:paraId="1619027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承包人需要变动保险合同条款时，应事先征得发包人同意，并通知监理人。保险人作出变动的，承包人应在收到保险人通知后立即通知发包人和监理人。</w:t>
      </w:r>
    </w:p>
    <w:p w14:paraId="5761807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20.6.3 </w:t>
      </w:r>
      <w:r>
        <w:rPr>
          <w:rFonts w:hint="default" w:ascii="Times New Roman" w:hAnsi="Times New Roman" w:eastAsia="黑体" w:cs="Times New Roman"/>
          <w:color w:val="auto"/>
          <w:sz w:val="24"/>
          <w:highlight w:val="none"/>
        </w:rPr>
        <w:t>持续保险</w:t>
      </w:r>
    </w:p>
    <w:p w14:paraId="6B58875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承包人应与保险人保持联系，使保险人能够随时了解工程实施中的变动，并确保按保险合同条款要求持续保险。</w:t>
      </w:r>
    </w:p>
    <w:p w14:paraId="2DBDC6E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20.6.4 </w:t>
      </w:r>
      <w:r>
        <w:rPr>
          <w:rFonts w:hint="default" w:ascii="Times New Roman" w:hAnsi="Times New Roman" w:eastAsia="黑体" w:cs="Times New Roman"/>
          <w:color w:val="auto"/>
          <w:sz w:val="24"/>
          <w:highlight w:val="none"/>
        </w:rPr>
        <w:t>保险金不足的补偿</w:t>
      </w:r>
    </w:p>
    <w:p w14:paraId="2F04349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保险金不足以补偿损失的，应由承包人和（或）发包人按合同约定负责补偿。</w:t>
      </w:r>
    </w:p>
    <w:p w14:paraId="741977F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20.6.5 </w:t>
      </w:r>
      <w:r>
        <w:rPr>
          <w:rFonts w:hint="default" w:ascii="Times New Roman" w:hAnsi="Times New Roman" w:eastAsia="黑体" w:cs="Times New Roman"/>
          <w:color w:val="auto"/>
          <w:sz w:val="24"/>
          <w:highlight w:val="none"/>
        </w:rPr>
        <w:t>未按约定投保的补救</w:t>
      </w:r>
    </w:p>
    <w:p w14:paraId="02B81D0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（1）由于负有投保义务的一方当事人未按合同约定办理保险，或未能使保险持续有效的，另一方当事人可代为办理，所需费用由对方当事人承担。</w:t>
      </w:r>
    </w:p>
    <w:p w14:paraId="24C153B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（2）由于负有投保义务的一方当事人未按合同约定办理某项保险，导致受益人未能得到保险人的赔偿，原应从该项保险得到的保险金应由负有投保义务的一方当事人支付。</w:t>
      </w:r>
    </w:p>
    <w:p w14:paraId="3A6F796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20.6.6</w:t>
      </w:r>
      <w:r>
        <w:rPr>
          <w:rFonts w:hint="default" w:ascii="Times New Roman" w:hAnsi="Times New Roman" w:eastAsia="黑体" w:cs="Times New Roman"/>
          <w:color w:val="auto"/>
          <w:sz w:val="24"/>
          <w:highlight w:val="none"/>
        </w:rPr>
        <w:t>报告义务</w:t>
      </w:r>
    </w:p>
    <w:p w14:paraId="331F9AFD">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当保险事故发生时，投保人应按照保险单规定的条件和期限及时向保险人报告。</w:t>
      </w:r>
    </w:p>
    <w:p w14:paraId="1ADE1BA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26" w:name="_Toc234833105"/>
      <w:bookmarkStart w:id="1127" w:name="_Toc1585"/>
      <w:bookmarkStart w:id="1128" w:name="_Toc27736"/>
      <w:bookmarkStart w:id="1129" w:name="_Toc5907"/>
      <w:bookmarkStart w:id="1130" w:name="_Toc25184"/>
      <w:r>
        <w:rPr>
          <w:rFonts w:hint="default" w:ascii="Times New Roman" w:hAnsi="Times New Roman" w:eastAsia="黑体" w:cs="Times New Roman"/>
          <w:b w:val="0"/>
          <w:color w:val="auto"/>
          <w:sz w:val="28"/>
          <w:szCs w:val="28"/>
          <w:highlight w:val="none"/>
        </w:rPr>
        <w:t>21. 不可抗力</w:t>
      </w:r>
      <w:bookmarkEnd w:id="1126"/>
      <w:bookmarkEnd w:id="1127"/>
      <w:bookmarkEnd w:id="1128"/>
      <w:bookmarkEnd w:id="1129"/>
      <w:bookmarkEnd w:id="1130"/>
    </w:p>
    <w:p w14:paraId="5BDA250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1" w:name="_Toc16484"/>
      <w:bookmarkStart w:id="1132" w:name="_Toc11379"/>
      <w:bookmarkStart w:id="1133" w:name="_Toc30030"/>
      <w:bookmarkStart w:id="1134" w:name="_Toc234833106"/>
      <w:bookmarkStart w:id="1135" w:name="_Toc965"/>
      <w:r>
        <w:rPr>
          <w:rFonts w:hint="default" w:ascii="Times New Roman" w:hAnsi="Times New Roman" w:eastAsia="黑体" w:cs="Times New Roman"/>
          <w:b w:val="0"/>
          <w:color w:val="auto"/>
          <w:sz w:val="24"/>
          <w:szCs w:val="24"/>
          <w:highlight w:val="none"/>
        </w:rPr>
        <w:t>21.1 不可抗力的确认</w:t>
      </w:r>
      <w:bookmarkEnd w:id="1131"/>
      <w:bookmarkEnd w:id="1132"/>
      <w:bookmarkEnd w:id="1133"/>
      <w:bookmarkEnd w:id="1134"/>
      <w:bookmarkEnd w:id="1135"/>
    </w:p>
    <w:p w14:paraId="692C3B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45EF8C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48D5928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36" w:name="_Toc4694"/>
      <w:bookmarkStart w:id="1137" w:name="_Toc234833107"/>
      <w:bookmarkStart w:id="1138" w:name="_Toc22207"/>
      <w:bookmarkStart w:id="1139" w:name="_Toc29589"/>
      <w:bookmarkStart w:id="1140" w:name="_Toc18922"/>
      <w:r>
        <w:rPr>
          <w:rFonts w:hint="default" w:ascii="Times New Roman" w:hAnsi="Times New Roman" w:eastAsia="黑体" w:cs="Times New Roman"/>
          <w:b w:val="0"/>
          <w:color w:val="auto"/>
          <w:sz w:val="24"/>
          <w:szCs w:val="24"/>
          <w:highlight w:val="none"/>
        </w:rPr>
        <w:t>21.2 不可抗力的通知</w:t>
      </w:r>
      <w:bookmarkEnd w:id="1136"/>
      <w:bookmarkEnd w:id="1137"/>
      <w:bookmarkEnd w:id="1138"/>
      <w:bookmarkEnd w:id="1139"/>
      <w:bookmarkEnd w:id="1140"/>
    </w:p>
    <w:p w14:paraId="72FC1A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21.2.1 合同一方当事人遇到不可抗力事件，使其履行合同义务受到阻碍时，应立即通知合同另一方当事人和监理人，书面说明不可抗力和受阻碍的详细情况，并提供必要的证明。</w:t>
      </w:r>
    </w:p>
    <w:p w14:paraId="78059E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6A90F4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41" w:name="_Toc1838"/>
      <w:bookmarkStart w:id="1142" w:name="_Toc234833108"/>
      <w:bookmarkStart w:id="1143" w:name="_Toc23687"/>
      <w:bookmarkStart w:id="1144" w:name="_Toc15417"/>
      <w:bookmarkStart w:id="1145" w:name="_Toc15055"/>
      <w:r>
        <w:rPr>
          <w:rFonts w:hint="default" w:ascii="Times New Roman" w:hAnsi="Times New Roman" w:eastAsia="黑体" w:cs="Times New Roman"/>
          <w:b w:val="0"/>
          <w:color w:val="auto"/>
          <w:sz w:val="24"/>
          <w:szCs w:val="24"/>
          <w:highlight w:val="none"/>
        </w:rPr>
        <w:t>21.3 不可抗力后果及其处理</w:t>
      </w:r>
      <w:bookmarkEnd w:id="1141"/>
      <w:bookmarkEnd w:id="1142"/>
      <w:bookmarkEnd w:id="1143"/>
      <w:bookmarkEnd w:id="1144"/>
      <w:bookmarkEnd w:id="1145"/>
    </w:p>
    <w:p w14:paraId="176BD42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21.3.1 </w:t>
      </w:r>
      <w:r>
        <w:rPr>
          <w:rFonts w:hint="default" w:ascii="Times New Roman" w:hAnsi="Times New Roman" w:eastAsia="黑体" w:cs="Times New Roman"/>
          <w:color w:val="auto"/>
          <w:sz w:val="24"/>
          <w:highlight w:val="none"/>
        </w:rPr>
        <w:t>不可抗力造成损害的责任</w:t>
      </w:r>
    </w:p>
    <w:p w14:paraId="01F1C1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除专用合同条款另有约定外，不可抗力导致的人员伤亡、财产损失、费用增加和（或）工期延误等后果，由合同双方按以下原则承担：</w:t>
      </w:r>
    </w:p>
    <w:p w14:paraId="1BA0A61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（1）永久工程，包括已运至施工场地的材料和工程设备的损害，以及因工程损害造成的第三者人员伤亡和财产损失由发包人承担；</w:t>
      </w:r>
    </w:p>
    <w:p w14:paraId="4FC2FB65">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（2）承包人设备的损坏由承包人承担；</w:t>
      </w:r>
    </w:p>
    <w:p w14:paraId="30D30B0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（3）发包人和承包人各自承担其人员伤亡和其他财产损失及其相关费用；</w:t>
      </w:r>
    </w:p>
    <w:p w14:paraId="28C915B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（4）承包人的停工损失由承包人承担，但停工期间应监理人要求照管工程和清理、修复工程的金额由发包人承担；</w:t>
      </w:r>
    </w:p>
    <w:p w14:paraId="2D412E04">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（5）不能按期竣工的，应合理延长工期，承包人不需支付逾期竣工违约金。发包人要求赶工的，承包人应采取赶工措施，赶工费用由发包人承担。</w:t>
      </w:r>
    </w:p>
    <w:p w14:paraId="70A5EBD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21.3.2 </w:t>
      </w:r>
      <w:r>
        <w:rPr>
          <w:rFonts w:hint="default" w:ascii="Times New Roman" w:hAnsi="Times New Roman" w:eastAsia="黑体" w:cs="Times New Roman"/>
          <w:color w:val="auto"/>
          <w:sz w:val="24"/>
          <w:highlight w:val="none"/>
        </w:rPr>
        <w:t>延迟履行期间发生的不可抗力</w:t>
      </w:r>
    </w:p>
    <w:p w14:paraId="4C4603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合同一方当事人延迟履行，在延迟履行期间发生不可抗力的，不免除其责任。</w:t>
      </w:r>
    </w:p>
    <w:p w14:paraId="1E3D96E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21.3.3 </w:t>
      </w:r>
      <w:r>
        <w:rPr>
          <w:rFonts w:hint="default" w:ascii="Times New Roman" w:hAnsi="Times New Roman" w:eastAsia="黑体" w:cs="Times New Roman"/>
          <w:color w:val="auto"/>
          <w:sz w:val="24"/>
          <w:highlight w:val="none"/>
        </w:rPr>
        <w:t>避免和减少不可抗力损失</w:t>
      </w:r>
    </w:p>
    <w:p w14:paraId="220A11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不可抗力发生后，发包人和承包人均应采取措施尽量避免和减少损失的扩大，任何一方没有采取有效措施导致损失扩大的，应对扩大的损失承担责任。</w:t>
      </w:r>
    </w:p>
    <w:p w14:paraId="1B6934D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2033A31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7559A1BF">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46" w:name="_Toc234833109"/>
      <w:bookmarkStart w:id="1147" w:name="_Toc12831"/>
      <w:bookmarkStart w:id="1148" w:name="_Toc13366"/>
      <w:bookmarkStart w:id="1149" w:name="_Toc18084"/>
      <w:bookmarkStart w:id="1150" w:name="_Toc10830"/>
      <w:r>
        <w:rPr>
          <w:rFonts w:hint="default" w:ascii="Times New Roman" w:hAnsi="Times New Roman" w:eastAsia="黑体" w:cs="Times New Roman"/>
          <w:b w:val="0"/>
          <w:color w:val="auto"/>
          <w:sz w:val="28"/>
          <w:szCs w:val="28"/>
          <w:highlight w:val="none"/>
        </w:rPr>
        <w:t>22. 违约</w:t>
      </w:r>
      <w:bookmarkEnd w:id="1146"/>
      <w:bookmarkEnd w:id="1147"/>
      <w:bookmarkEnd w:id="1148"/>
      <w:bookmarkEnd w:id="1149"/>
      <w:bookmarkEnd w:id="1150"/>
    </w:p>
    <w:p w14:paraId="6C49D2A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51" w:name="_Toc13969"/>
      <w:bookmarkStart w:id="1152" w:name="_Toc18327"/>
      <w:bookmarkStart w:id="1153" w:name="_Toc723"/>
      <w:bookmarkStart w:id="1154" w:name="_Toc8987"/>
      <w:bookmarkStart w:id="1155" w:name="_Toc234833110"/>
      <w:r>
        <w:rPr>
          <w:rFonts w:hint="default" w:ascii="Times New Roman" w:hAnsi="Times New Roman" w:eastAsia="黑体" w:cs="Times New Roman"/>
          <w:b w:val="0"/>
          <w:color w:val="auto"/>
          <w:sz w:val="24"/>
          <w:szCs w:val="24"/>
          <w:highlight w:val="none"/>
        </w:rPr>
        <w:t>22.1 承包人违约</w:t>
      </w:r>
      <w:bookmarkEnd w:id="1151"/>
      <w:bookmarkEnd w:id="1152"/>
      <w:bookmarkEnd w:id="1153"/>
      <w:bookmarkEnd w:id="1154"/>
      <w:bookmarkEnd w:id="1155"/>
    </w:p>
    <w:p w14:paraId="1A19A8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78ACFCC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在履行合同过程中发生的下列情况属承包人违约：</w:t>
      </w:r>
    </w:p>
    <w:p w14:paraId="222013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（1）承包人违反第1.8款或第4.3款的约定，私自将合同的全部或部分权利转让给其他人，或私自将合同的全部或部分义务转移给其他人；</w:t>
      </w:r>
    </w:p>
    <w:p w14:paraId="6A0D16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（2）承包人违反第5.3款或第6.4款的约定，未经监理人批准，私自将已按合同约定进入施工场地的施工设备、临时设施或材料撤离施工场地；</w:t>
      </w:r>
    </w:p>
    <w:p w14:paraId="111D8AD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（3）承包人违反第5.4款的约定使用了不合格材料或工程设备，工程质量达不到标准要求，又拒绝清除不合格工程；</w:t>
      </w:r>
    </w:p>
    <w:p w14:paraId="126D78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（4）承包人未能按合同进度计划及时完成合同约定的工作，已造成或预期造成工期延误；</w:t>
      </w:r>
    </w:p>
    <w:p w14:paraId="5E2D84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（5）承包人在缺陷责任期内，未能对工程接收证书所列的缺陷清单的内容或缺陷责任期内发生的缺陷进行修复，而又拒绝按监理人指示再进行修补；</w:t>
      </w:r>
    </w:p>
    <w:p w14:paraId="5B6EA3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（6）承包人无法继续履行或明确表示不履行或实质上已停止履行合同；</w:t>
      </w:r>
    </w:p>
    <w:p w14:paraId="5D1F2F9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（7）承包人不按合同约定履行义务的其他情况。</w:t>
      </w:r>
    </w:p>
    <w:p w14:paraId="4B37314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0B326D5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（1）承包人发生第22.1.1（6）目约定的违约情况时，发包人可通知承包人立即解除合同，并按有关法律处理。</w:t>
      </w:r>
    </w:p>
    <w:p w14:paraId="04D5ED2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（2）承包人发生除第22.1.1（6）</w:t>
      </w:r>
      <w:r>
        <w:rPr>
          <w:rFonts w:hint="eastAsia" w:cs="Times New Roman"/>
          <w:color w:val="auto"/>
          <w:sz w:val="24"/>
          <w:highlight w:val="none"/>
          <w:lang w:val="en-US" w:eastAsia="zh-CN"/>
        </w:rPr>
        <w:t>项</w:t>
      </w:r>
      <w:r>
        <w:rPr>
          <w:rFonts w:hint="default" w:ascii="Times New Roman" w:hAnsi="Times New Roman" w:cs="Times New Roman"/>
          <w:color w:val="auto"/>
          <w:sz w:val="24"/>
          <w:highlight w:val="none"/>
        </w:rPr>
        <w:t>目约定以外的其他违约情况时，监理人可向承包人发出整改通知，要求其在指定的期限内改正。承包人应承担其违约所引起的费用增加和（或）工期延误。</w:t>
      </w:r>
    </w:p>
    <w:p w14:paraId="281327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（3）经检查证明承包人已采取了有效措施纠正违约行为，具备复工条件的，可由监理人签发复工通知复工。</w:t>
      </w:r>
    </w:p>
    <w:p w14:paraId="01E78C77">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22.1.3 </w:t>
      </w:r>
      <w:r>
        <w:rPr>
          <w:rFonts w:hint="default" w:ascii="Times New Roman" w:hAnsi="Times New Roman" w:eastAsia="黑体" w:cs="Times New Roman"/>
          <w:color w:val="auto"/>
          <w:sz w:val="24"/>
          <w:highlight w:val="none"/>
        </w:rPr>
        <w:t>承包人违约解除合同</w:t>
      </w:r>
    </w:p>
    <w:p w14:paraId="4506816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315C10D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22.1.4 </w:t>
      </w:r>
      <w:r>
        <w:rPr>
          <w:rFonts w:hint="default" w:ascii="Times New Roman" w:hAnsi="Times New Roman" w:eastAsia="黑体" w:cs="Times New Roman"/>
          <w:color w:val="auto"/>
          <w:sz w:val="24"/>
          <w:highlight w:val="none"/>
        </w:rPr>
        <w:t>合同解除后的估价、付款和结清</w:t>
      </w:r>
    </w:p>
    <w:p w14:paraId="47F8FC31">
      <w:pPr>
        <w:pageBreakBefore w:val="0"/>
        <w:tabs>
          <w:tab w:val="left" w:pos="54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（1）合同解除后，监理人按第3.5款商定或确定承包人实际完成工作的价值，以及承包人已提供的材料、施工设备、工程设备和临时工程等的价值。 </w:t>
      </w:r>
    </w:p>
    <w:p w14:paraId="64FDBA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（2）合同解除后，发包人应暂停对承包人的一切付款，查清各项付款和已扣款金额，包括承包人应支付的违约金。 </w:t>
      </w:r>
    </w:p>
    <w:p w14:paraId="33CE5AB1">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（3）合同解除后，发包人应按第23.4款的约定向承包人索赔由于解除合同给发包人造成的损失。</w:t>
      </w:r>
    </w:p>
    <w:p w14:paraId="441D55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（4）合同双方确认上述往来款项后，出具最终结清付款证书，结清全部合同款项。</w:t>
      </w:r>
    </w:p>
    <w:p w14:paraId="1C5E6F26">
      <w:pPr>
        <w:pageBreakBefore w:val="0"/>
        <w:kinsoku/>
        <w:wordWrap w:val="0"/>
        <w:bidi w:val="0"/>
        <w:spacing w:line="400" w:lineRule="atLeast"/>
        <w:ind w:right="25" w:rightChars="12"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（5）发包人和承包人未能就解除合同后的结清达成一致而形成争议的，按第24条的约定办理。</w:t>
      </w:r>
    </w:p>
    <w:p w14:paraId="22100714">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22.1.5 </w:t>
      </w:r>
      <w:r>
        <w:rPr>
          <w:rFonts w:hint="default" w:ascii="Times New Roman" w:hAnsi="Times New Roman" w:eastAsia="黑体" w:cs="Times New Roman"/>
          <w:color w:val="auto"/>
          <w:sz w:val="24"/>
          <w:highlight w:val="none"/>
        </w:rPr>
        <w:t>协议利益的转让</w:t>
      </w:r>
    </w:p>
    <w:p w14:paraId="29CEA3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因承包人违约解除合同的，发包人有权要求承包人将其为实施合同而签订的材料和设备的订货协议或任何服务协议利益转让给发包人，并在解除合同后的14天内，依法办理转让手续。 </w:t>
      </w:r>
    </w:p>
    <w:p w14:paraId="3E913DE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22.1.6 </w:t>
      </w:r>
      <w:r>
        <w:rPr>
          <w:rFonts w:hint="default" w:ascii="Times New Roman" w:hAnsi="Times New Roman" w:eastAsia="黑体" w:cs="Times New Roman"/>
          <w:color w:val="auto"/>
          <w:sz w:val="24"/>
          <w:highlight w:val="none"/>
        </w:rPr>
        <w:t>紧急情况下无能力或不愿进行抢救</w:t>
      </w:r>
    </w:p>
    <w:p w14:paraId="34F324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2797CA8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56" w:name="_Toc234833111"/>
      <w:bookmarkStart w:id="1157" w:name="_Toc18762"/>
      <w:bookmarkStart w:id="1158" w:name="_Toc18188"/>
      <w:bookmarkStart w:id="1159" w:name="_Toc17071"/>
      <w:bookmarkStart w:id="1160" w:name="_Toc31447"/>
      <w:r>
        <w:rPr>
          <w:rFonts w:hint="default" w:ascii="Times New Roman" w:hAnsi="Times New Roman" w:eastAsia="黑体" w:cs="Times New Roman"/>
          <w:b w:val="0"/>
          <w:color w:val="auto"/>
          <w:sz w:val="24"/>
          <w:szCs w:val="24"/>
          <w:highlight w:val="none"/>
        </w:rPr>
        <w:t>22.2 发包人违约</w:t>
      </w:r>
      <w:bookmarkEnd w:id="1156"/>
      <w:bookmarkEnd w:id="1157"/>
      <w:bookmarkEnd w:id="1158"/>
      <w:bookmarkEnd w:id="1159"/>
      <w:bookmarkEnd w:id="1160"/>
    </w:p>
    <w:p w14:paraId="4C6C25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4F9AB2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在履行合同过程中发生的下列情形，属发包人违约：</w:t>
      </w:r>
    </w:p>
    <w:p w14:paraId="3BF9185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（1）发包人未能按合同约定支付预付款或合同价款，或拖延、拒绝批准付款申请和支付凭证，导致付款延误的； </w:t>
      </w:r>
    </w:p>
    <w:p w14:paraId="493214C1">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（2）发包人原因造成停工的；</w:t>
      </w:r>
    </w:p>
    <w:p w14:paraId="5ADEB54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（3）监理人无正当理由没有在约定期限内发出复工指示，导致承包人无法复工的；</w:t>
      </w:r>
    </w:p>
    <w:p w14:paraId="50AE79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（4）发包人无法继续履行或明确表示不履行或实质上已停止履行合同的；</w:t>
      </w:r>
    </w:p>
    <w:p w14:paraId="11D36228">
      <w:pPr>
        <w:pageBreakBefore w:val="0"/>
        <w:tabs>
          <w:tab w:val="left" w:pos="72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（5）发包人不履行合同约定其他义务的。</w:t>
      </w:r>
    </w:p>
    <w:p w14:paraId="311872E2">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17A776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199B691E">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22.2.3 </w:t>
      </w:r>
      <w:r>
        <w:rPr>
          <w:rFonts w:hint="default" w:ascii="Times New Roman" w:hAnsi="Times New Roman" w:eastAsia="黑体" w:cs="Times New Roman"/>
          <w:color w:val="auto"/>
          <w:sz w:val="24"/>
          <w:highlight w:val="none"/>
        </w:rPr>
        <w:t>发包人违约解除合同</w:t>
      </w:r>
      <w:r>
        <w:rPr>
          <w:rFonts w:hint="default" w:ascii="Times New Roman" w:hAnsi="Times New Roman" w:cs="Times New Roman"/>
          <w:color w:val="auto"/>
          <w:sz w:val="24"/>
          <w:highlight w:val="none"/>
        </w:rPr>
        <w:t xml:space="preserve"> </w:t>
      </w:r>
    </w:p>
    <w:p w14:paraId="433D34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（1）发生第22.2.1（4）目的违约情况时，承包人可书面通知发包人解除合同。   </w:t>
      </w:r>
    </w:p>
    <w:p w14:paraId="7412D3BB">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049F2F9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389C04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因发包人违约解除合同的，发包人应在解除合同后28天内向承包人支付下列金额，承包人应在此期限内及时向发包人提交要求支付下列金额的有关资料和凭证：</w:t>
      </w:r>
    </w:p>
    <w:p w14:paraId="523969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（1）合同解除日以前所完成工作的价款；</w:t>
      </w:r>
    </w:p>
    <w:p w14:paraId="3758A1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（2）承包人为该工程施工订购并已付款的材料、工程设备和其他物品的金额。发包人付还后，该材料、工程设备和其他物品归发包人所有；</w:t>
      </w:r>
    </w:p>
    <w:p w14:paraId="3FD3B0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（3）承包人为完成工程所发生的，而发包人未支付的金额；</w:t>
      </w:r>
    </w:p>
    <w:p w14:paraId="5C530F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（4）承包人撤离施工场地以及遣散承包人人员的金额；</w:t>
      </w:r>
    </w:p>
    <w:p w14:paraId="068F4A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（5）由于解除合同应赔偿的承包人损失；</w:t>
      </w:r>
    </w:p>
    <w:p w14:paraId="5099B52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（6）按合同约定在合同解除日前应支付给承包人的其他金额。</w:t>
      </w:r>
    </w:p>
    <w:p w14:paraId="6380BF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发包人应按本项约定支付上述金额并退还质量保证金和履约担保，但有权要求承包人支付应偿还给发包人的各项金额。</w:t>
      </w:r>
    </w:p>
    <w:p w14:paraId="12E786EE">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22.2.5 解除合同后的承包人撤离</w:t>
      </w:r>
    </w:p>
    <w:p w14:paraId="5B2C19D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617E6D5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61" w:name="_Toc27072"/>
      <w:bookmarkStart w:id="1162" w:name="_Toc5244"/>
      <w:bookmarkStart w:id="1163" w:name="_Toc1197"/>
      <w:bookmarkStart w:id="1164" w:name="_Toc5779"/>
      <w:bookmarkStart w:id="1165" w:name="_Toc234833112"/>
      <w:r>
        <w:rPr>
          <w:rFonts w:hint="default" w:ascii="Times New Roman" w:hAnsi="Times New Roman" w:eastAsia="黑体" w:cs="Times New Roman"/>
          <w:b w:val="0"/>
          <w:color w:val="auto"/>
          <w:sz w:val="24"/>
          <w:szCs w:val="24"/>
          <w:highlight w:val="none"/>
        </w:rPr>
        <w:t>22.3第三人造成的违约</w:t>
      </w:r>
      <w:bookmarkEnd w:id="1161"/>
      <w:bookmarkEnd w:id="1162"/>
      <w:bookmarkEnd w:id="1163"/>
      <w:bookmarkEnd w:id="1164"/>
      <w:bookmarkEnd w:id="1165"/>
    </w:p>
    <w:p w14:paraId="50294D0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在履行合同过程中，一方当事人因第三人的原因造成违约的，应当向对方当事人承担违约责任。一方当事人和第三人之间的纠纷，依照法律规定或者按照约定解决。</w:t>
      </w:r>
    </w:p>
    <w:p w14:paraId="54D6570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66" w:name="_Toc29983"/>
      <w:bookmarkStart w:id="1167" w:name="_Toc234833113"/>
      <w:bookmarkStart w:id="1168" w:name="_Toc15487"/>
      <w:bookmarkStart w:id="1169" w:name="_Toc20829"/>
      <w:bookmarkStart w:id="1170" w:name="_Toc27731"/>
      <w:r>
        <w:rPr>
          <w:rFonts w:hint="default" w:ascii="Times New Roman" w:hAnsi="Times New Roman" w:eastAsia="黑体" w:cs="Times New Roman"/>
          <w:b w:val="0"/>
          <w:color w:val="auto"/>
          <w:sz w:val="28"/>
          <w:szCs w:val="28"/>
          <w:highlight w:val="none"/>
        </w:rPr>
        <w:t>23. 索赔</w:t>
      </w:r>
      <w:bookmarkEnd w:id="1166"/>
      <w:bookmarkEnd w:id="1167"/>
      <w:bookmarkEnd w:id="1168"/>
      <w:bookmarkEnd w:id="1169"/>
      <w:bookmarkEnd w:id="1170"/>
    </w:p>
    <w:p w14:paraId="1CD2BF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1" w:name="_Toc31146"/>
      <w:bookmarkStart w:id="1172" w:name="_Toc3879"/>
      <w:bookmarkStart w:id="1173" w:name="_Toc8289"/>
      <w:bookmarkStart w:id="1174" w:name="_Toc234833114"/>
      <w:bookmarkStart w:id="1175" w:name="_Toc24590"/>
      <w:r>
        <w:rPr>
          <w:rFonts w:hint="default" w:ascii="Times New Roman" w:hAnsi="Times New Roman" w:eastAsia="黑体" w:cs="Times New Roman"/>
          <w:b w:val="0"/>
          <w:color w:val="auto"/>
          <w:sz w:val="24"/>
          <w:szCs w:val="24"/>
          <w:highlight w:val="none"/>
        </w:rPr>
        <w:t>23.1 承包人索赔的提出</w:t>
      </w:r>
      <w:bookmarkEnd w:id="1171"/>
      <w:bookmarkEnd w:id="1172"/>
      <w:bookmarkEnd w:id="1173"/>
      <w:bookmarkEnd w:id="1174"/>
      <w:bookmarkEnd w:id="1175"/>
    </w:p>
    <w:p w14:paraId="1CD97D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根据合同约定，承包人认为有权得到追加付款和（或）延长工期的，应按以下程序向发包人提出索赔：</w:t>
      </w:r>
    </w:p>
    <w:p w14:paraId="438933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11E537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（2）承包人应在发出索赔意向通知书后28天内，向监理人正式递交索赔通知书。索赔通知书应详细说明索赔理由以及要求追加的付款金额和（或）延长的工期，并附必要的记录和证明材料；</w:t>
      </w:r>
    </w:p>
    <w:p w14:paraId="6262D6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（3）索赔事件具有连续影响的，承包人应按合理时间间隔继续递交延续索赔通知，说明连续影响的实际情况和记录，列出累计的追加付款金额和（或）工期延长天数；</w:t>
      </w:r>
    </w:p>
    <w:p w14:paraId="37DFE51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（4）在索赔事件影响结束后的28天内，承包人应向监理人递交最终索赔通知书，说明最终要求索赔的追加付款金额和延长的工期，并附必要的记录和证明材料。</w:t>
      </w:r>
    </w:p>
    <w:p w14:paraId="7140E69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76" w:name="_Toc18819"/>
      <w:bookmarkStart w:id="1177" w:name="_Toc17762"/>
      <w:bookmarkStart w:id="1178" w:name="_Toc31313"/>
      <w:bookmarkStart w:id="1179" w:name="_Toc234833115"/>
      <w:bookmarkStart w:id="1180" w:name="_Toc3967"/>
      <w:r>
        <w:rPr>
          <w:rFonts w:hint="default" w:ascii="Times New Roman" w:hAnsi="Times New Roman" w:eastAsia="黑体" w:cs="Times New Roman"/>
          <w:b w:val="0"/>
          <w:color w:val="auto"/>
          <w:sz w:val="24"/>
          <w:szCs w:val="24"/>
          <w:highlight w:val="none"/>
        </w:rPr>
        <w:t>23.2 承包人索赔处理程序</w:t>
      </w:r>
      <w:bookmarkEnd w:id="1176"/>
      <w:bookmarkEnd w:id="1177"/>
      <w:bookmarkEnd w:id="1178"/>
      <w:bookmarkEnd w:id="1179"/>
      <w:bookmarkEnd w:id="1180"/>
    </w:p>
    <w:p w14:paraId="151833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（1）监理人收到承包人提交的索赔通知书后，应及时审查索赔通知书的内容、查验承包人的记录和证明材料，必要时监理人可要求承包人提交全部原始记录副本。</w:t>
      </w:r>
    </w:p>
    <w:p w14:paraId="76BBEC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（2）监理人应按第3.5款商定或确定追加的付款和（或）延长的工期，并在收到上述索赔通知书或有关索赔的进一步证明材料后的42天内，将索赔处理结果答复承包人。</w:t>
      </w:r>
    </w:p>
    <w:p w14:paraId="3B1191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（3）承包人接受索赔处理结果的，发包人应在作出索赔处理结果答复后28天内完成赔付。承包人不接受索赔处理结果的，按第24条的约定办理。</w:t>
      </w:r>
    </w:p>
    <w:p w14:paraId="57C0AE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1" w:name="_Toc3852"/>
      <w:bookmarkStart w:id="1182" w:name="_Toc616"/>
      <w:bookmarkStart w:id="1183" w:name="_Toc234833116"/>
      <w:bookmarkStart w:id="1184" w:name="_Toc19947"/>
      <w:bookmarkStart w:id="1185" w:name="_Toc25742"/>
      <w:r>
        <w:rPr>
          <w:rFonts w:hint="default" w:ascii="Times New Roman" w:hAnsi="Times New Roman" w:eastAsia="黑体" w:cs="Times New Roman"/>
          <w:b w:val="0"/>
          <w:color w:val="auto"/>
          <w:sz w:val="24"/>
          <w:szCs w:val="24"/>
          <w:highlight w:val="none"/>
        </w:rPr>
        <w:t>23.3 承包人提出索赔的期限</w:t>
      </w:r>
      <w:bookmarkEnd w:id="1181"/>
      <w:bookmarkEnd w:id="1182"/>
      <w:bookmarkEnd w:id="1183"/>
      <w:bookmarkEnd w:id="1184"/>
      <w:bookmarkEnd w:id="1185"/>
    </w:p>
    <w:p w14:paraId="6F294CC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23.3.1 承包人按第17.5款的约定接受了竣工付款证书后，应被认为已无权再提出在合同工程接收证书颁发前所发生的任何索赔。</w:t>
      </w:r>
    </w:p>
    <w:p w14:paraId="7B0956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23.3.2 承包人按第17.6款的约定提交的最终结清申请单中，只限于提出工程接收证书颁发后发生的索赔。提出索赔的期限自接受最终结清证书时终止。</w:t>
      </w:r>
    </w:p>
    <w:p w14:paraId="166D009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86" w:name="_Toc6220"/>
      <w:bookmarkStart w:id="1187" w:name="_Toc6508"/>
      <w:bookmarkStart w:id="1188" w:name="_Toc234833117"/>
      <w:bookmarkStart w:id="1189" w:name="_Toc2347"/>
      <w:bookmarkStart w:id="1190" w:name="_Toc9765"/>
      <w:r>
        <w:rPr>
          <w:rFonts w:hint="default" w:ascii="Times New Roman" w:hAnsi="Times New Roman" w:eastAsia="黑体" w:cs="Times New Roman"/>
          <w:b w:val="0"/>
          <w:color w:val="auto"/>
          <w:sz w:val="24"/>
          <w:szCs w:val="24"/>
          <w:highlight w:val="none"/>
        </w:rPr>
        <w:t>23.4 发包人的索赔</w:t>
      </w:r>
      <w:bookmarkEnd w:id="1186"/>
      <w:bookmarkEnd w:id="1187"/>
      <w:bookmarkEnd w:id="1188"/>
      <w:bookmarkEnd w:id="1189"/>
      <w:bookmarkEnd w:id="1190"/>
      <w:r>
        <w:rPr>
          <w:rFonts w:hint="default" w:ascii="Times New Roman" w:hAnsi="Times New Roman" w:eastAsia="黑体" w:cs="Times New Roman"/>
          <w:b w:val="0"/>
          <w:color w:val="auto"/>
          <w:sz w:val="24"/>
          <w:szCs w:val="24"/>
          <w:highlight w:val="none"/>
        </w:rPr>
        <w:t xml:space="preserve">                            </w:t>
      </w:r>
    </w:p>
    <w:p w14:paraId="44E8783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129DC6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025692FE">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191" w:name="_Toc15563"/>
      <w:bookmarkStart w:id="1192" w:name="_Toc31922"/>
      <w:bookmarkStart w:id="1193" w:name="_Toc30654"/>
      <w:bookmarkStart w:id="1194" w:name="_Toc234833118"/>
      <w:bookmarkStart w:id="1195" w:name="_Toc27984"/>
      <w:r>
        <w:rPr>
          <w:rFonts w:hint="default" w:ascii="Times New Roman" w:hAnsi="Times New Roman" w:eastAsia="黑体" w:cs="Times New Roman"/>
          <w:b w:val="0"/>
          <w:color w:val="auto"/>
          <w:sz w:val="28"/>
          <w:szCs w:val="28"/>
          <w:highlight w:val="none"/>
        </w:rPr>
        <w:t>24. 争议的解决</w:t>
      </w:r>
      <w:bookmarkEnd w:id="1191"/>
      <w:bookmarkEnd w:id="1192"/>
      <w:bookmarkEnd w:id="1193"/>
      <w:bookmarkEnd w:id="1194"/>
      <w:bookmarkEnd w:id="1195"/>
    </w:p>
    <w:p w14:paraId="5B5FD5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196" w:name="_Toc21148"/>
      <w:bookmarkStart w:id="1197" w:name="_Toc1723"/>
      <w:bookmarkStart w:id="1198" w:name="_Toc30045"/>
      <w:bookmarkStart w:id="1199" w:name="_Toc32049"/>
      <w:bookmarkStart w:id="1200" w:name="_Toc234833119"/>
      <w:r>
        <w:rPr>
          <w:rFonts w:hint="default" w:ascii="Times New Roman" w:hAnsi="Times New Roman" w:eastAsia="黑体" w:cs="Times New Roman"/>
          <w:b w:val="0"/>
          <w:color w:val="auto"/>
          <w:sz w:val="24"/>
          <w:szCs w:val="24"/>
          <w:highlight w:val="none"/>
        </w:rPr>
        <w:t>24.1 争议的解决方式</w:t>
      </w:r>
      <w:bookmarkEnd w:id="1196"/>
      <w:bookmarkEnd w:id="1197"/>
      <w:bookmarkEnd w:id="1198"/>
      <w:bookmarkEnd w:id="1199"/>
      <w:bookmarkEnd w:id="1200"/>
    </w:p>
    <w:p w14:paraId="5BBD31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365BEA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（1）向约定的仲裁委员会申请仲裁；</w:t>
      </w:r>
    </w:p>
    <w:p w14:paraId="1ECB48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（2）向有管辖权的人民法院提起诉讼。</w:t>
      </w:r>
    </w:p>
    <w:p w14:paraId="1B0D809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1" w:name="_Toc21235"/>
      <w:bookmarkStart w:id="1202" w:name="_Toc4677"/>
      <w:bookmarkStart w:id="1203" w:name="_Toc28189"/>
      <w:bookmarkStart w:id="1204" w:name="_Toc234833120"/>
      <w:bookmarkStart w:id="1205" w:name="_Toc25861"/>
      <w:r>
        <w:rPr>
          <w:rFonts w:hint="default" w:ascii="Times New Roman" w:hAnsi="Times New Roman" w:eastAsia="黑体" w:cs="Times New Roman"/>
          <w:b w:val="0"/>
          <w:color w:val="auto"/>
          <w:sz w:val="24"/>
          <w:szCs w:val="24"/>
          <w:highlight w:val="none"/>
        </w:rPr>
        <w:t>24.2 友好解决</w:t>
      </w:r>
      <w:bookmarkEnd w:id="1201"/>
      <w:bookmarkEnd w:id="1202"/>
      <w:bookmarkEnd w:id="1203"/>
      <w:bookmarkEnd w:id="1204"/>
      <w:bookmarkEnd w:id="1205"/>
    </w:p>
    <w:p w14:paraId="0D0E8DA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在提请争议评审、仲裁或者诉讼前，以及在争议评审、仲裁或诉讼过程中，发包人和承包人均可共同努力友好协商解决争议。</w:t>
      </w:r>
    </w:p>
    <w:p w14:paraId="591008C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06" w:name="_Toc17586"/>
      <w:bookmarkStart w:id="1207" w:name="_Toc20198"/>
      <w:bookmarkStart w:id="1208" w:name="_Toc28601"/>
      <w:bookmarkStart w:id="1209" w:name="_Toc24796"/>
      <w:bookmarkStart w:id="1210" w:name="_Toc234833121"/>
      <w:r>
        <w:rPr>
          <w:rFonts w:hint="default" w:ascii="Times New Roman" w:hAnsi="Times New Roman" w:eastAsia="黑体" w:cs="Times New Roman"/>
          <w:b w:val="0"/>
          <w:color w:val="auto"/>
          <w:sz w:val="24"/>
          <w:szCs w:val="24"/>
          <w:highlight w:val="none"/>
        </w:rPr>
        <w:t>24.3 争议评审</w:t>
      </w:r>
      <w:bookmarkEnd w:id="1206"/>
      <w:bookmarkEnd w:id="1207"/>
      <w:bookmarkEnd w:id="1208"/>
      <w:bookmarkEnd w:id="1209"/>
      <w:bookmarkEnd w:id="1210"/>
    </w:p>
    <w:p w14:paraId="1AA6F29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24.3.1采用争议评审的，发包人和承包人应在开工日后的28天内或在争议发生后，协商成立争议评审组。争议评审组由有合同管理和工程实践经验的专家组成。</w:t>
      </w:r>
    </w:p>
    <w:p w14:paraId="2B3F37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24.3.2 合同双方的争议，应首先由申请人向争议评审组提交一份详细的评审申请报告，并附必要的文件、图纸和证明材料，申请人还应将上述报告的副本同时提交给被申请人和监理人。</w:t>
      </w:r>
    </w:p>
    <w:p w14:paraId="572979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24.3.3 被申请人在收到申请人评审申请报告副本后的28天内，向争议评审组提交一份答辩报告，并附证明材料。被申请人应将答辩报告的副本同时提交给申请人和监理人。</w:t>
      </w:r>
    </w:p>
    <w:p w14:paraId="72F78D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365495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770CCF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24.3.6 发包人和承包人接受评审意见的，由监理人根据评审意见拟定执行协议，经争议双方签字后作为合同的补充文件，并遵照执行。</w:t>
      </w:r>
    </w:p>
    <w:p w14:paraId="2305D5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A59B5A0">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69F4ED33">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77F9D82C">
      <w:pPr>
        <w:pageBreakBefore w:val="0"/>
        <w:kinsoku/>
        <w:wordWrap w:val="0"/>
        <w:bidi w:val="0"/>
        <w:spacing w:line="440" w:lineRule="exact"/>
        <w:ind w:firstLine="392" w:firstLineChars="196"/>
        <w:rPr>
          <w:rFonts w:hint="default" w:ascii="Times New Roman" w:hAnsi="Times New Roman" w:cs="Times New Roman"/>
          <w:color w:val="auto"/>
          <w:sz w:val="20"/>
          <w:szCs w:val="20"/>
          <w:highlight w:val="none"/>
        </w:rPr>
      </w:pPr>
    </w:p>
    <w:p w14:paraId="61F3F399">
      <w:pPr>
        <w:pageBreakBefore w:val="0"/>
        <w:kinsoku/>
        <w:wordWrap w:val="0"/>
        <w:bidi w:val="0"/>
        <w:spacing w:before="240" w:after="240" w:line="380" w:lineRule="atLeast"/>
        <w:outlineLvl w:val="9"/>
        <w:rPr>
          <w:rFonts w:hint="default" w:ascii="Times New Roman" w:hAnsi="Times New Roman" w:cs="Times New Roman"/>
          <w:color w:val="auto"/>
          <w:sz w:val="20"/>
          <w:szCs w:val="20"/>
          <w:highlight w:val="none"/>
        </w:rPr>
      </w:pPr>
    </w:p>
    <w:p w14:paraId="071177B3">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32"/>
          <w:szCs w:val="32"/>
          <w:highlight w:val="none"/>
        </w:rPr>
        <w:br w:type="page"/>
      </w:r>
      <w:bookmarkStart w:id="1211" w:name="_Toc234833122"/>
    </w:p>
    <w:p w14:paraId="5E9D8D4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A93E7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631676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18FF6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67E71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1C577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94F942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410FFF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98F7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8647E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E281D14">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1212" w:name="_Toc22779"/>
      <w:bookmarkStart w:id="1213" w:name="_Toc21883"/>
      <w:bookmarkStart w:id="1214" w:name="_Toc9532"/>
      <w:r>
        <w:rPr>
          <w:rFonts w:hint="default" w:ascii="Times New Roman" w:hAnsi="Times New Roman" w:eastAsia="黑体" w:cs="Times New Roman"/>
          <w:b w:val="0"/>
          <w:color w:val="auto"/>
          <w:sz w:val="42"/>
          <w:szCs w:val="42"/>
          <w:highlight w:val="none"/>
        </w:rPr>
        <w:t>第二节  专用合同条款</w:t>
      </w:r>
      <w:bookmarkEnd w:id="1211"/>
      <w:bookmarkEnd w:id="1212"/>
      <w:bookmarkEnd w:id="1213"/>
      <w:bookmarkEnd w:id="1214"/>
    </w:p>
    <w:p w14:paraId="5090C205">
      <w:pPr>
        <w:pStyle w:val="2"/>
        <w:pageBreakBefore w:val="0"/>
        <w:kinsoku/>
        <w:wordWrap w:val="0"/>
        <w:bidi w:val="0"/>
        <w:spacing w:before="240" w:after="240" w:line="380" w:lineRule="atLeast"/>
        <w:jc w:val="center"/>
        <w:outlineLvl w:val="2"/>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b w:val="0"/>
          <w:color w:val="auto"/>
          <w:sz w:val="32"/>
          <w:szCs w:val="32"/>
          <w:highlight w:val="none"/>
        </w:rPr>
        <w:br w:type="page"/>
      </w:r>
      <w:bookmarkStart w:id="1215" w:name="_Toc22882"/>
      <w:bookmarkStart w:id="1216" w:name="_Toc3511"/>
      <w:bookmarkStart w:id="1217" w:name="_Toc29088"/>
      <w:bookmarkStart w:id="1218" w:name="_Toc234833123"/>
      <w:r>
        <w:rPr>
          <w:rFonts w:hint="default" w:ascii="Times New Roman" w:hAnsi="Times New Roman" w:eastAsia="黑体" w:cs="Times New Roman"/>
          <w:b w:val="0"/>
          <w:color w:val="auto"/>
          <w:sz w:val="32"/>
          <w:szCs w:val="32"/>
          <w:highlight w:val="none"/>
        </w:rPr>
        <w:t>A. 公路工程专用合同条款</w:t>
      </w:r>
      <w:bookmarkEnd w:id="1215"/>
      <w:bookmarkEnd w:id="1216"/>
      <w:bookmarkEnd w:id="1217"/>
      <w:bookmarkEnd w:id="1218"/>
    </w:p>
    <w:p w14:paraId="1F84FF30">
      <w:pPr>
        <w:pageBreakBefore w:val="0"/>
        <w:kinsoku/>
        <w:wordWrap w:val="0"/>
        <w:bidi w:val="0"/>
        <w:spacing w:before="240" w:after="240" w:line="380" w:lineRule="atLeast"/>
        <w:outlineLvl w:val="9"/>
        <w:rPr>
          <w:rFonts w:hint="default" w:ascii="Times New Roman" w:hAnsi="Times New Roman" w:eastAsia="黑体" w:cs="Times New Roman"/>
          <w:b w:val="0"/>
          <w:color w:val="auto"/>
          <w:sz w:val="24"/>
          <w:szCs w:val="24"/>
          <w:highlight w:val="none"/>
        </w:rPr>
      </w:pPr>
    </w:p>
    <w:p w14:paraId="19F8749E">
      <w:pPr>
        <w:pStyle w:val="2"/>
        <w:pageBreakBefore w:val="0"/>
        <w:kinsoku/>
        <w:wordWrap w:val="0"/>
        <w:bidi w:val="0"/>
        <w:spacing w:before="240" w:after="240" w:line="380" w:lineRule="atLeast"/>
        <w:outlineLvl w:val="2"/>
        <w:rPr>
          <w:rFonts w:hint="default" w:ascii="Times New Roman" w:hAnsi="Times New Roman" w:eastAsia="黑体" w:cs="Times New Roman"/>
          <w:b w:val="0"/>
          <w:color w:val="auto"/>
          <w:sz w:val="28"/>
          <w:szCs w:val="28"/>
          <w:highlight w:val="none"/>
        </w:rPr>
      </w:pPr>
      <w:bookmarkStart w:id="1219" w:name="_Toc8341"/>
      <w:bookmarkStart w:id="1220" w:name="_Toc8680"/>
      <w:bookmarkStart w:id="1221" w:name="_Toc234833124"/>
      <w:bookmarkStart w:id="1222" w:name="_Toc12763"/>
      <w:bookmarkStart w:id="1223" w:name="_Toc18793"/>
      <w:r>
        <w:rPr>
          <w:rFonts w:hint="default" w:ascii="Times New Roman" w:hAnsi="Times New Roman" w:eastAsia="黑体" w:cs="Times New Roman"/>
          <w:b w:val="0"/>
          <w:color w:val="auto"/>
          <w:sz w:val="28"/>
          <w:szCs w:val="28"/>
          <w:highlight w:val="none"/>
        </w:rPr>
        <w:t>1. 一般约定</w:t>
      </w:r>
      <w:bookmarkEnd w:id="1219"/>
      <w:bookmarkEnd w:id="1220"/>
      <w:bookmarkEnd w:id="1221"/>
      <w:bookmarkEnd w:id="1222"/>
      <w:bookmarkEnd w:id="1223"/>
      <w:r>
        <w:rPr>
          <w:rFonts w:hint="default" w:ascii="Times New Roman" w:hAnsi="Times New Roman" w:eastAsia="黑体" w:cs="Times New Roman"/>
          <w:b w:val="0"/>
          <w:color w:val="auto"/>
          <w:sz w:val="28"/>
          <w:szCs w:val="28"/>
          <w:highlight w:val="none"/>
        </w:rPr>
        <w:tab/>
      </w:r>
    </w:p>
    <w:p w14:paraId="0E91527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24" w:name="_Toc234833125"/>
      <w:bookmarkStart w:id="1225" w:name="_Toc16083"/>
      <w:bookmarkStart w:id="1226" w:name="_Toc12594"/>
      <w:bookmarkStart w:id="1227" w:name="_Toc9796"/>
      <w:bookmarkStart w:id="1228" w:name="_Toc31844"/>
      <w:r>
        <w:rPr>
          <w:rFonts w:hint="default" w:ascii="Times New Roman" w:hAnsi="Times New Roman" w:eastAsia="黑体" w:cs="Times New Roman"/>
          <w:b w:val="0"/>
          <w:color w:val="auto"/>
          <w:sz w:val="24"/>
          <w:szCs w:val="24"/>
          <w:highlight w:val="none"/>
        </w:rPr>
        <w:t>1.1</w:t>
      </w:r>
      <w:r>
        <w:rPr>
          <w:rFonts w:hint="default" w:ascii="Times New Roman" w:hAnsi="Times New Roman" w:eastAsia="黑体" w:cs="Times New Roman"/>
          <w:b w:val="0"/>
          <w:color w:val="auto"/>
          <w:sz w:val="24"/>
          <w:szCs w:val="24"/>
          <w:highlight w:val="none"/>
        </w:rPr>
        <w:tab/>
      </w:r>
      <w:r>
        <w:rPr>
          <w:rFonts w:hint="default" w:ascii="Times New Roman" w:hAnsi="Times New Roman" w:eastAsia="黑体" w:cs="Times New Roman"/>
          <w:b w:val="0"/>
          <w:color w:val="auto"/>
          <w:sz w:val="24"/>
          <w:szCs w:val="24"/>
          <w:highlight w:val="none"/>
        </w:rPr>
        <w:t>词语定义</w:t>
      </w:r>
      <w:bookmarkEnd w:id="1224"/>
      <w:bookmarkEnd w:id="1225"/>
      <w:bookmarkEnd w:id="1226"/>
      <w:bookmarkEnd w:id="1227"/>
      <w:bookmarkEnd w:id="1228"/>
    </w:p>
    <w:p w14:paraId="2CA364F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1.1.1 </w:t>
      </w:r>
      <w:r>
        <w:rPr>
          <w:rFonts w:hint="default" w:ascii="Times New Roman" w:hAnsi="Times New Roman" w:eastAsia="黑体" w:cs="Times New Roman"/>
          <w:color w:val="auto"/>
          <w:sz w:val="24"/>
          <w:highlight w:val="none"/>
        </w:rPr>
        <w:t>合同</w:t>
      </w:r>
    </w:p>
    <w:p w14:paraId="5260CE9E">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第1.1.1.6目细化为：</w:t>
      </w:r>
    </w:p>
    <w:p w14:paraId="1E64C68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技术规范：指本合同所约定的技术标准和要求，是合同文件的组成部分。通用合同条款中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技术标准和要求</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A29E84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第1.1.1.8目细化为：</w:t>
      </w:r>
    </w:p>
    <w:p w14:paraId="6BF0EEA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56E7C672">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本项补充第1.1.1.10目：</w:t>
      </w:r>
    </w:p>
    <w:p w14:paraId="6BA22CE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1.1.1.10 补遗书：指发出招标文件之后由招标人向已取得招标文件的投标人发出的、编号的对招标文件所作的澄清、修改书。</w:t>
      </w:r>
    </w:p>
    <w:p w14:paraId="78F9821C">
      <w:pPr>
        <w:pageBreakBefore w:val="0"/>
        <w:kinsoku/>
        <w:wordWrap w:val="0"/>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1.1.2 </w:t>
      </w:r>
      <w:r>
        <w:rPr>
          <w:rFonts w:hint="default" w:ascii="Times New Roman" w:hAnsi="Times New Roman" w:eastAsia="黑体" w:cs="Times New Roman"/>
          <w:color w:val="auto"/>
          <w:sz w:val="24"/>
          <w:highlight w:val="none"/>
        </w:rPr>
        <w:t>合同当事人和人员</w:t>
      </w:r>
    </w:p>
    <w:p w14:paraId="25C69E9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本项补充第1.1.2.8</w:t>
      </w:r>
      <w:r>
        <w:rPr>
          <w:rFonts w:hint="eastAsia" w:cs="Times New Roman"/>
          <w:color w:val="auto"/>
          <w:sz w:val="24"/>
          <w:highlight w:val="none"/>
          <w:lang w:val="en-US" w:eastAsia="zh-CN"/>
        </w:rPr>
        <w:t>项</w:t>
      </w:r>
      <w:r>
        <w:rPr>
          <w:rFonts w:hint="default" w:ascii="Times New Roman" w:hAnsi="Times New Roman" w:cs="Times New Roman"/>
          <w:color w:val="auto"/>
          <w:sz w:val="24"/>
          <w:highlight w:val="none"/>
        </w:rPr>
        <w:t>目：</w:t>
      </w:r>
    </w:p>
    <w:p w14:paraId="238C0666">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1.1.2.8 承包人项目总工：指由承包人书面委派常驻现场负责管理本合同工程的总工程师或技术总负责人。</w:t>
      </w:r>
    </w:p>
    <w:p w14:paraId="61D9BC5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1.1.3 </w:t>
      </w:r>
      <w:r>
        <w:rPr>
          <w:rFonts w:hint="default" w:ascii="Times New Roman" w:hAnsi="Times New Roman" w:eastAsia="黑体" w:cs="Times New Roman"/>
          <w:color w:val="auto"/>
          <w:sz w:val="24"/>
          <w:highlight w:val="none"/>
        </w:rPr>
        <w:t>工程和设备</w:t>
      </w:r>
    </w:p>
    <w:p w14:paraId="3C85E72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第1.1.3.4目细化为：</w:t>
      </w:r>
    </w:p>
    <w:p w14:paraId="4C2AFE7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单位工程：指在建设项目中，根据签订的合同，具有独立施工条件的工程。</w:t>
      </w:r>
    </w:p>
    <w:p w14:paraId="3EFE6503">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第1.1.3.10目细化为： </w:t>
      </w:r>
    </w:p>
    <w:p w14:paraId="28AE3D0C">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永久占地：指为实施本合同工程而需要的一切永久占用的土地，包括公路两侧路权范围内的用地。</w:t>
      </w:r>
    </w:p>
    <w:p w14:paraId="237C633A">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第1.1.3.11目细化为：</w:t>
      </w:r>
    </w:p>
    <w:p w14:paraId="0459C0F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临时占地：指为实施本合同工程而需要的一切临时占用的土地，包括施工所用的临时支线、便道、便桥和现场的临时出入通道，以及生产（办公）、生活等临时设施用地等。</w:t>
      </w:r>
    </w:p>
    <w:p w14:paraId="73FC46D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本项补充第1.1.3.12目、第1.1.3.13目：</w:t>
      </w:r>
    </w:p>
    <w:p w14:paraId="7C166EC7">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1.1.3.12 分部工程：指在单位工程中，按结构部位、路段长度及施工特点或施工任务划分的若干个工程。</w:t>
      </w:r>
    </w:p>
    <w:p w14:paraId="3FB59BD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1.1.3.13 分项工程：指在分部工程中，按不同的施工方法、材料、工序及路段长度等划分的若干个工程。</w:t>
      </w:r>
    </w:p>
    <w:p w14:paraId="39DC88E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bookmarkStart w:id="1229" w:name="OLE_LINK18"/>
      <w:r>
        <w:rPr>
          <w:rFonts w:hint="default" w:ascii="Times New Roman" w:hAnsi="Times New Roman" w:cs="Times New Roman"/>
          <w:color w:val="auto"/>
          <w:sz w:val="24"/>
          <w:highlight w:val="none"/>
        </w:rPr>
        <w:t xml:space="preserve">1.1.6 </w:t>
      </w:r>
      <w:r>
        <w:rPr>
          <w:rFonts w:hint="default" w:ascii="Times New Roman" w:hAnsi="Times New Roman" w:eastAsia="黑体" w:cs="Times New Roman"/>
          <w:color w:val="auto"/>
          <w:sz w:val="24"/>
          <w:highlight w:val="none"/>
        </w:rPr>
        <w:t>其他</w:t>
      </w:r>
    </w:p>
    <w:p w14:paraId="2B28E94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本项补充第1.1.6.2目～第1.1.6.9目：</w:t>
      </w:r>
    </w:p>
    <w:p w14:paraId="4DE41128">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1.1.6.2 竣工验收：指《公路工程竣（交）工验收办法》中的竣工验收。通用合同条款中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国家验收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66A70B3D">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1.1.6.3交工：指《公路工程竣（交）工验收办法》中的交工。通用合同条款中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186B67B0">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1.1.6.4交工验收：指《公路工程竣（交）工验收办法》中的交工验收。通用合同条款中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竣工验收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p w14:paraId="422EE9B5">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1.1.6.5交工验收证书：指《公路工程竣（交）工验收办法》中的交工验收证书。通用合同条款中</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工程接收证书</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一词具有相同含义。</w:t>
      </w:r>
    </w:p>
    <w:bookmarkEnd w:id="1229"/>
    <w:p w14:paraId="4CB16334">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1.1.6.6转包：指承包人违反法律和不履行合同规定的责任和义务，将中标工程全部委托或以专业分包的名义将中标工程肢解后全部委托给其他施工企业施工的行为。</w:t>
      </w:r>
    </w:p>
    <w:p w14:paraId="0E322DD1">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3E5AE8DB">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1.1.6.8劳务分包：指承包人与具有施工劳务资质的劳务企业签订劳务分包合同，由劳务企业提供劳务人员及机具，由承包人统一组织施工、统一控制工程质量、施工进度、材料采购、生产安全的施工行为。</w:t>
      </w:r>
    </w:p>
    <w:p w14:paraId="0F09B3BF">
      <w:pPr>
        <w:pageBreakBefore w:val="0"/>
        <w:kinsoku/>
        <w:wordWrap w:val="0"/>
        <w:bidi w:val="0"/>
        <w:spacing w:line="400" w:lineRule="atLeas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1.1.6.9雇用民工：指承包人与具有相应劳动能力的自然人签订劳动合同，由承包人统一组织管理，从事分项工程施工或配套工程施工的行为。</w:t>
      </w:r>
    </w:p>
    <w:p w14:paraId="23A9D1E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0" w:name="_Toc27402"/>
      <w:bookmarkStart w:id="1231" w:name="_Toc20079"/>
      <w:bookmarkStart w:id="1232" w:name="_Toc1907"/>
      <w:bookmarkStart w:id="1233" w:name="_Toc234833126"/>
      <w:bookmarkStart w:id="1234" w:name="_Toc18641"/>
      <w:r>
        <w:rPr>
          <w:rFonts w:hint="default" w:ascii="Times New Roman" w:hAnsi="Times New Roman" w:eastAsia="黑体" w:cs="Times New Roman"/>
          <w:b w:val="0"/>
          <w:color w:val="auto"/>
          <w:sz w:val="24"/>
          <w:szCs w:val="24"/>
          <w:highlight w:val="none"/>
        </w:rPr>
        <w:t>1.4 合同文件的优先顺序</w:t>
      </w:r>
      <w:bookmarkEnd w:id="1230"/>
      <w:bookmarkEnd w:id="1231"/>
      <w:bookmarkEnd w:id="1232"/>
      <w:bookmarkEnd w:id="1233"/>
      <w:bookmarkEnd w:id="1234"/>
    </w:p>
    <w:p w14:paraId="3A15F9C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64997DD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组成合同的各项文件应互相解释，互为说明。除项目专用合同条款另有约定外，解释合同文件的优先顺序如下：</w:t>
      </w:r>
    </w:p>
    <w:p w14:paraId="7CBF1087">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（1）合同协议书及各种合同附件（含评标期间和合同谈判过程中的澄清文件和补充资料）；</w:t>
      </w:r>
    </w:p>
    <w:p w14:paraId="687114F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（2）中标通知书；</w:t>
      </w:r>
    </w:p>
    <w:p w14:paraId="76C26DA0">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（3）投标函及投标函附录；</w:t>
      </w:r>
    </w:p>
    <w:p w14:paraId="7F44181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（4）项目专用合同条款；</w:t>
      </w:r>
    </w:p>
    <w:p w14:paraId="439857F1">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（5）公路工程专用合同条款；</w:t>
      </w:r>
    </w:p>
    <w:p w14:paraId="7CC5E060">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42C33B5B">
      <w:pPr>
        <w:pageBreakBefore w:val="0"/>
        <w:kinsoku/>
        <w:wordWrap w:val="0"/>
        <w:bidi w:val="0"/>
        <w:spacing w:line="400" w:lineRule="atLeas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5F95B512">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（8）技术规范；</w:t>
      </w:r>
    </w:p>
    <w:p w14:paraId="1CF61A1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（9）图纸；</w:t>
      </w:r>
    </w:p>
    <w:p w14:paraId="2123060B">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（10）已标价工程量清单；</w:t>
      </w:r>
    </w:p>
    <w:p w14:paraId="126681ED">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（11）承包人有关人员、设备投入的承诺及投标文件中的施工组织设计；</w:t>
      </w:r>
    </w:p>
    <w:p w14:paraId="502FF963">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（12）其他合同文件。</w:t>
      </w:r>
    </w:p>
    <w:p w14:paraId="3D1ED98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35" w:name="_Toc234833127"/>
      <w:bookmarkStart w:id="1236" w:name="_Toc28459"/>
      <w:bookmarkStart w:id="1237" w:name="_Toc7187"/>
      <w:bookmarkStart w:id="1238" w:name="_Toc17521"/>
      <w:bookmarkStart w:id="1239" w:name="_Toc13917"/>
      <w:r>
        <w:rPr>
          <w:rFonts w:hint="default" w:ascii="Times New Roman" w:hAnsi="Times New Roman" w:eastAsia="黑体" w:cs="Times New Roman"/>
          <w:b w:val="0"/>
          <w:color w:val="auto"/>
          <w:sz w:val="24"/>
          <w:szCs w:val="24"/>
          <w:highlight w:val="none"/>
        </w:rPr>
        <w:t>1.5 合同协议书</w:t>
      </w:r>
      <w:bookmarkEnd w:id="1235"/>
      <w:bookmarkEnd w:id="1236"/>
      <w:bookmarkEnd w:id="1237"/>
      <w:bookmarkEnd w:id="1238"/>
      <w:bookmarkEnd w:id="1239"/>
    </w:p>
    <w:p w14:paraId="0994986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563F818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制备本合同文件的费用由发包人承担。在合同协议书签订并生效之前，投标函和中标通知书将对双方具有约束力。</w:t>
      </w:r>
    </w:p>
    <w:p w14:paraId="6035694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0" w:name="_Toc21351"/>
      <w:bookmarkStart w:id="1241" w:name="_Toc12395"/>
      <w:bookmarkStart w:id="1242" w:name="_Toc2156"/>
      <w:bookmarkStart w:id="1243" w:name="_Toc234833128"/>
      <w:bookmarkStart w:id="1244" w:name="_Toc5981"/>
      <w:r>
        <w:rPr>
          <w:rFonts w:hint="default" w:ascii="Times New Roman" w:hAnsi="Times New Roman" w:eastAsia="黑体" w:cs="Times New Roman"/>
          <w:b w:val="0"/>
          <w:color w:val="auto"/>
          <w:sz w:val="24"/>
          <w:szCs w:val="24"/>
          <w:highlight w:val="none"/>
        </w:rPr>
        <w:t>1.6 图纸和承包人文件</w:t>
      </w:r>
      <w:bookmarkEnd w:id="1240"/>
      <w:bookmarkEnd w:id="1241"/>
      <w:bookmarkEnd w:id="1242"/>
      <w:bookmarkEnd w:id="1243"/>
      <w:bookmarkEnd w:id="1244"/>
    </w:p>
    <w:p w14:paraId="66E71F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1.6.1 </w:t>
      </w:r>
      <w:r>
        <w:rPr>
          <w:rFonts w:hint="default" w:ascii="Times New Roman" w:hAnsi="Times New Roman" w:eastAsia="黑体" w:cs="Times New Roman"/>
          <w:color w:val="auto"/>
          <w:sz w:val="24"/>
          <w:highlight w:val="none"/>
        </w:rPr>
        <w:t>图纸的提供</w:t>
      </w:r>
    </w:p>
    <w:p w14:paraId="7905021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24BCAC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F37D6F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1.6.2</w:t>
      </w:r>
      <w:r>
        <w:rPr>
          <w:rFonts w:hint="default" w:ascii="Times New Roman" w:hAnsi="Times New Roman" w:eastAsia="黑体" w:cs="Times New Roman"/>
          <w:color w:val="auto"/>
          <w:sz w:val="24"/>
          <w:highlight w:val="none"/>
        </w:rPr>
        <w:t xml:space="preserve"> 承包人提供的文件</w:t>
      </w:r>
    </w:p>
    <w:p w14:paraId="6384071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E88A91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有下列情形之一的，承包人应免费向监理人提交相关部分工程的施工图纸3份，并附必要的计算书、技术资料，或施工工艺图、设备安装图及安装设备的使用和维护手册各2份供监理人批准。</w:t>
      </w:r>
    </w:p>
    <w:p w14:paraId="6114C80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（1）为使第1.6.1项所述的施工图纸适合于经施工测量后的纵、横断面；</w:t>
      </w:r>
    </w:p>
    <w:p w14:paraId="0414A832">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（2）为使第1.6.1项所述的施工图纸适合于现场具体地形；</w:t>
      </w:r>
    </w:p>
    <w:p w14:paraId="05751DF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（3）为使第1.6.1项所述的施工图纸适合于因尺寸与位置变化而引起局部变更；</w:t>
      </w:r>
    </w:p>
    <w:p w14:paraId="241268A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（4）由于合同要求与施工需要。</w:t>
      </w:r>
    </w:p>
    <w:p w14:paraId="0323715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0D8EFAE1">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1.6.4 </w:t>
      </w:r>
      <w:r>
        <w:rPr>
          <w:rFonts w:hint="default" w:ascii="Times New Roman" w:hAnsi="Times New Roman" w:eastAsia="黑体" w:cs="Times New Roman"/>
          <w:color w:val="auto"/>
          <w:sz w:val="24"/>
          <w:highlight w:val="none"/>
        </w:rPr>
        <w:t>图纸的错误</w:t>
      </w:r>
    </w:p>
    <w:p w14:paraId="7C61956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5FF5814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3B65B53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45" w:name="_Toc23783"/>
      <w:bookmarkStart w:id="1246" w:name="_Toc5360"/>
      <w:bookmarkStart w:id="1247" w:name="_Toc29704"/>
      <w:bookmarkStart w:id="1248" w:name="_Toc234833129"/>
      <w:bookmarkStart w:id="1249" w:name="_Toc16791"/>
      <w:r>
        <w:rPr>
          <w:rFonts w:hint="default" w:ascii="Times New Roman" w:hAnsi="Times New Roman" w:eastAsia="黑体" w:cs="Times New Roman"/>
          <w:b w:val="0"/>
          <w:color w:val="auto"/>
          <w:sz w:val="24"/>
          <w:szCs w:val="24"/>
          <w:highlight w:val="none"/>
        </w:rPr>
        <w:t>1.9 严禁贿赂</w:t>
      </w:r>
      <w:bookmarkEnd w:id="1245"/>
      <w:bookmarkEnd w:id="1246"/>
      <w:bookmarkEnd w:id="1247"/>
      <w:bookmarkEnd w:id="1248"/>
      <w:bookmarkEnd w:id="1249"/>
    </w:p>
    <w:p w14:paraId="30750DC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34C0485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0A4A18A">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50" w:name="_Toc234833130"/>
      <w:bookmarkStart w:id="1251" w:name="_Toc3220"/>
      <w:bookmarkStart w:id="1252" w:name="_Toc21468"/>
      <w:bookmarkStart w:id="1253" w:name="_Toc1766"/>
      <w:bookmarkStart w:id="1254" w:name="_Toc15632"/>
      <w:r>
        <w:rPr>
          <w:rFonts w:hint="default" w:ascii="Times New Roman" w:hAnsi="Times New Roman" w:eastAsia="黑体" w:cs="Times New Roman"/>
          <w:b w:val="0"/>
          <w:color w:val="auto"/>
          <w:sz w:val="28"/>
          <w:szCs w:val="28"/>
          <w:highlight w:val="none"/>
        </w:rPr>
        <w:t>2. 发包人义务</w:t>
      </w:r>
      <w:bookmarkEnd w:id="1250"/>
      <w:bookmarkEnd w:id="1251"/>
      <w:bookmarkEnd w:id="1252"/>
      <w:bookmarkEnd w:id="1253"/>
      <w:bookmarkEnd w:id="1254"/>
    </w:p>
    <w:p w14:paraId="3B5F0B2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55" w:name="_Toc14471"/>
      <w:bookmarkStart w:id="1256" w:name="_Toc234833131"/>
      <w:bookmarkStart w:id="1257" w:name="_Toc27735"/>
      <w:bookmarkStart w:id="1258" w:name="_Toc21651"/>
      <w:bookmarkStart w:id="1259" w:name="_Toc8131"/>
      <w:r>
        <w:rPr>
          <w:rFonts w:hint="default" w:ascii="Times New Roman" w:hAnsi="Times New Roman" w:eastAsia="黑体" w:cs="Times New Roman"/>
          <w:b w:val="0"/>
          <w:color w:val="auto"/>
          <w:sz w:val="24"/>
          <w:szCs w:val="24"/>
          <w:highlight w:val="none"/>
        </w:rPr>
        <w:t>2.3 提供施工场地</w:t>
      </w:r>
      <w:bookmarkEnd w:id="1255"/>
      <w:bookmarkEnd w:id="1256"/>
      <w:bookmarkEnd w:id="1257"/>
      <w:bookmarkEnd w:id="1258"/>
      <w:bookmarkEnd w:id="1259"/>
    </w:p>
    <w:p w14:paraId="0A908C8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296E89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5EBDCC5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4F8458C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60" w:name="_Toc18195"/>
      <w:bookmarkStart w:id="1261" w:name="_Toc17755"/>
      <w:bookmarkStart w:id="1262" w:name="_Toc234833132"/>
      <w:bookmarkStart w:id="1263" w:name="_Toc25338"/>
      <w:bookmarkStart w:id="1264" w:name="_Toc18127"/>
      <w:r>
        <w:rPr>
          <w:rFonts w:hint="default" w:ascii="Times New Roman" w:hAnsi="Times New Roman" w:eastAsia="黑体" w:cs="Times New Roman"/>
          <w:b w:val="0"/>
          <w:color w:val="auto"/>
          <w:sz w:val="28"/>
          <w:szCs w:val="28"/>
          <w:highlight w:val="none"/>
        </w:rPr>
        <w:t>3. 监理人</w:t>
      </w:r>
      <w:bookmarkEnd w:id="1260"/>
      <w:bookmarkEnd w:id="1261"/>
      <w:bookmarkEnd w:id="1262"/>
      <w:bookmarkEnd w:id="1263"/>
      <w:bookmarkEnd w:id="1264"/>
    </w:p>
    <w:p w14:paraId="38745D3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65" w:name="_Toc17494"/>
      <w:bookmarkStart w:id="1266" w:name="_Toc10320"/>
      <w:bookmarkStart w:id="1267" w:name="_Toc19048"/>
      <w:bookmarkStart w:id="1268" w:name="_Toc234833133"/>
      <w:bookmarkStart w:id="1269" w:name="_Toc31502"/>
      <w:r>
        <w:rPr>
          <w:rFonts w:hint="default" w:ascii="Times New Roman" w:hAnsi="Times New Roman" w:eastAsia="黑体" w:cs="Times New Roman"/>
          <w:b w:val="0"/>
          <w:color w:val="auto"/>
          <w:sz w:val="24"/>
          <w:szCs w:val="24"/>
          <w:highlight w:val="none"/>
        </w:rPr>
        <w:t>3.1 监理人的职责和权力</w:t>
      </w:r>
      <w:bookmarkEnd w:id="1265"/>
      <w:bookmarkEnd w:id="1266"/>
      <w:bookmarkEnd w:id="1267"/>
      <w:bookmarkEnd w:id="1268"/>
      <w:bookmarkEnd w:id="1269"/>
      <w:r>
        <w:rPr>
          <w:rFonts w:hint="default" w:ascii="Times New Roman" w:hAnsi="Times New Roman" w:eastAsia="黑体" w:cs="Times New Roman"/>
          <w:b w:val="0"/>
          <w:color w:val="auto"/>
          <w:sz w:val="24"/>
          <w:szCs w:val="24"/>
          <w:highlight w:val="none"/>
        </w:rPr>
        <w:t xml:space="preserve"> </w:t>
      </w:r>
    </w:p>
    <w:p w14:paraId="2E455F4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第3.1.1项补充：</w:t>
      </w:r>
    </w:p>
    <w:p w14:paraId="63745B4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监理人在行使下列权力前需要经发包人事先批准：</w:t>
      </w:r>
    </w:p>
    <w:p w14:paraId="291CCEB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（1）根据第4.3款，同意分包本工程的某些非关键性工作或者适合专业化队伍施工的专项工程；</w:t>
      </w:r>
    </w:p>
    <w:p w14:paraId="013B25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（2）确定第4.11款下产生的费用增加额；</w:t>
      </w:r>
    </w:p>
    <w:p w14:paraId="603F9B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（3）根据第11.1款、第12.3款、第12.4款发布开工通知、暂停施工指示或复工通知；</w:t>
      </w:r>
    </w:p>
    <w:p w14:paraId="66654D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（4）决定第11.3款、第11.4款下的工期延长；</w:t>
      </w:r>
    </w:p>
    <w:p w14:paraId="307534C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（5）审查批准技术方案或设计的变更；</w:t>
      </w:r>
    </w:p>
    <w:p w14:paraId="5AFA0B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（6）根据第15.3款发出的变更指示，其单项工程变更或累计变更涉及的金额超过了项目专用合同条款数据表中规定的金额； </w:t>
      </w:r>
    </w:p>
    <w:p w14:paraId="4AA14D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（7）确定第15.4款下变更工作的单价；</w:t>
      </w:r>
    </w:p>
    <w:p w14:paraId="09BF96D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（8）按照第15.6款决定有关暂列金额的使用； </w:t>
      </w:r>
    </w:p>
    <w:p w14:paraId="5EAFB2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（9）确定第15.8款下的暂估价金额；</w:t>
      </w:r>
    </w:p>
    <w:p w14:paraId="1896FF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（10）确定第23.1款下的索赔额。</w:t>
      </w:r>
    </w:p>
    <w:p w14:paraId="0260634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534396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70" w:name="_Toc234833134"/>
      <w:bookmarkStart w:id="1271" w:name="_Toc5389"/>
      <w:bookmarkStart w:id="1272" w:name="_Toc22142"/>
      <w:bookmarkStart w:id="1273" w:name="_Toc11325"/>
      <w:bookmarkStart w:id="1274" w:name="_Toc24088"/>
      <w:r>
        <w:rPr>
          <w:rFonts w:hint="default" w:ascii="Times New Roman" w:hAnsi="Times New Roman" w:eastAsia="黑体" w:cs="Times New Roman"/>
          <w:b w:val="0"/>
          <w:color w:val="auto"/>
          <w:sz w:val="24"/>
          <w:szCs w:val="24"/>
          <w:highlight w:val="none"/>
        </w:rPr>
        <w:t>3.5商定或确定</w:t>
      </w:r>
      <w:bookmarkEnd w:id="1270"/>
      <w:bookmarkEnd w:id="1271"/>
      <w:bookmarkEnd w:id="1272"/>
      <w:bookmarkEnd w:id="1273"/>
      <w:bookmarkEnd w:id="1274"/>
    </w:p>
    <w:p w14:paraId="4F4322F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第3.5.1项补充：</w:t>
      </w:r>
    </w:p>
    <w:p w14:paraId="0D7EB2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如果这项商定或确定导致费用增加和（或）工期延长，或者涉及确定变更工程的价格，则总监理工程师在发出通知前，应征得发包人的同意。</w:t>
      </w:r>
    </w:p>
    <w:p w14:paraId="3E144ABC">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275" w:name="_Toc234833135"/>
      <w:bookmarkStart w:id="1276" w:name="_Toc8992"/>
      <w:bookmarkStart w:id="1277" w:name="_Toc11613"/>
      <w:bookmarkStart w:id="1278" w:name="_Toc9107"/>
      <w:bookmarkStart w:id="1279" w:name="_Toc32621"/>
      <w:r>
        <w:rPr>
          <w:rFonts w:hint="default" w:ascii="Times New Roman" w:hAnsi="Times New Roman" w:eastAsia="黑体" w:cs="Times New Roman"/>
          <w:b w:val="0"/>
          <w:color w:val="auto"/>
          <w:sz w:val="28"/>
          <w:szCs w:val="28"/>
          <w:highlight w:val="none"/>
        </w:rPr>
        <w:t>4. 承包人</w:t>
      </w:r>
      <w:bookmarkEnd w:id="1275"/>
      <w:bookmarkEnd w:id="1276"/>
      <w:bookmarkEnd w:id="1277"/>
      <w:bookmarkEnd w:id="1278"/>
      <w:bookmarkEnd w:id="1279"/>
    </w:p>
    <w:p w14:paraId="16C0CD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0" w:name="_Toc10533"/>
      <w:bookmarkStart w:id="1281" w:name="_Toc9712"/>
      <w:bookmarkStart w:id="1282" w:name="_Toc234833136"/>
      <w:bookmarkStart w:id="1283" w:name="_Toc1637"/>
      <w:bookmarkStart w:id="1284" w:name="_Toc31924"/>
      <w:r>
        <w:rPr>
          <w:rFonts w:hint="default" w:ascii="Times New Roman" w:hAnsi="Times New Roman" w:eastAsia="黑体" w:cs="Times New Roman"/>
          <w:b w:val="0"/>
          <w:color w:val="auto"/>
          <w:sz w:val="24"/>
          <w:szCs w:val="24"/>
          <w:highlight w:val="none"/>
        </w:rPr>
        <w:t>4.1 承包人的一般义务</w:t>
      </w:r>
      <w:bookmarkEnd w:id="1280"/>
      <w:bookmarkEnd w:id="1281"/>
      <w:bookmarkEnd w:id="1282"/>
      <w:bookmarkEnd w:id="1283"/>
      <w:bookmarkEnd w:id="1284"/>
    </w:p>
    <w:p w14:paraId="53532D3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4.1.9 </w:t>
      </w:r>
      <w:r>
        <w:rPr>
          <w:rFonts w:hint="default" w:ascii="Times New Roman" w:hAnsi="Times New Roman" w:eastAsia="黑体" w:cs="Times New Roman"/>
          <w:color w:val="auto"/>
          <w:sz w:val="24"/>
          <w:highlight w:val="none"/>
        </w:rPr>
        <w:t xml:space="preserve">工程的维护和照管 </w:t>
      </w:r>
    </w:p>
    <w:p w14:paraId="634FABD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DDEBDA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1A17A23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3436AE54">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07D2EE27">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13886BF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临时占地由承包人向当地政府土地管理部门申请，并办理租用手续，承包人按有关规定直接支付其费用，发包人对此将予以协调。</w:t>
      </w:r>
    </w:p>
    <w:p w14:paraId="4297340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临时占地计划表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6AADAEA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115FDB1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1C3D606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5EE3BD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包工头</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或其他不具备用工主体资格的组织和个人。</w:t>
      </w:r>
    </w:p>
    <w:p w14:paraId="6F297F3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工资支付表应如实记录支付单位、支付时间、支付对象、支付数额、支付对象的身份证号和签字等信息。民工花名册和工资支付表应报监理人备查。</w:t>
      </w:r>
    </w:p>
    <w:p w14:paraId="6E91826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（4）承包人应分解工程价款中的人工费用，在工程项目所在地银行开设</w:t>
      </w:r>
      <w:r>
        <w:rPr>
          <w:rFonts w:hint="eastAsia" w:cs="Times New Roman"/>
          <w:color w:val="auto"/>
          <w:sz w:val="24"/>
          <w:highlight w:val="none"/>
          <w:lang w:val="en-US" w:eastAsia="zh-CN"/>
        </w:rPr>
        <w:t>农</w:t>
      </w:r>
      <w:r>
        <w:rPr>
          <w:rFonts w:hint="default" w:ascii="Times New Roman" w:hAnsi="Times New Roman" w:cs="Times New Roman"/>
          <w:color w:val="auto"/>
          <w:sz w:val="24"/>
          <w:highlight w:val="none"/>
        </w:rPr>
        <w:t>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04E29FA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10BCA0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（6）承包人应履行项目专用合同条款约定的其他义务。</w:t>
      </w:r>
    </w:p>
    <w:p w14:paraId="5C8961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85" w:name="_Toc16581"/>
      <w:bookmarkStart w:id="1286" w:name="_Toc5952"/>
      <w:bookmarkStart w:id="1287" w:name="_Toc19692"/>
      <w:bookmarkStart w:id="1288" w:name="_Toc29645"/>
      <w:bookmarkStart w:id="1289" w:name="_Toc234833137"/>
      <w:r>
        <w:rPr>
          <w:rFonts w:hint="default" w:ascii="Times New Roman" w:hAnsi="Times New Roman" w:eastAsia="黑体" w:cs="Times New Roman"/>
          <w:b w:val="0"/>
          <w:color w:val="auto"/>
          <w:sz w:val="24"/>
          <w:szCs w:val="24"/>
          <w:highlight w:val="none"/>
        </w:rPr>
        <w:t>4.2 履约保证金</w:t>
      </w:r>
      <w:bookmarkEnd w:id="1285"/>
      <w:bookmarkEnd w:id="1286"/>
      <w:bookmarkEnd w:id="1287"/>
      <w:bookmarkEnd w:id="1288"/>
    </w:p>
    <w:p w14:paraId="217B572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4B27E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承包人应保证其履约保证金在发包人签发交工验收证书且承包人按照合同约定缴纳质量保证金前一直有效。发包人应在收到承包人缴纳的质量保证金后28天内将履约保证金退还给承包人。</w:t>
      </w:r>
    </w:p>
    <w:p w14:paraId="7C65B92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承包人拒绝按照本合同约定缴纳质量保证金的，发包人有权从交工付款证书中扣留相应金额作为质量保证金，或者直接将履约保证金金额用于保证承包人在缺陷责任期内履行缺陷修复义务。</w:t>
      </w:r>
    </w:p>
    <w:p w14:paraId="52FC7C5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0" w:name="_Toc32680"/>
      <w:bookmarkStart w:id="1291" w:name="_Toc31152"/>
      <w:bookmarkStart w:id="1292" w:name="_Toc25400"/>
      <w:bookmarkStart w:id="1293" w:name="_Toc1237"/>
      <w:r>
        <w:rPr>
          <w:rFonts w:hint="default" w:ascii="Times New Roman" w:hAnsi="Times New Roman" w:eastAsia="黑体" w:cs="Times New Roman"/>
          <w:b w:val="0"/>
          <w:color w:val="auto"/>
          <w:sz w:val="24"/>
          <w:szCs w:val="24"/>
          <w:highlight w:val="none"/>
        </w:rPr>
        <w:t>4.3 分包</w:t>
      </w:r>
      <w:bookmarkEnd w:id="1289"/>
      <w:bookmarkEnd w:id="1290"/>
      <w:bookmarkEnd w:id="1291"/>
      <w:bookmarkEnd w:id="1292"/>
      <w:bookmarkEnd w:id="1293"/>
    </w:p>
    <w:p w14:paraId="1379EFF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第4.3.2项～第4.3.4项细化为：</w:t>
      </w:r>
    </w:p>
    <w:p w14:paraId="0E6EC7D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4.3.2 承包人不得将《辽宁省公路工程施工分包管理实施细则》（辽交公路规〔2025〕1号）规定的负面清单所列主体和关键性工作分包给第三人。经发包人同意，承包人可将工程的其他部分或工作分包给第三人。分包包括专业分包和劳务分包。</w:t>
      </w:r>
    </w:p>
    <w:p w14:paraId="2790C63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4.3.3 专业分包</w:t>
      </w:r>
    </w:p>
    <w:p w14:paraId="64E31C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在工程施工过程中，承包人进行专业分包必须遵守以下规定：</w:t>
      </w:r>
    </w:p>
    <w:p w14:paraId="4A218A6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（1）允许专业分包的工程范围仅限于《辽宁省公路工程施工分包管理实施细则》（辽交公路规〔2025〕1号）</w:t>
      </w:r>
      <w:r>
        <w:rPr>
          <w:rFonts w:hint="eastAsia" w:cs="Times New Roman"/>
          <w:color w:val="auto"/>
          <w:sz w:val="24"/>
          <w:highlight w:val="none"/>
          <w:lang w:val="en-US" w:eastAsia="zh-CN"/>
        </w:rPr>
        <w:t>规定的负面清单以外的部分单位工程、分部工程或者分项工程</w:t>
      </w:r>
      <w:r>
        <w:rPr>
          <w:rFonts w:hint="default" w:ascii="Times New Roman" w:hAnsi="Times New Roman" w:cs="Times New Roman"/>
          <w:color w:val="auto"/>
          <w:sz w:val="24"/>
          <w:highlight w:val="none"/>
        </w:rPr>
        <w:t>。</w:t>
      </w:r>
    </w:p>
    <w:p w14:paraId="175ADE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（2）专业分包人的资格能力（含安全生产能力）应与其分包工程的标准和规模相适应，且应当具备如下条件：</w:t>
      </w:r>
    </w:p>
    <w:p w14:paraId="5D7E83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具有经依法登记的法人资格；</w:t>
      </w:r>
    </w:p>
    <w:p w14:paraId="5F6707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b. 具有从事类似工程经验的管理与技术人员； </w:t>
      </w:r>
    </w:p>
    <w:p w14:paraId="2130C8BD">
      <w:pPr>
        <w:pageBreakBefore w:val="0"/>
        <w:kinsoku/>
        <w:wordWrap w:val="0"/>
        <w:bidi w:val="0"/>
        <w:spacing w:line="400" w:lineRule="atLeast"/>
        <w:ind w:firstLine="480" w:firstLineChars="200"/>
        <w:rPr>
          <w:rFonts w:hint="eastAsia" w:cs="Times New Roman"/>
          <w:color w:val="auto"/>
          <w:sz w:val="24"/>
          <w:highlight w:val="none"/>
          <w:lang w:eastAsia="zh-CN"/>
        </w:rPr>
      </w:pPr>
      <w:r>
        <w:rPr>
          <w:rFonts w:hint="default" w:ascii="Times New Roman" w:hAnsi="Times New Roman" w:cs="Times New Roman"/>
          <w:color w:val="auto"/>
          <w:sz w:val="24"/>
          <w:highlight w:val="none"/>
        </w:rPr>
        <w:t>c. 具有（自有或者租赁）分包工程所需的施工设备和辅助设施</w:t>
      </w:r>
      <w:r>
        <w:rPr>
          <w:rFonts w:hint="eastAsia" w:cs="Times New Roman"/>
          <w:color w:val="auto"/>
          <w:sz w:val="24"/>
          <w:highlight w:val="none"/>
          <w:lang w:eastAsia="zh-CN"/>
        </w:rPr>
        <w:t>；</w:t>
      </w:r>
    </w:p>
    <w:p w14:paraId="2370EE7B">
      <w:pPr>
        <w:pageBreakBefore w:val="0"/>
        <w:kinsoku/>
        <w:wordWrap w:val="0"/>
        <w:bidi w:val="0"/>
        <w:spacing w:line="400" w:lineRule="atLeas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d.单位工程设有资质要求的，单位工程及所含分部工程、分项工程的分包人，应当具备国家规定的相应专业承包资质条件;</w:t>
      </w:r>
    </w:p>
    <w:p w14:paraId="6F1160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e.其他单位工程及所含分部工程、分项工程的分包人，应当具备发包人确定的资格条件，但不得违反法律法规等相关规定</w:t>
      </w:r>
      <w:r>
        <w:rPr>
          <w:rFonts w:hint="default" w:ascii="Times New Roman" w:hAnsi="Times New Roman" w:cs="Times New Roman"/>
          <w:color w:val="auto"/>
          <w:sz w:val="24"/>
          <w:highlight w:val="none"/>
        </w:rPr>
        <w:t>。</w:t>
      </w:r>
    </w:p>
    <w:p w14:paraId="1AB153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承包人应向监理人提交专业分包人的资格能力证明材料，经监理人审查并报发包人批准后，可以将相应专业工程分包给该专业分包人。</w:t>
      </w:r>
    </w:p>
    <w:p w14:paraId="233343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（3）专业分包工程不得再次分包。</w:t>
      </w:r>
    </w:p>
    <w:p w14:paraId="3B3D629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431D2E9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7BE119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3CF935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644C43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7EEC81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3FCF6E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4.3.4 劳务分包</w:t>
      </w:r>
    </w:p>
    <w:p w14:paraId="6FB7D8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在工程施工过程中，承包人进行劳务分包必须遵守以下规定：</w:t>
      </w:r>
    </w:p>
    <w:p w14:paraId="76593CB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（1）劳务分包人应具有施工劳务资质。</w:t>
      </w:r>
    </w:p>
    <w:p w14:paraId="20B06BC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4D6641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雇用的劳务作业应加入到承包人的施工班组统一管理。有关施工质量、施工安全、施工进度、环境保护、技术方案、试验检测、材料保管与供应、机械设备等都必须由承包人管理与调配，不得以包代管。</w:t>
      </w:r>
    </w:p>
    <w:p w14:paraId="0DB13F1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（4）承包人应当对劳务分包人员进行安全培训和管理，劳务分包人不得将其分包的劳务作业再次分包。</w:t>
      </w:r>
    </w:p>
    <w:p w14:paraId="232CA5A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违反上述规定之一者属违规分包。</w:t>
      </w:r>
    </w:p>
    <w:p w14:paraId="750F43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本款补充第4.3.6项、第4.3.7项：</w:t>
      </w:r>
    </w:p>
    <w:p w14:paraId="45CC17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4.3.6 发包人对承包人与分包人之间的法律与经济纠纷不承担任何责任和义务。</w:t>
      </w:r>
    </w:p>
    <w:p w14:paraId="52F18E4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4.3.7 本项目的各项分包工作均应遵守《公路工程施工分包管理办法》的有关规定。</w:t>
      </w:r>
    </w:p>
    <w:p w14:paraId="4542A2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4" w:name="_Toc29009"/>
      <w:bookmarkStart w:id="1295" w:name="_Toc32168"/>
      <w:bookmarkStart w:id="1296" w:name="_Toc13827"/>
      <w:bookmarkStart w:id="1297" w:name="_Toc29289"/>
      <w:bookmarkStart w:id="1298" w:name="_Toc234833138"/>
      <w:r>
        <w:rPr>
          <w:rFonts w:hint="default" w:ascii="Times New Roman" w:hAnsi="Times New Roman" w:eastAsia="黑体" w:cs="Times New Roman"/>
          <w:b w:val="0"/>
          <w:color w:val="auto"/>
          <w:sz w:val="24"/>
          <w:szCs w:val="24"/>
          <w:highlight w:val="none"/>
        </w:rPr>
        <w:t>4.4联合体</w:t>
      </w:r>
      <w:bookmarkEnd w:id="1294"/>
      <w:bookmarkEnd w:id="1295"/>
      <w:bookmarkEnd w:id="1296"/>
      <w:bookmarkEnd w:id="1297"/>
      <w:bookmarkEnd w:id="1298"/>
    </w:p>
    <w:p w14:paraId="35BDA53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本款补充第4.4.4项：</w:t>
      </w:r>
    </w:p>
    <w:p w14:paraId="40E504B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4.4.4未经发包人事先同意，联合体的组成与结构不得变动。</w:t>
      </w:r>
    </w:p>
    <w:p w14:paraId="7D0534E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299" w:name="_Toc13104"/>
      <w:bookmarkStart w:id="1300" w:name="_Toc13791"/>
      <w:bookmarkStart w:id="1301" w:name="_Toc234833139"/>
      <w:bookmarkStart w:id="1302" w:name="_Toc12253"/>
      <w:bookmarkStart w:id="1303" w:name="_Toc2858"/>
      <w:r>
        <w:rPr>
          <w:rFonts w:hint="default" w:ascii="Times New Roman" w:hAnsi="Times New Roman" w:eastAsia="黑体" w:cs="Times New Roman"/>
          <w:b w:val="0"/>
          <w:color w:val="auto"/>
          <w:sz w:val="24"/>
          <w:szCs w:val="24"/>
          <w:highlight w:val="none"/>
        </w:rPr>
        <w:t>4.6 承包人人员的管理</w:t>
      </w:r>
      <w:bookmarkEnd w:id="1299"/>
      <w:bookmarkEnd w:id="1300"/>
      <w:bookmarkEnd w:id="1301"/>
      <w:bookmarkEnd w:id="1302"/>
      <w:bookmarkEnd w:id="1303"/>
    </w:p>
    <w:p w14:paraId="192634E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第4.6.3项细化为：</w:t>
      </w:r>
    </w:p>
    <w:p w14:paraId="750FB5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3B2FBD1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本款补充第4.6.5项：</w:t>
      </w:r>
    </w:p>
    <w:p w14:paraId="0FBA0A6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75714CE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4" w:name="_Toc6774"/>
      <w:bookmarkStart w:id="1305" w:name="_Toc234833140"/>
      <w:bookmarkStart w:id="1306" w:name="_Toc20923"/>
      <w:bookmarkStart w:id="1307" w:name="_Toc3046"/>
      <w:bookmarkStart w:id="1308" w:name="_Toc16403"/>
      <w:r>
        <w:rPr>
          <w:rFonts w:hint="default" w:ascii="Times New Roman" w:hAnsi="Times New Roman" w:eastAsia="黑体" w:cs="Times New Roman"/>
          <w:b w:val="0"/>
          <w:color w:val="auto"/>
          <w:sz w:val="24"/>
          <w:szCs w:val="24"/>
          <w:highlight w:val="none"/>
        </w:rPr>
        <w:t>4.7 撤换承包人项目经理和其他人员</w:t>
      </w:r>
      <w:bookmarkEnd w:id="1304"/>
      <w:bookmarkEnd w:id="1305"/>
      <w:bookmarkEnd w:id="1306"/>
      <w:bookmarkEnd w:id="1307"/>
      <w:bookmarkEnd w:id="1308"/>
    </w:p>
    <w:p w14:paraId="77ED67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83D1B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354A34F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09" w:name="_Toc4005"/>
      <w:bookmarkStart w:id="1310" w:name="_Toc5979"/>
      <w:bookmarkStart w:id="1311" w:name="_Toc234833141"/>
      <w:bookmarkStart w:id="1312" w:name="_Toc22693"/>
      <w:bookmarkStart w:id="1313" w:name="_Toc6730"/>
      <w:r>
        <w:rPr>
          <w:rFonts w:hint="default" w:ascii="Times New Roman" w:hAnsi="Times New Roman" w:eastAsia="黑体" w:cs="Times New Roman"/>
          <w:b w:val="0"/>
          <w:color w:val="auto"/>
          <w:sz w:val="24"/>
          <w:szCs w:val="24"/>
          <w:highlight w:val="none"/>
        </w:rPr>
        <w:t>4.9 工程价款应专款专用</w:t>
      </w:r>
      <w:bookmarkEnd w:id="1309"/>
      <w:bookmarkEnd w:id="1310"/>
      <w:bookmarkEnd w:id="1311"/>
      <w:bookmarkEnd w:id="1312"/>
      <w:bookmarkEnd w:id="1313"/>
    </w:p>
    <w:p w14:paraId="3997FC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53625A4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w:t>
      </w:r>
      <w:r>
        <w:rPr>
          <w:rFonts w:hint="eastAsia" w:cs="Times New Roman"/>
          <w:color w:val="auto"/>
          <w:sz w:val="24"/>
          <w:highlight w:val="none"/>
          <w:lang w:val="en-US" w:eastAsia="zh-CN"/>
        </w:rPr>
        <w:t>当</w:t>
      </w:r>
      <w:r>
        <w:rPr>
          <w:rFonts w:hint="default" w:ascii="Times New Roman" w:hAnsi="Times New Roman" w:cs="Times New Roman"/>
          <w:color w:val="auto"/>
          <w:sz w:val="24"/>
          <w:highlight w:val="none"/>
        </w:rPr>
        <w:t>月支付，直至承包人改正为止。</w:t>
      </w:r>
    </w:p>
    <w:p w14:paraId="326FAFB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4" w:name="_Toc2824"/>
      <w:bookmarkStart w:id="1315" w:name="_Toc5299"/>
      <w:bookmarkStart w:id="1316" w:name="_Toc23321"/>
      <w:bookmarkStart w:id="1317" w:name="_Toc234833142"/>
      <w:bookmarkStart w:id="1318" w:name="_Toc14913"/>
      <w:r>
        <w:rPr>
          <w:rFonts w:hint="default" w:ascii="Times New Roman" w:hAnsi="Times New Roman" w:eastAsia="黑体" w:cs="Times New Roman"/>
          <w:b w:val="0"/>
          <w:color w:val="auto"/>
          <w:sz w:val="24"/>
          <w:szCs w:val="24"/>
          <w:highlight w:val="none"/>
        </w:rPr>
        <w:t>4.10 承包人现场查勘</w:t>
      </w:r>
      <w:bookmarkEnd w:id="1314"/>
      <w:bookmarkEnd w:id="1315"/>
      <w:bookmarkEnd w:id="1316"/>
      <w:bookmarkEnd w:id="1317"/>
      <w:bookmarkEnd w:id="1318"/>
      <w:r>
        <w:rPr>
          <w:rFonts w:hint="default" w:ascii="Times New Roman" w:hAnsi="Times New Roman" w:eastAsia="黑体" w:cs="Times New Roman"/>
          <w:b w:val="0"/>
          <w:color w:val="auto"/>
          <w:sz w:val="24"/>
          <w:szCs w:val="24"/>
          <w:highlight w:val="none"/>
        </w:rPr>
        <w:t xml:space="preserve">    </w:t>
      </w:r>
    </w:p>
    <w:p w14:paraId="526D299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第4.10.1项细化为：</w:t>
      </w:r>
      <w:r>
        <w:rPr>
          <w:rStyle w:val="47"/>
          <w:rFonts w:hint="default" w:ascii="Times New Roman" w:hAnsi="Times New Roman" w:cs="Times New Roman"/>
          <w:color w:val="auto"/>
          <w:sz w:val="24"/>
          <w:highlight w:val="none"/>
        </w:rPr>
        <w:footnoteReference w:id="39"/>
      </w:r>
    </w:p>
    <w:p w14:paraId="06CFEB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0E249F1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19" w:name="_Toc26327"/>
      <w:bookmarkStart w:id="1320" w:name="_Toc29737"/>
      <w:bookmarkStart w:id="1321" w:name="_Toc29003"/>
      <w:bookmarkStart w:id="1322" w:name="_Toc15362"/>
      <w:bookmarkStart w:id="1323" w:name="_Toc234833143"/>
      <w:r>
        <w:rPr>
          <w:rFonts w:hint="default" w:ascii="Times New Roman" w:hAnsi="Times New Roman" w:eastAsia="黑体" w:cs="Times New Roman"/>
          <w:b w:val="0"/>
          <w:color w:val="auto"/>
          <w:sz w:val="24"/>
          <w:szCs w:val="24"/>
          <w:highlight w:val="none"/>
        </w:rPr>
        <w:t>4.11 不利物质条件</w:t>
      </w:r>
      <w:bookmarkEnd w:id="1319"/>
      <w:bookmarkEnd w:id="1320"/>
      <w:bookmarkEnd w:id="1321"/>
      <w:bookmarkEnd w:id="1322"/>
      <w:bookmarkEnd w:id="1323"/>
    </w:p>
    <w:p w14:paraId="059164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第4.11.2项细化为：</w:t>
      </w:r>
    </w:p>
    <w:p w14:paraId="26D980F7">
      <w:pPr>
        <w:pageBreakBefore w:val="0"/>
        <w:kinsoku/>
        <w:wordWrap w:val="0"/>
        <w:bidi w:val="0"/>
        <w:spacing w:line="400" w:lineRule="atLeast"/>
        <w:ind w:firstLine="420"/>
        <w:rPr>
          <w:rFonts w:hint="default" w:ascii="Times New Roman" w:hAnsi="Times New Roman" w:cs="Times New Roman"/>
          <w:iCs/>
          <w:color w:val="auto"/>
          <w:sz w:val="24"/>
          <w:highlight w:val="none"/>
        </w:rPr>
      </w:pPr>
      <w:r>
        <w:rPr>
          <w:rFonts w:hint="default" w:ascii="Times New Roman" w:hAnsi="Times New Roman" w:cs="Times New Roman"/>
          <w:iCs/>
          <w:color w:val="auto"/>
          <w:sz w:val="24"/>
          <w:highlight w:val="none"/>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258EA714">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本款补充第4.11.3项：</w:t>
      </w:r>
    </w:p>
    <w:p w14:paraId="7C298A0C">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4.11.3 可预见的不利物质条件</w:t>
      </w:r>
    </w:p>
    <w:p w14:paraId="4E283EE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（1）对于项目专用合同条款中已经明确指出的不利物质条件无论承包人是否有其经历和经验均视为承包人在接受合同时已预见其影响，并已在签约合同价中计入因其影响而可能发生的一切费用。</w:t>
      </w:r>
    </w:p>
    <w:p w14:paraId="20158CB0">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（2）对于项目专用合同条款未明确指出，但是在不利物质条件发生之前，监理人已经指示承包人有可能发生，但承包人未能及时采取有效措施，而导致的损失和后果均由承包人承担。</w:t>
      </w:r>
    </w:p>
    <w:p w14:paraId="0EA4AD0E">
      <w:pPr>
        <w:pageBreakBefore w:val="0"/>
        <w:kinsoku/>
        <w:wordWrap w:val="0"/>
        <w:bidi w:val="0"/>
        <w:spacing w:line="400" w:lineRule="atLeast"/>
        <w:rPr>
          <w:rFonts w:hint="default" w:ascii="Times New Roman" w:hAnsi="Times New Roman" w:cs="Times New Roman"/>
          <w:color w:val="auto"/>
          <w:sz w:val="24"/>
          <w:highlight w:val="none"/>
        </w:rPr>
      </w:pPr>
    </w:p>
    <w:p w14:paraId="79D7F8F6">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补充第4.12款、第4.13款：</w:t>
      </w:r>
    </w:p>
    <w:p w14:paraId="6E2FF07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4" w:name="_Toc13171"/>
      <w:bookmarkStart w:id="1325" w:name="_Toc234833144"/>
      <w:bookmarkStart w:id="1326" w:name="_Toc6244"/>
      <w:bookmarkStart w:id="1327" w:name="_Toc4142"/>
      <w:bookmarkStart w:id="1328" w:name="_Toc30842"/>
      <w:r>
        <w:rPr>
          <w:rFonts w:hint="default" w:ascii="Times New Roman" w:hAnsi="Times New Roman" w:eastAsia="黑体" w:cs="Times New Roman"/>
          <w:b w:val="0"/>
          <w:color w:val="auto"/>
          <w:sz w:val="24"/>
          <w:szCs w:val="24"/>
          <w:highlight w:val="none"/>
        </w:rPr>
        <w:t>4.12 投标文件的完备性</w:t>
      </w:r>
      <w:bookmarkEnd w:id="1324"/>
      <w:bookmarkEnd w:id="1325"/>
      <w:bookmarkEnd w:id="1326"/>
      <w:bookmarkEnd w:id="1327"/>
      <w:bookmarkEnd w:id="1328"/>
    </w:p>
    <w:p w14:paraId="5520C2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7C70584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29" w:name="_Toc18033"/>
      <w:bookmarkStart w:id="1330" w:name="_Toc14467"/>
      <w:bookmarkStart w:id="1331" w:name="_Toc31801"/>
      <w:bookmarkStart w:id="1332" w:name="_Toc4019"/>
      <w:r>
        <w:rPr>
          <w:rFonts w:hint="default" w:ascii="Times New Roman" w:hAnsi="Times New Roman" w:eastAsia="黑体" w:cs="Times New Roman"/>
          <w:b w:val="0"/>
          <w:color w:val="auto"/>
          <w:sz w:val="24"/>
          <w:szCs w:val="24"/>
          <w:highlight w:val="none"/>
        </w:rPr>
        <w:t>4.13 开展党建工作要求</w:t>
      </w:r>
      <w:bookmarkEnd w:id="1329"/>
      <w:bookmarkEnd w:id="1330"/>
      <w:bookmarkEnd w:id="1331"/>
      <w:bookmarkEnd w:id="1332"/>
    </w:p>
    <w:p w14:paraId="3CA3D3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11CBF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167D0DB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33" w:name="_Toc26645"/>
      <w:bookmarkStart w:id="1334" w:name="_Toc29830"/>
      <w:bookmarkStart w:id="1335" w:name="_Toc234833145"/>
      <w:bookmarkStart w:id="1336" w:name="_Toc21286"/>
      <w:bookmarkStart w:id="1337" w:name="_Toc17097"/>
      <w:r>
        <w:rPr>
          <w:rFonts w:hint="default" w:ascii="Times New Roman" w:hAnsi="Times New Roman" w:eastAsia="黑体" w:cs="Times New Roman"/>
          <w:b w:val="0"/>
          <w:color w:val="auto"/>
          <w:sz w:val="28"/>
          <w:szCs w:val="28"/>
          <w:highlight w:val="none"/>
        </w:rPr>
        <w:t>5. 材料和工程设备</w:t>
      </w:r>
      <w:bookmarkEnd w:id="1333"/>
      <w:bookmarkEnd w:id="1334"/>
      <w:bookmarkEnd w:id="1335"/>
      <w:bookmarkEnd w:id="1336"/>
      <w:bookmarkEnd w:id="1337"/>
    </w:p>
    <w:p w14:paraId="4CE40D9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38" w:name="_Toc6846"/>
      <w:bookmarkStart w:id="1339" w:name="_Toc24736"/>
      <w:bookmarkStart w:id="1340" w:name="_Toc25319"/>
      <w:bookmarkStart w:id="1341" w:name="_Toc234833146"/>
      <w:bookmarkStart w:id="1342" w:name="_Toc25834"/>
      <w:r>
        <w:rPr>
          <w:rFonts w:hint="default" w:ascii="Times New Roman" w:hAnsi="Times New Roman" w:eastAsia="黑体" w:cs="Times New Roman"/>
          <w:b w:val="0"/>
          <w:color w:val="auto"/>
          <w:sz w:val="24"/>
          <w:szCs w:val="24"/>
          <w:highlight w:val="none"/>
        </w:rPr>
        <w:t>5.2 发包人提供的材料和工程设备</w:t>
      </w:r>
      <w:bookmarkEnd w:id="1338"/>
      <w:bookmarkEnd w:id="1339"/>
      <w:bookmarkEnd w:id="1340"/>
      <w:bookmarkEnd w:id="1341"/>
      <w:bookmarkEnd w:id="1342"/>
    </w:p>
    <w:p w14:paraId="5385FBD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第5.2.3项补充：</w:t>
      </w:r>
    </w:p>
    <w:p w14:paraId="40DA5B0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70A5F97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43" w:name="_Toc11578"/>
      <w:bookmarkStart w:id="1344" w:name="_Toc7033"/>
      <w:bookmarkStart w:id="1345" w:name="_Toc19827"/>
      <w:bookmarkStart w:id="1346" w:name="_Toc11315"/>
      <w:bookmarkStart w:id="1347" w:name="_Toc234833147"/>
      <w:r>
        <w:rPr>
          <w:rFonts w:hint="default" w:ascii="Times New Roman" w:hAnsi="Times New Roman" w:eastAsia="黑体" w:cs="Times New Roman"/>
          <w:b w:val="0"/>
          <w:color w:val="auto"/>
          <w:sz w:val="28"/>
          <w:szCs w:val="28"/>
          <w:highlight w:val="none"/>
        </w:rPr>
        <w:t>6. 施工设备和临时设施</w:t>
      </w:r>
      <w:bookmarkEnd w:id="1343"/>
      <w:bookmarkEnd w:id="1344"/>
      <w:bookmarkEnd w:id="1345"/>
      <w:bookmarkEnd w:id="1346"/>
      <w:bookmarkEnd w:id="1347"/>
      <w:r>
        <w:rPr>
          <w:rFonts w:hint="default" w:ascii="Times New Roman" w:hAnsi="Times New Roman" w:eastAsia="黑体" w:cs="Times New Roman"/>
          <w:b w:val="0"/>
          <w:color w:val="auto"/>
          <w:sz w:val="28"/>
          <w:szCs w:val="28"/>
          <w:highlight w:val="none"/>
        </w:rPr>
        <w:t xml:space="preserve"> </w:t>
      </w:r>
    </w:p>
    <w:p w14:paraId="25C31B7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48" w:name="_Toc26020"/>
      <w:bookmarkStart w:id="1349" w:name="_Toc24822"/>
      <w:bookmarkStart w:id="1350" w:name="_Toc234833148"/>
      <w:bookmarkStart w:id="1351" w:name="_Toc24564"/>
      <w:bookmarkStart w:id="1352" w:name="_Toc13056"/>
      <w:r>
        <w:rPr>
          <w:rFonts w:hint="default" w:ascii="Times New Roman" w:hAnsi="Times New Roman" w:eastAsia="黑体" w:cs="Times New Roman"/>
          <w:b w:val="0"/>
          <w:color w:val="auto"/>
          <w:sz w:val="24"/>
          <w:szCs w:val="24"/>
          <w:highlight w:val="none"/>
        </w:rPr>
        <w:t>6.1 承包人提供的施工设备和临时设施</w:t>
      </w:r>
      <w:bookmarkEnd w:id="1348"/>
      <w:bookmarkEnd w:id="1349"/>
      <w:bookmarkEnd w:id="1350"/>
      <w:bookmarkEnd w:id="1351"/>
      <w:bookmarkEnd w:id="1352"/>
    </w:p>
    <w:p w14:paraId="4E8C389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第6.1.2项约定为：</w:t>
      </w:r>
    </w:p>
    <w:p w14:paraId="635552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承包人应自行承担修建临时设施的费用，需要临时占地的，应由承包人按第4.1.10项（1）目的规定办理。</w:t>
      </w:r>
    </w:p>
    <w:p w14:paraId="054E82A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53" w:name="_Toc234833149"/>
      <w:bookmarkStart w:id="1354" w:name="_Toc28402"/>
      <w:bookmarkStart w:id="1355" w:name="_Toc17575"/>
      <w:bookmarkStart w:id="1356" w:name="_Toc10697"/>
      <w:bookmarkStart w:id="1357" w:name="_Toc15629"/>
      <w:r>
        <w:rPr>
          <w:rFonts w:hint="default" w:ascii="Times New Roman" w:hAnsi="Times New Roman" w:eastAsia="黑体" w:cs="Times New Roman"/>
          <w:b w:val="0"/>
          <w:color w:val="auto"/>
          <w:sz w:val="24"/>
          <w:szCs w:val="24"/>
          <w:highlight w:val="none"/>
        </w:rPr>
        <w:t>6.3 要求承包人增加或更换施工设备</w:t>
      </w:r>
      <w:bookmarkEnd w:id="1353"/>
      <w:bookmarkEnd w:id="1354"/>
      <w:bookmarkEnd w:id="1355"/>
      <w:bookmarkEnd w:id="1356"/>
      <w:bookmarkEnd w:id="1357"/>
    </w:p>
    <w:p w14:paraId="3B4ED6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9B23A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承诺的施工设备必须按时到达现场，不得拖延、短缺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1C28FFE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58" w:name="_Toc234833150"/>
      <w:bookmarkStart w:id="1359" w:name="_Toc30626"/>
      <w:bookmarkStart w:id="1360" w:name="_Toc31348"/>
      <w:bookmarkStart w:id="1361" w:name="_Toc28894"/>
      <w:bookmarkStart w:id="1362" w:name="_Toc13743"/>
      <w:r>
        <w:rPr>
          <w:rFonts w:hint="default" w:ascii="Times New Roman" w:hAnsi="Times New Roman" w:eastAsia="黑体" w:cs="Times New Roman"/>
          <w:b w:val="0"/>
          <w:color w:val="auto"/>
          <w:sz w:val="28"/>
          <w:szCs w:val="28"/>
          <w:highlight w:val="none"/>
        </w:rPr>
        <w:t>7. 交通运输</w:t>
      </w:r>
      <w:bookmarkEnd w:id="1358"/>
      <w:bookmarkEnd w:id="1359"/>
      <w:bookmarkEnd w:id="1360"/>
      <w:bookmarkEnd w:id="1361"/>
      <w:bookmarkEnd w:id="1362"/>
      <w:r>
        <w:rPr>
          <w:rFonts w:hint="default" w:ascii="Times New Roman" w:hAnsi="Times New Roman" w:eastAsia="黑体" w:cs="Times New Roman"/>
          <w:b w:val="0"/>
          <w:color w:val="auto"/>
          <w:sz w:val="28"/>
          <w:szCs w:val="28"/>
          <w:highlight w:val="none"/>
        </w:rPr>
        <w:t xml:space="preserve"> </w:t>
      </w:r>
    </w:p>
    <w:p w14:paraId="7C65AE7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63" w:name="_Toc3580"/>
      <w:bookmarkStart w:id="1364" w:name="_Toc23400"/>
      <w:bookmarkStart w:id="1365" w:name="_Toc9360"/>
      <w:bookmarkStart w:id="1366" w:name="_Toc24391"/>
      <w:bookmarkStart w:id="1367" w:name="_Toc234833151"/>
      <w:r>
        <w:rPr>
          <w:rFonts w:hint="default" w:ascii="Times New Roman" w:hAnsi="Times New Roman" w:eastAsia="黑体" w:cs="Times New Roman"/>
          <w:b w:val="0"/>
          <w:color w:val="auto"/>
          <w:sz w:val="24"/>
          <w:szCs w:val="24"/>
          <w:highlight w:val="none"/>
        </w:rPr>
        <w:t>7.1 道路通行权和场外设施</w:t>
      </w:r>
      <w:bookmarkEnd w:id="1363"/>
      <w:bookmarkEnd w:id="1364"/>
      <w:bookmarkEnd w:id="1365"/>
      <w:bookmarkEnd w:id="1366"/>
      <w:bookmarkEnd w:id="1367"/>
    </w:p>
    <w:p w14:paraId="29690338">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0F1B45F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C72E8F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68" w:name="_Toc13868"/>
      <w:bookmarkStart w:id="1369" w:name="_Toc31528"/>
      <w:bookmarkStart w:id="1370" w:name="_Toc5379"/>
      <w:bookmarkStart w:id="1371" w:name="_Toc6333"/>
      <w:bookmarkStart w:id="1372" w:name="_Toc234833152"/>
      <w:r>
        <w:rPr>
          <w:rFonts w:hint="default" w:ascii="Times New Roman" w:hAnsi="Times New Roman" w:eastAsia="黑体" w:cs="Times New Roman"/>
          <w:b w:val="0"/>
          <w:color w:val="auto"/>
          <w:sz w:val="28"/>
          <w:szCs w:val="28"/>
          <w:highlight w:val="none"/>
        </w:rPr>
        <w:t>8. 测量放线</w:t>
      </w:r>
      <w:bookmarkEnd w:id="1368"/>
      <w:bookmarkEnd w:id="1369"/>
      <w:bookmarkEnd w:id="1370"/>
      <w:bookmarkEnd w:id="1371"/>
      <w:bookmarkEnd w:id="1372"/>
    </w:p>
    <w:p w14:paraId="1CCE5AA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73" w:name="_Toc6917"/>
      <w:bookmarkStart w:id="1374" w:name="_Toc26266"/>
      <w:bookmarkStart w:id="1375" w:name="_Toc26436"/>
      <w:bookmarkStart w:id="1376" w:name="_Toc14863"/>
      <w:bookmarkStart w:id="1377" w:name="_Toc234833153"/>
      <w:r>
        <w:rPr>
          <w:rFonts w:hint="default" w:ascii="Times New Roman" w:hAnsi="Times New Roman" w:eastAsia="黑体" w:cs="Times New Roman"/>
          <w:b w:val="0"/>
          <w:color w:val="auto"/>
          <w:sz w:val="24"/>
          <w:szCs w:val="24"/>
          <w:highlight w:val="none"/>
        </w:rPr>
        <w:t>8.4 监理人使用施工控制网</w:t>
      </w:r>
      <w:bookmarkEnd w:id="1373"/>
      <w:bookmarkEnd w:id="1374"/>
      <w:bookmarkEnd w:id="1375"/>
      <w:bookmarkEnd w:id="1376"/>
      <w:bookmarkEnd w:id="1377"/>
    </w:p>
    <w:p w14:paraId="63C6A07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r>
        <w:rPr>
          <w:rFonts w:hint="eastAsia" w:cs="Times New Roman"/>
          <w:color w:val="auto"/>
          <w:sz w:val="24"/>
          <w:highlight w:val="none"/>
          <w:lang w:val="en-US" w:eastAsia="zh-CN"/>
        </w:rPr>
        <w:t>如下</w:t>
      </w:r>
      <w:bookmarkStart w:id="2038" w:name="_GoBack"/>
      <w:bookmarkEnd w:id="2038"/>
      <w:r>
        <w:rPr>
          <w:rFonts w:hint="default" w:ascii="Times New Roman" w:hAnsi="Times New Roman" w:cs="Times New Roman"/>
          <w:color w:val="auto"/>
          <w:sz w:val="24"/>
          <w:highlight w:val="none"/>
        </w:rPr>
        <w:t>：</w:t>
      </w:r>
    </w:p>
    <w:p w14:paraId="604C9D9B">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经监理人批准，其他相关承包人也可免费使用施工控制网。</w:t>
      </w:r>
    </w:p>
    <w:p w14:paraId="1C25E4D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78" w:name="_Toc13649"/>
      <w:bookmarkStart w:id="1379" w:name="_Toc31525"/>
      <w:bookmarkStart w:id="1380" w:name="_Toc22517"/>
      <w:bookmarkStart w:id="1381" w:name="_Toc234833154"/>
      <w:bookmarkStart w:id="1382" w:name="_Toc18932"/>
      <w:r>
        <w:rPr>
          <w:rFonts w:hint="default" w:ascii="Times New Roman" w:hAnsi="Times New Roman" w:eastAsia="黑体" w:cs="Times New Roman"/>
          <w:b w:val="0"/>
          <w:color w:val="auto"/>
          <w:sz w:val="28"/>
          <w:szCs w:val="28"/>
          <w:highlight w:val="none"/>
        </w:rPr>
        <w:t>9. 施工安全、治安保卫和环境保护</w:t>
      </w:r>
      <w:bookmarkEnd w:id="1378"/>
      <w:bookmarkEnd w:id="1379"/>
      <w:bookmarkEnd w:id="1380"/>
      <w:bookmarkEnd w:id="1381"/>
      <w:bookmarkEnd w:id="1382"/>
    </w:p>
    <w:p w14:paraId="005BC02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3" w:name="_Toc22581"/>
      <w:bookmarkStart w:id="1384" w:name="_Toc12442"/>
      <w:bookmarkStart w:id="1385" w:name="_Toc234833155"/>
      <w:bookmarkStart w:id="1386" w:name="_Toc13960"/>
      <w:bookmarkStart w:id="1387" w:name="_Toc15856"/>
      <w:r>
        <w:rPr>
          <w:rFonts w:hint="default" w:ascii="Times New Roman" w:hAnsi="Times New Roman" w:eastAsia="黑体" w:cs="Times New Roman"/>
          <w:b w:val="0"/>
          <w:color w:val="auto"/>
          <w:sz w:val="24"/>
          <w:szCs w:val="24"/>
          <w:highlight w:val="none"/>
        </w:rPr>
        <w:t>9.2 承包人的施工安全责任</w:t>
      </w:r>
      <w:bookmarkEnd w:id="1383"/>
      <w:bookmarkEnd w:id="1384"/>
      <w:bookmarkEnd w:id="1385"/>
      <w:bookmarkEnd w:id="1386"/>
      <w:bookmarkEnd w:id="1387"/>
    </w:p>
    <w:p w14:paraId="7FBBB3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第9.2.1项细化为：</w:t>
      </w:r>
    </w:p>
    <w:p w14:paraId="6D4AD93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10ABF1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096CFA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本项目需要编制专项施工方案的工程包括但不限于以下内容：</w:t>
      </w:r>
    </w:p>
    <w:p w14:paraId="04CD995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（1）不良地质条件下有潜在危险性的土方、石方开挖；</w:t>
      </w:r>
    </w:p>
    <w:p w14:paraId="42B713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（2）滑坡和高边坡处理；</w:t>
      </w:r>
    </w:p>
    <w:p w14:paraId="7AFF59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（3）桩基础、挡墙基础、深水基础及围堰工程；</w:t>
      </w:r>
    </w:p>
    <w:p w14:paraId="619AD8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（4）桥梁工程中的梁、拱、柱等构件施工等；</w:t>
      </w:r>
    </w:p>
    <w:p w14:paraId="6202A7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（5）隧道工程中的不良地质隧道、高瓦斯隧道等；</w:t>
      </w:r>
    </w:p>
    <w:p w14:paraId="7A3842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（6）水上工程中的打桩船作业、施工船作业、外海孤岛作业、边通航边施工作业等；</w:t>
      </w:r>
    </w:p>
    <w:p w14:paraId="48F5BB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（7）水下工程中的水下焊接、混凝土浇筑、爆破工程等；</w:t>
      </w:r>
    </w:p>
    <w:p w14:paraId="7B2C7A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（8）爆破工程；</w:t>
      </w:r>
    </w:p>
    <w:p w14:paraId="5581C21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（9）大型临时工程中的大型支架、模板、便桥的架设与拆除；桥梁、码头的加固与拆除；</w:t>
      </w:r>
    </w:p>
    <w:p w14:paraId="5BE9BE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（10）其他危险性较大的工程。</w:t>
      </w:r>
    </w:p>
    <w:p w14:paraId="16E614F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监理人和发包人在检查中发现有安全问题或有违反安全管理规章制度的情况时，可视为承包人违约，应按第22.1款的规定办理。</w:t>
      </w:r>
    </w:p>
    <w:p w14:paraId="14E17145">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第9.2.5项细化为：</w:t>
      </w:r>
    </w:p>
    <w:p w14:paraId="1BE5A0B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5A1F34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本款补充第9.2.8项~第9.2.11项：</w:t>
      </w:r>
    </w:p>
    <w:p w14:paraId="527370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9.2.8 承包人应充分关注和保障所有在现场工作的人员的安全，采取以下有效措施，使现场和本合同工程的实施保持有条不紊，以免使上述人员的安全受到威胁。</w:t>
      </w:r>
    </w:p>
    <w:p w14:paraId="766708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（1）按《公路水运工程安全生产监督管理办法》规定的最低数量和资质条件配备专职安全生产管理人员；</w:t>
      </w:r>
    </w:p>
    <w:p w14:paraId="0DE2FB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5C7108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（3）所有施工机具设备和高空作业设备均应定期检查，并有安全员的签字记录；</w:t>
      </w:r>
    </w:p>
    <w:p w14:paraId="213C027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（4）根据本合同各单位工程的施工特点，严格执行《公路水运工程安全生产监督管理办法》《公路工程施工安全技术规范》等有关规定。</w:t>
      </w:r>
    </w:p>
    <w:p w14:paraId="7EA6B04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9.2.9 为了保护本合同工程免遭损坏，或为了现场附近和过往群众的安全与方便，在确有必要的时候和地方，或当监理人或有关主管部门要求时，承包人应自费提供照明、警卫、护栅、警告标志等安全防护设施。</w:t>
      </w:r>
    </w:p>
    <w:p w14:paraId="06A2175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9.2.10 在通航水域施工时，承包人应与当地主管部门取得联系，设置必要的导航标志，及时发布航行通告，确保施工水域安全。</w:t>
      </w:r>
    </w:p>
    <w:p w14:paraId="1A7EC8F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C50A89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88" w:name="_Toc23200"/>
      <w:bookmarkStart w:id="1389" w:name="_Toc4067"/>
      <w:bookmarkStart w:id="1390" w:name="_Toc22668"/>
      <w:bookmarkStart w:id="1391" w:name="_Toc3892"/>
      <w:bookmarkStart w:id="1392" w:name="_Toc234833156"/>
      <w:r>
        <w:rPr>
          <w:rFonts w:hint="default" w:ascii="Times New Roman" w:hAnsi="Times New Roman" w:eastAsia="黑体" w:cs="Times New Roman"/>
          <w:b w:val="0"/>
          <w:color w:val="auto"/>
          <w:sz w:val="24"/>
          <w:szCs w:val="24"/>
          <w:highlight w:val="none"/>
        </w:rPr>
        <w:t>9.4 环境保护</w:t>
      </w:r>
      <w:bookmarkEnd w:id="1388"/>
      <w:bookmarkEnd w:id="1389"/>
      <w:bookmarkEnd w:id="1390"/>
      <w:bookmarkEnd w:id="1391"/>
      <w:bookmarkEnd w:id="1392"/>
    </w:p>
    <w:p w14:paraId="4A0C0D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本款补充第9.4.7项~第9.4.11项：</w:t>
      </w:r>
    </w:p>
    <w:p w14:paraId="69ED43E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9.4.7 承包人应切实执行技术规范中有关环境保护方面的条款和规定。</w:t>
      </w:r>
    </w:p>
    <w:p w14:paraId="01C571B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01F068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（2）对于公路施工中粉尘污染的主要污染源――灰土拌和、施工车辆和筑路机械运行及运输产生的扬尘，应采取有效措施减轻其对施工现场的大气污染，保护人民健康，如：</w:t>
      </w:r>
    </w:p>
    <w:p w14:paraId="34A0D8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拌和设备应有较好的密封，或有防尘设备。</w:t>
      </w:r>
    </w:p>
    <w:p w14:paraId="6A16421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施工通道、沥青混凝土拌和站及灰土拌和站应经常进行洒水降尘。</w:t>
      </w:r>
    </w:p>
    <w:p w14:paraId="2AB75B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路面施工应注意保持水分，以免扬尘。</w:t>
      </w:r>
    </w:p>
    <w:p w14:paraId="1E2241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 隧道出渣和桥梁钻孔灌注桩施工时排出的泥浆要进行妥善处理，严禁向河流或农田排放。</w:t>
      </w:r>
    </w:p>
    <w:p w14:paraId="3CB61A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（3）采取可靠措施保证原有交通的正常通行，维持沿线村镇的居民饮水、农田灌溉、生产生活用电及通信等管线的正常使用。</w:t>
      </w:r>
    </w:p>
    <w:p w14:paraId="251D52A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1AC259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9.4.9在施工期间，承包人应随时保持现场整洁，施工设备和材料、工程设备应整齐妥善存放和储存，废料与垃圾及不再需要的临时设施应及时从现场清除、拆除并运走。</w:t>
      </w:r>
    </w:p>
    <w:p w14:paraId="3F79933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428CA5B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06FFA644">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393" w:name="_Toc14910"/>
      <w:bookmarkStart w:id="1394" w:name="_Toc234833157"/>
      <w:bookmarkStart w:id="1395" w:name="_Toc4201"/>
      <w:bookmarkStart w:id="1396" w:name="_Toc2443"/>
      <w:bookmarkStart w:id="1397" w:name="_Toc31300"/>
      <w:r>
        <w:rPr>
          <w:rFonts w:hint="default" w:ascii="Times New Roman" w:hAnsi="Times New Roman" w:eastAsia="黑体" w:cs="Times New Roman"/>
          <w:b w:val="0"/>
          <w:color w:val="auto"/>
          <w:sz w:val="28"/>
          <w:szCs w:val="28"/>
          <w:highlight w:val="none"/>
        </w:rPr>
        <w:t>10. 进度计划</w:t>
      </w:r>
      <w:bookmarkEnd w:id="1393"/>
      <w:bookmarkEnd w:id="1394"/>
      <w:bookmarkEnd w:id="1395"/>
      <w:bookmarkEnd w:id="1396"/>
      <w:bookmarkEnd w:id="1397"/>
    </w:p>
    <w:p w14:paraId="7773AB7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398" w:name="_Toc30665"/>
      <w:bookmarkStart w:id="1399" w:name="_Toc19701"/>
      <w:bookmarkStart w:id="1400" w:name="_Toc13304"/>
      <w:bookmarkStart w:id="1401" w:name="_Toc234833158"/>
      <w:bookmarkStart w:id="1402" w:name="_Toc31463"/>
      <w:r>
        <w:rPr>
          <w:rFonts w:hint="default" w:ascii="Times New Roman" w:hAnsi="Times New Roman" w:eastAsia="黑体" w:cs="Times New Roman"/>
          <w:b w:val="0"/>
          <w:color w:val="auto"/>
          <w:sz w:val="24"/>
          <w:szCs w:val="24"/>
          <w:highlight w:val="none"/>
        </w:rPr>
        <w:t>10.1 合同进度计划</w:t>
      </w:r>
      <w:bookmarkEnd w:id="1398"/>
      <w:bookmarkEnd w:id="1399"/>
      <w:bookmarkEnd w:id="1400"/>
      <w:bookmarkEnd w:id="1401"/>
      <w:bookmarkEnd w:id="1402"/>
    </w:p>
    <w:p w14:paraId="50CDF2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r>
        <w:rPr>
          <w:rFonts w:hint="eastAsia" w:cs="Times New Roman"/>
          <w:color w:val="auto"/>
          <w:sz w:val="24"/>
          <w:highlight w:val="none"/>
          <w:lang w:val="en-US" w:eastAsia="zh-CN"/>
        </w:rPr>
        <w:t>如下</w:t>
      </w:r>
      <w:r>
        <w:rPr>
          <w:rFonts w:hint="default" w:ascii="Times New Roman" w:hAnsi="Times New Roman" w:cs="Times New Roman"/>
          <w:color w:val="auto"/>
          <w:sz w:val="24"/>
          <w:highlight w:val="none"/>
        </w:rPr>
        <w:t>：</w:t>
      </w:r>
    </w:p>
    <w:p w14:paraId="79AAAA3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承包人编制施工方案说明的内容见项目专用合同条款。</w:t>
      </w:r>
    </w:p>
    <w:p w14:paraId="4F7886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承包人向监理人报送施工进度计划和施工方案说明的期限：签订合同协议书后28天之内。</w:t>
      </w:r>
    </w:p>
    <w:p w14:paraId="4FDD6B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监理人应在14天内对承包人施工进度计划和施工方案说明予以批复或提出修改意见。</w:t>
      </w:r>
    </w:p>
    <w:p w14:paraId="2670B03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合同进度计划应按照关键线路网络图和主要工作横道图两种形式分别编绘，并应包括每月预计完成的工作量和形象进度。</w:t>
      </w:r>
    </w:p>
    <w:p w14:paraId="66C16ED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03" w:name="_Toc234833159"/>
      <w:bookmarkStart w:id="1404" w:name="_Toc22600"/>
      <w:bookmarkStart w:id="1405" w:name="_Toc16914"/>
      <w:bookmarkStart w:id="1406" w:name="_Toc24615"/>
      <w:bookmarkStart w:id="1407" w:name="_Toc6817"/>
      <w:r>
        <w:rPr>
          <w:rFonts w:hint="default" w:ascii="Times New Roman" w:hAnsi="Times New Roman" w:eastAsia="黑体" w:cs="Times New Roman"/>
          <w:b w:val="0"/>
          <w:color w:val="auto"/>
          <w:sz w:val="24"/>
          <w:szCs w:val="24"/>
          <w:highlight w:val="none"/>
        </w:rPr>
        <w:t>10.2 合同进度计划的修订</w:t>
      </w:r>
      <w:bookmarkEnd w:id="1403"/>
      <w:bookmarkEnd w:id="1404"/>
      <w:bookmarkEnd w:id="1405"/>
      <w:bookmarkEnd w:id="1406"/>
      <w:bookmarkEnd w:id="1407"/>
    </w:p>
    <w:p w14:paraId="75B27F34">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141AB3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承包人提交合同进度计划修订申请报告，并附有关措施和相关资料的期限：实际进度发生滞后的当月25日前。</w:t>
      </w:r>
    </w:p>
    <w:p w14:paraId="51FE900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监理人批复修订合同进度计划的期限：收到修订合同进度计划后14天内。</w:t>
      </w:r>
    </w:p>
    <w:p w14:paraId="59D66B19">
      <w:pPr>
        <w:pageBreakBefore w:val="0"/>
        <w:kinsoku/>
        <w:wordWrap w:val="0"/>
        <w:bidi w:val="0"/>
        <w:spacing w:before="240" w:beforeLines="10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本条补充第10.3款、第10.4款：</w:t>
      </w:r>
    </w:p>
    <w:p w14:paraId="3FE42D6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08" w:name="_Toc234833160"/>
      <w:bookmarkStart w:id="1409" w:name="_Toc6499"/>
      <w:bookmarkStart w:id="1410" w:name="_Toc12343"/>
      <w:bookmarkStart w:id="1411" w:name="_Toc638"/>
      <w:bookmarkStart w:id="1412" w:name="_Toc5845"/>
      <w:r>
        <w:rPr>
          <w:rFonts w:hint="default" w:ascii="Times New Roman" w:hAnsi="Times New Roman" w:eastAsia="黑体" w:cs="Times New Roman"/>
          <w:b w:val="0"/>
          <w:color w:val="auto"/>
          <w:sz w:val="24"/>
          <w:szCs w:val="24"/>
          <w:highlight w:val="none"/>
        </w:rPr>
        <w:t>10.3 年度施工计划</w:t>
      </w:r>
      <w:bookmarkEnd w:id="1408"/>
      <w:bookmarkEnd w:id="1409"/>
      <w:bookmarkEnd w:id="1410"/>
      <w:bookmarkEnd w:id="1411"/>
      <w:bookmarkEnd w:id="1412"/>
    </w:p>
    <w:p w14:paraId="775610B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6B30555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13" w:name="_Toc28266"/>
      <w:bookmarkStart w:id="1414" w:name="_Toc26059"/>
      <w:bookmarkStart w:id="1415" w:name="_Toc20652"/>
      <w:bookmarkStart w:id="1416" w:name="_Toc3557"/>
      <w:bookmarkStart w:id="1417" w:name="_Toc234833161"/>
      <w:r>
        <w:rPr>
          <w:rFonts w:hint="default" w:ascii="Times New Roman" w:hAnsi="Times New Roman" w:eastAsia="黑体" w:cs="Times New Roman"/>
          <w:b w:val="0"/>
          <w:color w:val="auto"/>
          <w:sz w:val="24"/>
          <w:szCs w:val="24"/>
          <w:highlight w:val="none"/>
        </w:rPr>
        <w:t>10.4 合同用款计划</w:t>
      </w:r>
      <w:bookmarkEnd w:id="1413"/>
      <w:bookmarkEnd w:id="1414"/>
      <w:bookmarkEnd w:id="1415"/>
      <w:bookmarkEnd w:id="1416"/>
      <w:bookmarkEnd w:id="1417"/>
    </w:p>
    <w:p w14:paraId="765A8E9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23AA14AE">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18" w:name="_Toc16858"/>
      <w:bookmarkStart w:id="1419" w:name="_Toc24381"/>
      <w:bookmarkStart w:id="1420" w:name="_Toc29145"/>
      <w:bookmarkStart w:id="1421" w:name="_Toc5080"/>
      <w:bookmarkStart w:id="1422" w:name="_Toc234833162"/>
      <w:r>
        <w:rPr>
          <w:rFonts w:hint="default" w:ascii="Times New Roman" w:hAnsi="Times New Roman" w:eastAsia="黑体" w:cs="Times New Roman"/>
          <w:b w:val="0"/>
          <w:color w:val="auto"/>
          <w:sz w:val="28"/>
          <w:szCs w:val="28"/>
          <w:highlight w:val="none"/>
        </w:rPr>
        <w:t>11. 开工和交工</w:t>
      </w:r>
      <w:bookmarkEnd w:id="1418"/>
      <w:bookmarkEnd w:id="1419"/>
      <w:bookmarkEnd w:id="1420"/>
      <w:bookmarkEnd w:id="1421"/>
      <w:bookmarkEnd w:id="1422"/>
    </w:p>
    <w:p w14:paraId="0BD8E28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23" w:name="_Toc211"/>
      <w:bookmarkStart w:id="1424" w:name="_Toc234833163"/>
      <w:bookmarkStart w:id="1425" w:name="_Toc17449"/>
      <w:bookmarkStart w:id="1426" w:name="_Toc23342"/>
      <w:bookmarkStart w:id="1427" w:name="_Toc21034"/>
      <w:r>
        <w:rPr>
          <w:rFonts w:hint="default" w:ascii="Times New Roman" w:hAnsi="Times New Roman" w:eastAsia="黑体" w:cs="Times New Roman"/>
          <w:b w:val="0"/>
          <w:color w:val="auto"/>
          <w:sz w:val="24"/>
          <w:szCs w:val="24"/>
          <w:highlight w:val="none"/>
        </w:rPr>
        <w:t>11.1 开工</w:t>
      </w:r>
      <w:bookmarkEnd w:id="1423"/>
      <w:bookmarkEnd w:id="1424"/>
      <w:bookmarkEnd w:id="1425"/>
      <w:bookmarkEnd w:id="1426"/>
      <w:bookmarkEnd w:id="1427"/>
    </w:p>
    <w:p w14:paraId="247413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第11.1.2项补充：</w:t>
      </w:r>
    </w:p>
    <w:p w14:paraId="4B04DEC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承包人应在分部工程开工前14天向监理人提交分部工程开工报审表，若承包人的开工准备、工作计划和质量控制方法是可接受的且已获得批准，则经监理人书面同意，分部工程才能开工。</w:t>
      </w:r>
    </w:p>
    <w:p w14:paraId="640F96D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28" w:name="_Toc2188"/>
      <w:bookmarkStart w:id="1429" w:name="_Toc4642"/>
      <w:bookmarkStart w:id="1430" w:name="_Toc234833164"/>
      <w:bookmarkStart w:id="1431" w:name="_Toc26339"/>
      <w:bookmarkStart w:id="1432" w:name="_Toc8362"/>
      <w:r>
        <w:rPr>
          <w:rFonts w:hint="default" w:ascii="Times New Roman" w:hAnsi="Times New Roman" w:eastAsia="黑体" w:cs="Times New Roman"/>
          <w:b w:val="0"/>
          <w:color w:val="auto"/>
          <w:sz w:val="24"/>
          <w:szCs w:val="24"/>
          <w:highlight w:val="none"/>
        </w:rPr>
        <w:t>11.3 发包人的工期延误</w:t>
      </w:r>
      <w:bookmarkEnd w:id="1428"/>
      <w:bookmarkEnd w:id="1429"/>
      <w:bookmarkEnd w:id="1430"/>
      <w:bookmarkEnd w:id="1431"/>
      <w:bookmarkEnd w:id="1432"/>
    </w:p>
    <w:p w14:paraId="357DFCA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17FED01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即使由于上述原因造成工期延误，如果受影响的工程并非处在工程施工进度网络计划的关键线路上，则承包人无权要求延长总工期。</w:t>
      </w:r>
    </w:p>
    <w:p w14:paraId="68543CD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33" w:name="_Toc2448"/>
      <w:bookmarkStart w:id="1434" w:name="_Toc234833165"/>
      <w:bookmarkStart w:id="1435" w:name="_Toc26694"/>
      <w:bookmarkStart w:id="1436" w:name="_Toc16417"/>
      <w:bookmarkStart w:id="1437" w:name="_Toc3372"/>
      <w:r>
        <w:rPr>
          <w:rFonts w:hint="default" w:ascii="Times New Roman" w:hAnsi="Times New Roman" w:eastAsia="黑体" w:cs="Times New Roman"/>
          <w:b w:val="0"/>
          <w:color w:val="auto"/>
          <w:sz w:val="24"/>
          <w:szCs w:val="24"/>
          <w:highlight w:val="none"/>
        </w:rPr>
        <w:t>11.4异常恶劣的气候条件</w:t>
      </w:r>
      <w:bookmarkEnd w:id="1433"/>
      <w:bookmarkEnd w:id="1434"/>
      <w:bookmarkEnd w:id="1435"/>
      <w:bookmarkEnd w:id="1436"/>
      <w:bookmarkEnd w:id="1437"/>
    </w:p>
    <w:p w14:paraId="05B8C9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4E069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异常气候是指项目所在地30年以上一遇的罕见气候现象（包括</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HYPERLINK "http://baike.baidu.com/view/8193.htm" \t "_blank"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温度</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、降水、降雪、风等）。异常恶劣的气候条件在项目专用合同条款中作具体约定。</w:t>
      </w:r>
    </w:p>
    <w:p w14:paraId="6335B79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38" w:name="_Toc13242"/>
      <w:bookmarkStart w:id="1439" w:name="_Toc19354"/>
      <w:bookmarkStart w:id="1440" w:name="_Toc6870"/>
      <w:bookmarkStart w:id="1441" w:name="_Toc234833166"/>
      <w:bookmarkStart w:id="1442" w:name="_Toc7083"/>
      <w:r>
        <w:rPr>
          <w:rFonts w:hint="default" w:ascii="Times New Roman" w:hAnsi="Times New Roman" w:eastAsia="黑体" w:cs="Times New Roman"/>
          <w:b w:val="0"/>
          <w:color w:val="auto"/>
          <w:sz w:val="24"/>
          <w:szCs w:val="24"/>
          <w:highlight w:val="none"/>
        </w:rPr>
        <w:t>11.5 承包人的工期延误</w:t>
      </w:r>
      <w:bookmarkEnd w:id="1438"/>
      <w:bookmarkEnd w:id="1439"/>
      <w:bookmarkEnd w:id="1440"/>
      <w:bookmarkEnd w:id="1441"/>
      <w:bookmarkEnd w:id="1442"/>
    </w:p>
    <w:p w14:paraId="2A35329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782B8C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26018D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699DF8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F395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（4）承包人支付逾期交工违约金，不免除承包人完成工程及修补缺陷的义务。</w:t>
      </w:r>
    </w:p>
    <w:p w14:paraId="71714B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1FF24FC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43" w:name="_Toc25459"/>
      <w:bookmarkStart w:id="1444" w:name="_Toc21733"/>
      <w:bookmarkStart w:id="1445" w:name="_Toc5977"/>
      <w:bookmarkStart w:id="1446" w:name="_Toc8201"/>
      <w:bookmarkStart w:id="1447" w:name="_Toc234833167"/>
      <w:r>
        <w:rPr>
          <w:rFonts w:hint="default" w:ascii="Times New Roman" w:hAnsi="Times New Roman" w:eastAsia="黑体" w:cs="Times New Roman"/>
          <w:b w:val="0"/>
          <w:color w:val="auto"/>
          <w:sz w:val="24"/>
          <w:szCs w:val="24"/>
          <w:highlight w:val="none"/>
        </w:rPr>
        <w:t>11.6 工期提前</w:t>
      </w:r>
      <w:bookmarkEnd w:id="1443"/>
      <w:bookmarkEnd w:id="1444"/>
      <w:bookmarkEnd w:id="1445"/>
      <w:bookmarkEnd w:id="1446"/>
      <w:bookmarkEnd w:id="1447"/>
    </w:p>
    <w:p w14:paraId="25508C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6CF644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发包人不得随意要求承包人提前交工，承包人也不得随意提出提前交工的建议。如遇特殊情况，确需将工期提前的，发包人和承包人必须采取有效措施，确保工程质量。</w:t>
      </w:r>
    </w:p>
    <w:p w14:paraId="239B008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27D36F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32DBD09E">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本条补充第11.7款：</w:t>
      </w:r>
    </w:p>
    <w:p w14:paraId="645215B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48" w:name="_Toc234833168"/>
      <w:bookmarkStart w:id="1449" w:name="_Toc31771"/>
      <w:bookmarkStart w:id="1450" w:name="_Toc29501"/>
      <w:bookmarkStart w:id="1451" w:name="_Toc14155"/>
      <w:bookmarkStart w:id="1452" w:name="_Toc11965"/>
      <w:r>
        <w:rPr>
          <w:rFonts w:hint="default" w:ascii="Times New Roman" w:hAnsi="Times New Roman" w:eastAsia="黑体" w:cs="Times New Roman"/>
          <w:b w:val="0"/>
          <w:color w:val="auto"/>
          <w:sz w:val="24"/>
          <w:szCs w:val="24"/>
          <w:highlight w:val="none"/>
        </w:rPr>
        <w:t>11.7 工作时间的限制</w:t>
      </w:r>
      <w:bookmarkEnd w:id="1448"/>
      <w:bookmarkEnd w:id="1449"/>
      <w:bookmarkEnd w:id="1450"/>
      <w:bookmarkEnd w:id="1451"/>
      <w:bookmarkEnd w:id="1452"/>
    </w:p>
    <w:p w14:paraId="20F531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承包人在夜间或国家规定的节假日进行永久工程的施工，应向监理人报告，以便监理人履行监理职责和义务。</w:t>
      </w:r>
    </w:p>
    <w:p w14:paraId="134DA7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但是，为了抢救生命或保护财产，或为了工程的安全、质量而不可避免地短暂作业，则不必事先向监理人报告。但承包人应在事后立即向监理人报告。</w:t>
      </w:r>
    </w:p>
    <w:p w14:paraId="45FDCEC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本款规定不适用于习惯上或施工本身要求实行连续生产的作业。</w:t>
      </w:r>
    </w:p>
    <w:p w14:paraId="1B719D01">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53" w:name="_Toc21568"/>
      <w:bookmarkStart w:id="1454" w:name="_Toc10404"/>
      <w:bookmarkStart w:id="1455" w:name="_Toc32362"/>
      <w:bookmarkStart w:id="1456" w:name="_Toc234833169"/>
      <w:bookmarkStart w:id="1457" w:name="_Toc10095"/>
      <w:r>
        <w:rPr>
          <w:rFonts w:hint="default" w:ascii="Times New Roman" w:hAnsi="Times New Roman" w:eastAsia="黑体" w:cs="Times New Roman"/>
          <w:b w:val="0"/>
          <w:color w:val="auto"/>
          <w:sz w:val="28"/>
          <w:szCs w:val="28"/>
          <w:highlight w:val="none"/>
        </w:rPr>
        <w:t>12. 暂停施工</w:t>
      </w:r>
      <w:bookmarkEnd w:id="1453"/>
      <w:bookmarkEnd w:id="1454"/>
      <w:bookmarkEnd w:id="1455"/>
      <w:bookmarkEnd w:id="1456"/>
      <w:bookmarkEnd w:id="1457"/>
    </w:p>
    <w:p w14:paraId="1BC6848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58" w:name="_Toc686"/>
      <w:bookmarkStart w:id="1459" w:name="_Toc24281"/>
      <w:bookmarkStart w:id="1460" w:name="_Toc26479"/>
      <w:bookmarkStart w:id="1461" w:name="_Toc234833170"/>
      <w:bookmarkStart w:id="1462" w:name="_Toc19976"/>
      <w:r>
        <w:rPr>
          <w:rFonts w:hint="default" w:ascii="Times New Roman" w:hAnsi="Times New Roman" w:eastAsia="黑体" w:cs="Times New Roman"/>
          <w:b w:val="0"/>
          <w:color w:val="auto"/>
          <w:sz w:val="24"/>
          <w:szCs w:val="24"/>
          <w:highlight w:val="none"/>
        </w:rPr>
        <w:t>12.1 承包人暂停施工的责任</w:t>
      </w:r>
      <w:bookmarkEnd w:id="1458"/>
      <w:bookmarkEnd w:id="1459"/>
      <w:bookmarkEnd w:id="1460"/>
      <w:bookmarkEnd w:id="1461"/>
      <w:bookmarkEnd w:id="1462"/>
    </w:p>
    <w:p w14:paraId="7D75BE4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本款第（5）项细化为：</w:t>
      </w:r>
    </w:p>
    <w:p w14:paraId="1E52C7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（5）现场气候条件导致的必要停工（第11.4款约定的异常恶劣的气候条件除外）；</w:t>
      </w:r>
    </w:p>
    <w:p w14:paraId="17ADF63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（6）项目专用合同条款可能约定的由承包人承担的其他暂停施工。</w:t>
      </w:r>
    </w:p>
    <w:p w14:paraId="3F71929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63" w:name="_Toc12288"/>
      <w:bookmarkStart w:id="1464" w:name="_Toc6010"/>
      <w:bookmarkStart w:id="1465" w:name="_Toc139"/>
      <w:bookmarkStart w:id="1466" w:name="_Toc22379"/>
      <w:bookmarkStart w:id="1467" w:name="_Toc234833171"/>
      <w:r>
        <w:rPr>
          <w:rFonts w:hint="default" w:ascii="Times New Roman" w:hAnsi="Times New Roman" w:eastAsia="黑体" w:cs="Times New Roman"/>
          <w:b w:val="0"/>
          <w:color w:val="auto"/>
          <w:sz w:val="28"/>
          <w:szCs w:val="28"/>
          <w:highlight w:val="none"/>
        </w:rPr>
        <w:t>13. 工程质量</w:t>
      </w:r>
      <w:bookmarkEnd w:id="1463"/>
      <w:bookmarkEnd w:id="1464"/>
      <w:bookmarkEnd w:id="1465"/>
      <w:bookmarkEnd w:id="1466"/>
      <w:bookmarkEnd w:id="1467"/>
    </w:p>
    <w:p w14:paraId="58A37A1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68" w:name="_Toc21819"/>
      <w:bookmarkStart w:id="1469" w:name="_Toc30210"/>
      <w:bookmarkStart w:id="1470" w:name="_Toc14295"/>
      <w:bookmarkStart w:id="1471" w:name="_Toc25773"/>
      <w:bookmarkStart w:id="1472" w:name="_Toc234833172"/>
      <w:r>
        <w:rPr>
          <w:rFonts w:hint="default" w:ascii="Times New Roman" w:hAnsi="Times New Roman" w:eastAsia="黑体" w:cs="Times New Roman"/>
          <w:b w:val="0"/>
          <w:color w:val="auto"/>
          <w:sz w:val="24"/>
          <w:szCs w:val="24"/>
          <w:highlight w:val="none"/>
        </w:rPr>
        <w:t>13.1 工程质量要求</w:t>
      </w:r>
      <w:bookmarkEnd w:id="1468"/>
      <w:bookmarkEnd w:id="1469"/>
      <w:bookmarkEnd w:id="1470"/>
      <w:bookmarkEnd w:id="1471"/>
      <w:bookmarkEnd w:id="1472"/>
    </w:p>
    <w:p w14:paraId="245806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第13.1.1项约定为：</w:t>
      </w:r>
    </w:p>
    <w:p w14:paraId="5F827E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工程质量验收按技术规范及《公路工程质量检验评定标准》执行。</w:t>
      </w:r>
    </w:p>
    <w:p w14:paraId="6FEEC60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本款补充第13.1.4项、第13.1.5项：</w:t>
      </w:r>
    </w:p>
    <w:p w14:paraId="0C5859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13.1.4 发包人和承包人应严格遵守《关于严格落实公路工程质量责任制的若干意见》的相关规定，认真执行工程质量责任登记制度并</w:t>
      </w:r>
      <w:r>
        <w:rPr>
          <w:rFonts w:hint="default" w:ascii="Times New Roman" w:hAnsi="Times New Roman" w:cs="Times New Roman"/>
          <w:color w:val="auto"/>
          <w:kern w:val="0"/>
          <w:sz w:val="24"/>
          <w:highlight w:val="none"/>
        </w:rPr>
        <w:t>按要求填写工程质量责任登记表</w:t>
      </w:r>
      <w:r>
        <w:rPr>
          <w:rFonts w:hint="default" w:ascii="Times New Roman" w:hAnsi="Times New Roman" w:cs="Times New Roman"/>
          <w:color w:val="auto"/>
          <w:sz w:val="24"/>
          <w:highlight w:val="none"/>
        </w:rPr>
        <w:t>。</w:t>
      </w:r>
    </w:p>
    <w:p w14:paraId="4C447C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13.1.5 本项目严格执行质量责任追究制度。质量事故处理实行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原则：事故原因调查不清不放过；事故责任者没有受到教育不放过；没有防范措施不放过；相关责任人没受到处理不放过。</w:t>
      </w:r>
    </w:p>
    <w:p w14:paraId="0FB275F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73" w:name="_Toc234833173"/>
      <w:bookmarkStart w:id="1474" w:name="_Toc8253"/>
      <w:bookmarkStart w:id="1475" w:name="_Toc19759"/>
      <w:bookmarkStart w:id="1476" w:name="_Toc17602"/>
      <w:bookmarkStart w:id="1477" w:name="_Toc1003"/>
      <w:r>
        <w:rPr>
          <w:rFonts w:hint="default" w:ascii="Times New Roman" w:hAnsi="Times New Roman" w:eastAsia="黑体" w:cs="Times New Roman"/>
          <w:b w:val="0"/>
          <w:color w:val="auto"/>
          <w:sz w:val="24"/>
          <w:szCs w:val="24"/>
          <w:highlight w:val="none"/>
        </w:rPr>
        <w:t>13.2 承包人的质量管理</w:t>
      </w:r>
      <w:bookmarkEnd w:id="1473"/>
      <w:bookmarkEnd w:id="1474"/>
      <w:bookmarkEnd w:id="1475"/>
      <w:bookmarkEnd w:id="1476"/>
      <w:bookmarkEnd w:id="1477"/>
    </w:p>
    <w:p w14:paraId="4C37604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第13.2.1项补充：</w:t>
      </w:r>
    </w:p>
    <w:p w14:paraId="4A72C59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承包人提交工程质量保证措施文件的期限：签订合同协议书后28天之内。</w:t>
      </w:r>
    </w:p>
    <w:p w14:paraId="41F44D6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本款补充第13.2.3项~第13.2.10项：</w:t>
      </w:r>
    </w:p>
    <w:p w14:paraId="004BA85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13.2.3 公路工程施行质量责任终身制。承包人应当书面明确相应的项目负责人和质量负责人。承包人的相关人员按照国家法律法规和有关规定在工程合理使用年限内承担相应的质量责任。</w:t>
      </w:r>
    </w:p>
    <w:p w14:paraId="69ADF65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3F222E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13.2.5 承包人对工程施工质量负责，应当按合同约定设立现场质量管理机构、配备工程技术人员和质量管理人员，落实工程施工质量责任制。</w:t>
      </w:r>
    </w:p>
    <w:p w14:paraId="27EEC9E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C2F70F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5EDA0C3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6C2050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13.2.9 承包人应当依法规范分包行为，并对承担的工程质量负总责，分包单位对分包合同范围内的工程质量负责。</w:t>
      </w:r>
    </w:p>
    <w:p w14:paraId="3C7502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13.2.10 承包人驻工程现场机构应在现场驻地和重要的分部、分项工程施工现场设置明显的工程质量责任登记表公示牌。</w:t>
      </w:r>
    </w:p>
    <w:p w14:paraId="21D6BE6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78" w:name="_Toc20957"/>
      <w:bookmarkStart w:id="1479" w:name="_Toc234833174"/>
      <w:bookmarkStart w:id="1480" w:name="_Toc21708"/>
      <w:bookmarkStart w:id="1481" w:name="_Toc17725"/>
      <w:bookmarkStart w:id="1482" w:name="_Toc1148"/>
      <w:r>
        <w:rPr>
          <w:rFonts w:hint="default" w:ascii="Times New Roman" w:hAnsi="Times New Roman" w:eastAsia="黑体" w:cs="Times New Roman"/>
          <w:b w:val="0"/>
          <w:color w:val="auto"/>
          <w:sz w:val="24"/>
          <w:szCs w:val="24"/>
          <w:highlight w:val="none"/>
        </w:rPr>
        <w:t>13.4 监理人的质量检查</w:t>
      </w:r>
      <w:bookmarkEnd w:id="1478"/>
      <w:bookmarkEnd w:id="1479"/>
      <w:bookmarkEnd w:id="1480"/>
      <w:bookmarkEnd w:id="1481"/>
      <w:bookmarkEnd w:id="1482"/>
    </w:p>
    <w:p w14:paraId="00979A0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w:t>
      </w:r>
    </w:p>
    <w:p w14:paraId="712A88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监理人及其委派的检验人员，应能进入工程现场，以及材料或工程设备的制造、加工或制配的车间和场所，包括不属于承包人的车间或场所进行检查，承包人应为此提供便利和协助。</w:t>
      </w:r>
    </w:p>
    <w:p w14:paraId="6A6A56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7B3DF19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83" w:name="_Toc234833175"/>
      <w:bookmarkStart w:id="1484" w:name="_Toc24829"/>
      <w:bookmarkStart w:id="1485" w:name="_Toc31604"/>
      <w:bookmarkStart w:id="1486" w:name="_Toc25352"/>
      <w:bookmarkStart w:id="1487" w:name="_Toc16459"/>
      <w:r>
        <w:rPr>
          <w:rFonts w:hint="default" w:ascii="Times New Roman" w:hAnsi="Times New Roman" w:eastAsia="黑体" w:cs="Times New Roman"/>
          <w:b w:val="0"/>
          <w:color w:val="auto"/>
          <w:sz w:val="24"/>
          <w:szCs w:val="24"/>
          <w:highlight w:val="none"/>
        </w:rPr>
        <w:t>13.5 工程隐蔽部位覆盖前的检查</w:t>
      </w:r>
      <w:bookmarkEnd w:id="1483"/>
      <w:bookmarkEnd w:id="1484"/>
      <w:bookmarkEnd w:id="1485"/>
      <w:bookmarkEnd w:id="1486"/>
      <w:bookmarkEnd w:id="1487"/>
    </w:p>
    <w:p w14:paraId="21919F3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第13.5.1项补充：</w:t>
      </w:r>
    </w:p>
    <w:p w14:paraId="34EAE7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0F364DC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88" w:name="_Toc234833176"/>
      <w:bookmarkStart w:id="1489" w:name="_Toc19441"/>
      <w:bookmarkStart w:id="1490" w:name="_Toc20396"/>
      <w:bookmarkStart w:id="1491" w:name="_Toc27156"/>
      <w:bookmarkStart w:id="1492" w:name="_Toc1659"/>
      <w:r>
        <w:rPr>
          <w:rFonts w:hint="default" w:ascii="Times New Roman" w:hAnsi="Times New Roman" w:eastAsia="黑体" w:cs="Times New Roman"/>
          <w:b w:val="0"/>
          <w:color w:val="auto"/>
          <w:sz w:val="24"/>
          <w:szCs w:val="24"/>
          <w:highlight w:val="none"/>
        </w:rPr>
        <w:t>13.6 清除不合格工程</w:t>
      </w:r>
      <w:bookmarkEnd w:id="1488"/>
      <w:bookmarkEnd w:id="1489"/>
      <w:bookmarkEnd w:id="1490"/>
      <w:bookmarkEnd w:id="1491"/>
      <w:bookmarkEnd w:id="1492"/>
    </w:p>
    <w:p w14:paraId="57B2608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第13.6.1项细化为：</w:t>
      </w:r>
    </w:p>
    <w:p w14:paraId="0B37B8C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1E344E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（2）如果承包人未在规定时间内执行监理人的指示，发包人有权雇用他人执行，由此增加的费用和（或）工期延误由承包人承担。</w:t>
      </w:r>
    </w:p>
    <w:p w14:paraId="4ADAD16D">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493" w:name="_Toc26653"/>
      <w:bookmarkStart w:id="1494" w:name="_Toc12972"/>
      <w:bookmarkStart w:id="1495" w:name="_Toc17523"/>
      <w:bookmarkStart w:id="1496" w:name="_Toc234833177"/>
      <w:bookmarkStart w:id="1497" w:name="_Toc10886"/>
      <w:r>
        <w:rPr>
          <w:rFonts w:hint="default" w:ascii="Times New Roman" w:hAnsi="Times New Roman" w:eastAsia="黑体" w:cs="Times New Roman"/>
          <w:b w:val="0"/>
          <w:color w:val="auto"/>
          <w:sz w:val="28"/>
          <w:szCs w:val="28"/>
          <w:highlight w:val="none"/>
        </w:rPr>
        <w:t>14. 试验和检验</w:t>
      </w:r>
      <w:bookmarkEnd w:id="1493"/>
      <w:bookmarkEnd w:id="1494"/>
      <w:bookmarkEnd w:id="1495"/>
      <w:bookmarkEnd w:id="1496"/>
      <w:bookmarkEnd w:id="1497"/>
    </w:p>
    <w:p w14:paraId="65A61D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本条补充第14.4款：</w:t>
      </w:r>
    </w:p>
    <w:p w14:paraId="114365F9">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498" w:name="_Toc9837"/>
      <w:bookmarkStart w:id="1499" w:name="_Toc234833178"/>
      <w:bookmarkStart w:id="1500" w:name="_Toc8486"/>
      <w:bookmarkStart w:id="1501" w:name="_Toc18957"/>
      <w:bookmarkStart w:id="1502" w:name="_Toc28540"/>
      <w:r>
        <w:rPr>
          <w:rFonts w:hint="default" w:ascii="Times New Roman" w:hAnsi="Times New Roman" w:eastAsia="黑体" w:cs="Times New Roman"/>
          <w:b w:val="0"/>
          <w:color w:val="auto"/>
          <w:sz w:val="24"/>
          <w:szCs w:val="24"/>
          <w:highlight w:val="none"/>
        </w:rPr>
        <w:t>14.4 试验和检验费用</w:t>
      </w:r>
      <w:bookmarkEnd w:id="1498"/>
      <w:bookmarkEnd w:id="1499"/>
      <w:bookmarkEnd w:id="1500"/>
      <w:bookmarkEnd w:id="1501"/>
      <w:bookmarkEnd w:id="1502"/>
    </w:p>
    <w:p w14:paraId="1F64B83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（1）承包人应负责提供合同和技术规范规定的试验和检验所需的全部样品，并承担其费用。</w:t>
      </w:r>
    </w:p>
    <w:p w14:paraId="78BBDE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（2）在合同中明确规定的试验和检验，包括无须在工程量清单中单独列项和已在工程量清单中单独列项的试验和检验，其试验和检验的费用由承包人承担。</w:t>
      </w:r>
    </w:p>
    <w:p w14:paraId="2FC63F8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608D613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03" w:name="_Toc3751"/>
      <w:bookmarkStart w:id="1504" w:name="_Toc234833179"/>
      <w:bookmarkStart w:id="1505" w:name="_Toc24940"/>
      <w:bookmarkStart w:id="1506" w:name="_Toc8627"/>
      <w:bookmarkStart w:id="1507" w:name="_Toc9387"/>
      <w:r>
        <w:rPr>
          <w:rFonts w:hint="default" w:ascii="Times New Roman" w:hAnsi="Times New Roman" w:eastAsia="黑体" w:cs="Times New Roman"/>
          <w:b w:val="0"/>
          <w:color w:val="auto"/>
          <w:sz w:val="28"/>
          <w:szCs w:val="28"/>
          <w:highlight w:val="none"/>
        </w:rPr>
        <w:t>15. 变更</w:t>
      </w:r>
      <w:bookmarkEnd w:id="1503"/>
      <w:bookmarkEnd w:id="1504"/>
      <w:bookmarkEnd w:id="1505"/>
      <w:bookmarkEnd w:id="1506"/>
      <w:bookmarkEnd w:id="1507"/>
    </w:p>
    <w:p w14:paraId="22152B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08" w:name="_Toc5311"/>
      <w:bookmarkStart w:id="1509" w:name="_Toc234833180"/>
      <w:bookmarkStart w:id="1510" w:name="_Toc9262"/>
      <w:bookmarkStart w:id="1511" w:name="_Toc11885"/>
      <w:bookmarkStart w:id="1512" w:name="_Toc25196"/>
      <w:r>
        <w:rPr>
          <w:rFonts w:hint="default" w:ascii="Times New Roman" w:hAnsi="Times New Roman" w:eastAsia="黑体" w:cs="Times New Roman"/>
          <w:b w:val="0"/>
          <w:color w:val="auto"/>
          <w:sz w:val="24"/>
          <w:szCs w:val="24"/>
          <w:highlight w:val="none"/>
        </w:rPr>
        <w:t>15.1 变更的范围和内容</w:t>
      </w:r>
      <w:bookmarkEnd w:id="1508"/>
      <w:bookmarkEnd w:id="1509"/>
      <w:bookmarkEnd w:id="1510"/>
      <w:bookmarkEnd w:id="1511"/>
      <w:bookmarkEnd w:id="1512"/>
    </w:p>
    <w:p w14:paraId="5D5FC4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本款第（1）项细化为：</w:t>
      </w:r>
    </w:p>
    <w:p w14:paraId="0B9177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（1）取消合同中任何一项工作，但被取消的工作不能转由发包人或其他人实施，由于承包人违约造成的情况除外；</w:t>
      </w:r>
    </w:p>
    <w:p w14:paraId="52C499E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13" w:name="_Toc4853"/>
      <w:bookmarkStart w:id="1514" w:name="_Toc26890"/>
      <w:bookmarkStart w:id="1515" w:name="_Toc11045"/>
      <w:bookmarkStart w:id="1516" w:name="_Toc234833181"/>
      <w:bookmarkStart w:id="1517" w:name="_Toc15909"/>
      <w:r>
        <w:rPr>
          <w:rFonts w:hint="default" w:ascii="Times New Roman" w:hAnsi="Times New Roman" w:eastAsia="黑体" w:cs="Times New Roman"/>
          <w:b w:val="0"/>
          <w:color w:val="auto"/>
          <w:sz w:val="24"/>
          <w:szCs w:val="24"/>
          <w:highlight w:val="none"/>
        </w:rPr>
        <w:t>15.3 变更程序</w:t>
      </w:r>
      <w:bookmarkEnd w:id="1513"/>
      <w:bookmarkEnd w:id="1514"/>
      <w:bookmarkEnd w:id="1515"/>
      <w:bookmarkEnd w:id="1516"/>
      <w:bookmarkEnd w:id="1517"/>
    </w:p>
    <w:p w14:paraId="2C702A4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本款补充第15.3.4项：</w:t>
      </w:r>
    </w:p>
    <w:p w14:paraId="4B3D3A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15.3.4 设计变更程序应执行《公路工程设计变更管理办法》的相关规定。</w:t>
      </w:r>
    </w:p>
    <w:p w14:paraId="6585C5F4">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18" w:name="_Toc234833182"/>
      <w:bookmarkStart w:id="1519" w:name="_Toc24386"/>
      <w:bookmarkStart w:id="1520" w:name="_Toc10432"/>
      <w:bookmarkStart w:id="1521" w:name="_Toc16771"/>
      <w:bookmarkStart w:id="1522" w:name="_Toc31295"/>
      <w:r>
        <w:rPr>
          <w:rFonts w:hint="default" w:ascii="Times New Roman" w:hAnsi="Times New Roman" w:eastAsia="黑体" w:cs="Times New Roman"/>
          <w:b w:val="0"/>
          <w:color w:val="auto"/>
          <w:sz w:val="24"/>
          <w:szCs w:val="24"/>
          <w:highlight w:val="none"/>
        </w:rPr>
        <w:t>15.4 变更的估价原则</w:t>
      </w:r>
      <w:bookmarkEnd w:id="1518"/>
      <w:bookmarkEnd w:id="1519"/>
      <w:bookmarkEnd w:id="1520"/>
      <w:bookmarkEnd w:id="1521"/>
      <w:bookmarkEnd w:id="1522"/>
      <w:r>
        <w:rPr>
          <w:rFonts w:hint="default" w:ascii="Times New Roman" w:hAnsi="Times New Roman" w:eastAsia="黑体" w:cs="Times New Roman"/>
          <w:b w:val="0"/>
          <w:color w:val="auto"/>
          <w:sz w:val="24"/>
          <w:szCs w:val="24"/>
          <w:highlight w:val="none"/>
        </w:rPr>
        <w:t xml:space="preserve"> </w:t>
      </w:r>
    </w:p>
    <w:p w14:paraId="710961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01ECAF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除项目专用合同条款另有约定外，因变更引起的价格调整按照本款约定处理。</w:t>
      </w:r>
    </w:p>
    <w:p w14:paraId="0B55710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15.4.1 如果取消某项工作，则该项工作的总额价不予支付。</w:t>
      </w:r>
    </w:p>
    <w:p w14:paraId="0077BC4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15.4.2 已标价工程量清单中有适用于变更工作的子目的，采用该子目的单价。</w:t>
      </w:r>
    </w:p>
    <w:p w14:paraId="4047FB0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15.4.3 已标价工程量清单中无适用于变更工作的子目，但有类似子目的，可在合理范围内参照类似子目的单价，由监理人按第3.5款商定或确定变更工作的单价。</w:t>
      </w:r>
    </w:p>
    <w:p w14:paraId="0F5EC22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15.4.4 已标价工程量清单中无适用或类似子目的单价，可在综合考虑承包人在投标时所提供的单价分析表的基础上，由监理人按第3.5款商定或确定变更工作的单价。</w:t>
      </w:r>
    </w:p>
    <w:p w14:paraId="6080FA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15.4.5 如果本工程的变更指示是因承包人过错、承包人违反合同或承包人责任造成的，则这种违约引起的任何额外费用应由承包人承担。</w:t>
      </w:r>
    </w:p>
    <w:p w14:paraId="60B2F07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23" w:name="_Toc11214"/>
      <w:bookmarkStart w:id="1524" w:name="_Toc234833183"/>
      <w:bookmarkStart w:id="1525" w:name="_Toc24348"/>
      <w:bookmarkStart w:id="1526" w:name="_Toc31098"/>
      <w:bookmarkStart w:id="1527" w:name="_Toc31843"/>
      <w:r>
        <w:rPr>
          <w:rFonts w:hint="default" w:ascii="Times New Roman" w:hAnsi="Times New Roman" w:eastAsia="黑体" w:cs="Times New Roman"/>
          <w:b w:val="0"/>
          <w:color w:val="auto"/>
          <w:sz w:val="24"/>
          <w:szCs w:val="24"/>
          <w:highlight w:val="none"/>
        </w:rPr>
        <w:t>15.5 承包人的合理化建议</w:t>
      </w:r>
      <w:bookmarkEnd w:id="1523"/>
      <w:bookmarkEnd w:id="1524"/>
      <w:bookmarkEnd w:id="1525"/>
      <w:bookmarkEnd w:id="1526"/>
      <w:bookmarkEnd w:id="1527"/>
    </w:p>
    <w:p w14:paraId="4E65F6A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第15.5.2项约定为：</w:t>
      </w:r>
    </w:p>
    <w:p w14:paraId="1208ED5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承包人提出的合理化建议缩短了工期，发包人按第11.6款的规定给予奖励。</w:t>
      </w:r>
    </w:p>
    <w:p w14:paraId="34FF87B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承包人提出的合理化建议降低了合同价格或者提高了工程经济效益的，发包人按项目专用合同条款数据表中规定的金额给予奖励。</w:t>
      </w:r>
    </w:p>
    <w:p w14:paraId="7F9AC1E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28" w:name="_Toc31508"/>
      <w:bookmarkStart w:id="1529" w:name="_Toc18139"/>
      <w:bookmarkStart w:id="1530" w:name="_Toc4473"/>
      <w:bookmarkStart w:id="1531" w:name="_Toc234833184"/>
      <w:bookmarkStart w:id="1532" w:name="_Toc10877"/>
      <w:r>
        <w:rPr>
          <w:rFonts w:hint="default" w:ascii="Times New Roman" w:hAnsi="Times New Roman" w:eastAsia="黑体" w:cs="Times New Roman"/>
          <w:b w:val="0"/>
          <w:color w:val="auto"/>
          <w:sz w:val="24"/>
          <w:szCs w:val="24"/>
          <w:highlight w:val="none"/>
        </w:rPr>
        <w:t>15.6暂列金额</w:t>
      </w:r>
      <w:bookmarkEnd w:id="1528"/>
      <w:bookmarkEnd w:id="1529"/>
      <w:bookmarkEnd w:id="1530"/>
      <w:bookmarkEnd w:id="1531"/>
      <w:bookmarkEnd w:id="1532"/>
    </w:p>
    <w:p w14:paraId="577280C0">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18596196">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15.6.1 暂列金额应由监理人报发包人批准后指令全部或部分地使用，或者根本不予动用。</w:t>
      </w:r>
    </w:p>
    <w:p w14:paraId="770C1E21">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4EAF5FCF">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15.6.3 当监理人提出要求时，承包人应提供有关暂列金额支出的所有报价单、发票、凭证和账单或收据，除非该工作是根据已标价工程量清单列明的单价或总额价进行的估价。</w:t>
      </w:r>
    </w:p>
    <w:p w14:paraId="6AE67B7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33" w:name="_Toc234833185"/>
      <w:bookmarkStart w:id="1534" w:name="_Toc3192"/>
      <w:bookmarkStart w:id="1535" w:name="_Toc6229"/>
      <w:bookmarkStart w:id="1536" w:name="_Toc10292"/>
      <w:bookmarkStart w:id="1537" w:name="_Toc25734"/>
      <w:r>
        <w:rPr>
          <w:rFonts w:hint="default" w:ascii="Times New Roman" w:hAnsi="Times New Roman" w:eastAsia="黑体" w:cs="Times New Roman"/>
          <w:b w:val="0"/>
          <w:color w:val="auto"/>
          <w:sz w:val="28"/>
          <w:szCs w:val="28"/>
          <w:highlight w:val="none"/>
        </w:rPr>
        <w:t>16. 价格调整</w:t>
      </w:r>
      <w:bookmarkEnd w:id="1533"/>
      <w:bookmarkEnd w:id="1534"/>
      <w:bookmarkEnd w:id="1535"/>
      <w:bookmarkEnd w:id="1536"/>
      <w:bookmarkEnd w:id="1537"/>
    </w:p>
    <w:p w14:paraId="7357285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38" w:name="_Toc11540"/>
      <w:bookmarkStart w:id="1539" w:name="_Toc925"/>
      <w:bookmarkStart w:id="1540" w:name="_Toc11157"/>
      <w:bookmarkStart w:id="1541" w:name="_Toc25323"/>
      <w:bookmarkStart w:id="1542" w:name="_Toc234833186"/>
      <w:r>
        <w:rPr>
          <w:rFonts w:hint="default" w:ascii="Times New Roman" w:hAnsi="Times New Roman" w:eastAsia="黑体" w:cs="Times New Roman"/>
          <w:b w:val="0"/>
          <w:color w:val="auto"/>
          <w:sz w:val="24"/>
          <w:szCs w:val="24"/>
          <w:highlight w:val="none"/>
        </w:rPr>
        <w:t>16.1 物价波动引起的价格调整</w:t>
      </w:r>
      <w:bookmarkEnd w:id="1538"/>
      <w:bookmarkEnd w:id="1539"/>
      <w:bookmarkEnd w:id="1540"/>
      <w:bookmarkEnd w:id="1541"/>
      <w:bookmarkEnd w:id="1542"/>
    </w:p>
    <w:p w14:paraId="3E2575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24718E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（1）除项目专用合同条款另有约定外，因物价波动引起的价格调整应按项目专用合同条款数据表的规定，按照第16.1.1项或第16.1.2项约定的原则处理；或者</w:t>
      </w:r>
    </w:p>
    <w:p w14:paraId="3262E51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（2）在合同执行期间（包括工期拖延期间）由于人工、材料和设备价格的上涨而引起工程施工成本增加的风险由承包人自行承担，合同价格不会因此而调整。</w:t>
      </w:r>
    </w:p>
    <w:p w14:paraId="23B5D0C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16.1.1 </w:t>
      </w:r>
      <w:r>
        <w:rPr>
          <w:rFonts w:hint="default" w:ascii="Times New Roman" w:hAnsi="Times New Roman" w:eastAsia="黑体" w:cs="Times New Roman"/>
          <w:color w:val="auto"/>
          <w:sz w:val="24"/>
          <w:highlight w:val="none"/>
        </w:rPr>
        <w:t>采用价格指数调整价格差额</w:t>
      </w:r>
    </w:p>
    <w:p w14:paraId="3DEE275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16.1.1.1 价格调整公式</w:t>
      </w:r>
    </w:p>
    <w:p w14:paraId="66B191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价格调整公式后增加备注如下：</w:t>
      </w:r>
    </w:p>
    <w:p w14:paraId="082EB49A">
      <w:pPr>
        <w:pageBreakBefore w:val="0"/>
        <w:kinsoku/>
        <w:wordWrap w:val="0"/>
        <w:bidi w:val="0"/>
        <w:spacing w:line="400" w:lineRule="atLeast"/>
        <w:ind w:firstLine="746" w:firstLineChars="311"/>
        <w:rPr>
          <w:rFonts w:hint="default" w:ascii="Times New Roman" w:hAnsi="Times New Roman" w:cs="Times New Roman"/>
          <w:color w:val="auto"/>
          <w:sz w:val="24"/>
          <w:highlight w:val="none"/>
        </w:rPr>
      </w:pPr>
      <w:r>
        <w:rPr>
          <w:rFonts w:hint="default" w:ascii="Times New Roman" w:hAnsi="Times New Roman" w:cs="Times New Roman"/>
          <w:bCs/>
          <w:color w:val="auto"/>
          <w:sz w:val="24"/>
          <w:highlight w:val="none"/>
        </w:rPr>
        <w:t>式中，</w:t>
      </w:r>
      <w:r>
        <w:rPr>
          <w:rFonts w:hint="default" w:ascii="Times New Roman" w:hAnsi="Times New Roman" w:cs="Times New Roman"/>
          <w:b/>
          <w:bCs/>
          <w:color w:val="auto"/>
          <w:sz w:val="24"/>
          <w:highlight w:val="none"/>
        </w:rPr>
        <w:t>A=1－（B</w:t>
      </w:r>
      <w:r>
        <w:rPr>
          <w:rFonts w:hint="default" w:ascii="Times New Roman" w:hAnsi="Times New Roman" w:cs="Times New Roman"/>
          <w:b/>
          <w:bCs/>
          <w:color w:val="auto"/>
          <w:sz w:val="24"/>
          <w:highlight w:val="none"/>
          <w:vertAlign w:val="subscript"/>
        </w:rPr>
        <w:t>1</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2</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3</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vertAlign w:val="subscript"/>
        </w:rPr>
        <w:t>……</w:t>
      </w:r>
      <w:r>
        <w:rPr>
          <w:rFonts w:hint="default" w:ascii="Times New Roman" w:hAnsi="Times New Roman" w:cs="Times New Roman"/>
          <w:b/>
          <w:bCs/>
          <w:color w:val="auto"/>
          <w:sz w:val="24"/>
          <w:highlight w:val="none"/>
        </w:rPr>
        <w:t>＋B</w:t>
      </w:r>
      <w:r>
        <w:rPr>
          <w:rFonts w:hint="default" w:ascii="Times New Roman" w:hAnsi="Times New Roman" w:cs="Times New Roman"/>
          <w:b/>
          <w:bCs/>
          <w:color w:val="auto"/>
          <w:sz w:val="24"/>
          <w:highlight w:val="none"/>
          <w:vertAlign w:val="subscript"/>
        </w:rPr>
        <w:t>n</w:t>
      </w:r>
      <w:r>
        <w:rPr>
          <w:rFonts w:hint="default" w:ascii="Times New Roman" w:hAnsi="Times New Roman" w:cs="Times New Roman"/>
          <w:b/>
          <w:bCs/>
          <w:color w:val="auto"/>
          <w:sz w:val="24"/>
          <w:highlight w:val="none"/>
        </w:rPr>
        <w:t>）</w:t>
      </w:r>
      <w:r>
        <w:rPr>
          <w:rFonts w:hint="default" w:ascii="Times New Roman" w:hAnsi="Times New Roman" w:cs="Times New Roman"/>
          <w:color w:val="auto"/>
          <w:sz w:val="24"/>
          <w:highlight w:val="none"/>
        </w:rPr>
        <w:t>。</w:t>
      </w:r>
    </w:p>
    <w:p w14:paraId="3DC8DF6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本目最后一段文字细化为：</w:t>
      </w:r>
    </w:p>
    <w:p w14:paraId="070CB8E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在采用价格调整公式进行调价时，还应遵守以下规定：</w:t>
      </w:r>
    </w:p>
    <w:p w14:paraId="55C046DD">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480B1B07">
      <w:pPr>
        <w:pageBreakBefore w:val="0"/>
        <w:kinsoku/>
        <w:wordWrap w:val="0"/>
        <w:bidi w:val="0"/>
        <w:spacing w:line="400" w:lineRule="atLeast"/>
        <w:ind w:firstLine="477" w:firstLineChars="19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5CB106F3">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43" w:name="_Toc13648"/>
      <w:bookmarkStart w:id="1544" w:name="_Toc12404"/>
      <w:bookmarkStart w:id="1545" w:name="_Toc29558"/>
      <w:bookmarkStart w:id="1546" w:name="_Toc234833187"/>
      <w:bookmarkStart w:id="1547" w:name="_Toc18133"/>
      <w:r>
        <w:rPr>
          <w:rFonts w:hint="default" w:ascii="Times New Roman" w:hAnsi="Times New Roman" w:eastAsia="黑体" w:cs="Times New Roman"/>
          <w:b w:val="0"/>
          <w:color w:val="auto"/>
          <w:sz w:val="28"/>
          <w:szCs w:val="28"/>
          <w:highlight w:val="none"/>
        </w:rPr>
        <w:t>17. 计量与支付</w:t>
      </w:r>
      <w:bookmarkEnd w:id="1543"/>
      <w:bookmarkEnd w:id="1544"/>
      <w:bookmarkEnd w:id="1545"/>
      <w:bookmarkEnd w:id="1546"/>
      <w:bookmarkEnd w:id="1547"/>
    </w:p>
    <w:p w14:paraId="7398305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48" w:name="_Toc22272"/>
      <w:bookmarkStart w:id="1549" w:name="_Toc234833188"/>
      <w:bookmarkStart w:id="1550" w:name="_Toc23776"/>
      <w:bookmarkStart w:id="1551" w:name="_Toc30341"/>
      <w:bookmarkStart w:id="1552" w:name="_Toc10995"/>
      <w:r>
        <w:rPr>
          <w:rFonts w:hint="default" w:ascii="Times New Roman" w:hAnsi="Times New Roman" w:eastAsia="黑体" w:cs="Times New Roman"/>
          <w:b w:val="0"/>
          <w:color w:val="auto"/>
          <w:sz w:val="24"/>
          <w:szCs w:val="24"/>
          <w:highlight w:val="none"/>
        </w:rPr>
        <w:t>17.1 计量</w:t>
      </w:r>
      <w:bookmarkEnd w:id="1548"/>
      <w:bookmarkEnd w:id="1549"/>
      <w:bookmarkEnd w:id="1550"/>
      <w:bookmarkEnd w:id="1551"/>
      <w:bookmarkEnd w:id="1552"/>
      <w:r>
        <w:rPr>
          <w:rFonts w:hint="default" w:ascii="Times New Roman" w:hAnsi="Times New Roman" w:eastAsia="黑体" w:cs="Times New Roman"/>
          <w:b w:val="0"/>
          <w:color w:val="auto"/>
          <w:sz w:val="24"/>
          <w:szCs w:val="24"/>
          <w:highlight w:val="none"/>
        </w:rPr>
        <w:t xml:space="preserve"> </w:t>
      </w:r>
    </w:p>
    <w:p w14:paraId="1F9FA280">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17.1.2 </w:t>
      </w:r>
      <w:r>
        <w:rPr>
          <w:rFonts w:hint="default" w:ascii="Times New Roman" w:hAnsi="Times New Roman" w:eastAsia="黑体" w:cs="Times New Roman"/>
          <w:color w:val="auto"/>
          <w:sz w:val="24"/>
          <w:highlight w:val="none"/>
        </w:rPr>
        <w:t>计量方法</w:t>
      </w:r>
    </w:p>
    <w:p w14:paraId="6DED9FE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5DD53BD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工程的计量应以净值为准，除非项目专用合同条款另有约定。工程量清单中各个子目的具体计量方法按本合同文件工程量清单计量规则中的规定执行。</w:t>
      </w:r>
    </w:p>
    <w:p w14:paraId="2F2A3963">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17.1.4 </w:t>
      </w:r>
      <w:r>
        <w:rPr>
          <w:rFonts w:hint="default" w:ascii="Times New Roman" w:hAnsi="Times New Roman" w:eastAsia="黑体" w:cs="Times New Roman"/>
          <w:color w:val="auto"/>
          <w:sz w:val="24"/>
          <w:highlight w:val="none"/>
        </w:rPr>
        <w:t>单价子目的计量</w:t>
      </w:r>
    </w:p>
    <w:p w14:paraId="551CE8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442F482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（7）承包人未在已标价工程量清单中填入单价或总额价的工程子目，将被认为其已包含在本合同的其他子目的单价和总额价中，发包人将不另行支付。</w:t>
      </w:r>
    </w:p>
    <w:p w14:paraId="6B28E138">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17.1.5 </w:t>
      </w:r>
      <w:r>
        <w:rPr>
          <w:rFonts w:hint="default" w:ascii="Times New Roman" w:hAnsi="Times New Roman" w:eastAsia="黑体" w:cs="Times New Roman"/>
          <w:color w:val="auto"/>
          <w:sz w:val="24"/>
          <w:highlight w:val="none"/>
        </w:rPr>
        <w:t>总价子目的计量</w:t>
      </w:r>
    </w:p>
    <w:p w14:paraId="18403676">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本项补充：</w:t>
      </w:r>
    </w:p>
    <w:p w14:paraId="0E56E28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本项目工程量清单中要求承包人以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总额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方式报价的子目，各子目的支付原则和支付进度按项目专用合同条款的规定执行。</w:t>
      </w:r>
    </w:p>
    <w:p w14:paraId="747A2C7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53" w:name="_Toc234833189"/>
      <w:bookmarkStart w:id="1554" w:name="_Toc10842"/>
      <w:bookmarkStart w:id="1555" w:name="_Toc23977"/>
      <w:bookmarkStart w:id="1556" w:name="_Toc1940"/>
      <w:bookmarkStart w:id="1557" w:name="_Toc15810"/>
      <w:r>
        <w:rPr>
          <w:rFonts w:hint="default" w:ascii="Times New Roman" w:hAnsi="Times New Roman" w:eastAsia="黑体" w:cs="Times New Roman"/>
          <w:b w:val="0"/>
          <w:color w:val="auto"/>
          <w:sz w:val="24"/>
          <w:szCs w:val="24"/>
          <w:highlight w:val="none"/>
        </w:rPr>
        <w:t>17.2 预付款</w:t>
      </w:r>
      <w:bookmarkEnd w:id="1553"/>
      <w:bookmarkEnd w:id="1554"/>
      <w:bookmarkEnd w:id="1555"/>
      <w:bookmarkEnd w:id="1556"/>
      <w:bookmarkEnd w:id="1557"/>
    </w:p>
    <w:p w14:paraId="11431B2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17.2.1</w:t>
      </w:r>
      <w:r>
        <w:rPr>
          <w:rFonts w:hint="default" w:ascii="Times New Roman" w:hAnsi="Times New Roman" w:eastAsia="黑体" w:cs="Times New Roman"/>
          <w:color w:val="auto"/>
          <w:sz w:val="24"/>
          <w:highlight w:val="none"/>
        </w:rPr>
        <w:t>预付款</w:t>
      </w:r>
    </w:p>
    <w:p w14:paraId="412A923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254AAC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预付款包括开工预付款和材料、设备预付款。具体额度和预付办法如下：</w:t>
      </w:r>
    </w:p>
    <w:p w14:paraId="376EB3F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（1）开工预付款的金额在项目专用合同条款数据表中约定。在承包人签订了合同协议书且承包人承诺的主要设备进场后，监理人应在当期进度付款证书中向承包人支付开工预付款。</w:t>
      </w:r>
    </w:p>
    <w:p w14:paraId="685EA8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承包人不得将该预付款用于与本工程无关的支出，监理人有权监督承包人对该项费用的使用，如经查实承包人滥用开工预付款，发包人有权立即向银行索赔履约保证金，并解除合同。</w:t>
      </w:r>
    </w:p>
    <w:p w14:paraId="6883E78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（2）材料、设备预付款按项目专用合同条款数据表中所列主要材料、设备</w:t>
      </w:r>
      <w:r>
        <w:rPr>
          <w:rFonts w:hint="eastAsia" w:cs="Times New Roman"/>
          <w:color w:val="auto"/>
          <w:sz w:val="24"/>
          <w:highlight w:val="none"/>
          <w:lang w:val="en-US" w:eastAsia="zh-CN"/>
        </w:rPr>
        <w:t>清单</w:t>
      </w:r>
      <w:r>
        <w:rPr>
          <w:rFonts w:hint="default" w:ascii="Times New Roman" w:hAnsi="Times New Roman" w:cs="Times New Roman"/>
          <w:color w:val="auto"/>
          <w:sz w:val="24"/>
          <w:highlight w:val="none"/>
        </w:rPr>
        <w:t>费用（进口的材料、设备为到岸价，国内采购的为出厂价或销售价，地方材料为堆场价）的百分比支付。其预付条件为：</w:t>
      </w:r>
    </w:p>
    <w:p w14:paraId="632128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材料、设备符合规范要求并经监理人认可；</w:t>
      </w:r>
    </w:p>
    <w:p w14:paraId="7A66378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承包人已出具材料、设备费用凭证或支付单据；</w:t>
      </w:r>
    </w:p>
    <w:p w14:paraId="6499028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 材料、设备已在现场交货，且存储良好，监理人认为材料、设备的存储方法符合要求。</w:t>
      </w:r>
    </w:p>
    <w:p w14:paraId="3A0BB6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则监理人应将此项金额作为材料、设备预付款计入下一次的进度付款证书中。在预计交工前3个月，将不再支付材料、设备预付款。</w:t>
      </w:r>
    </w:p>
    <w:p w14:paraId="320274F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17.2.2 </w:t>
      </w:r>
      <w:r>
        <w:rPr>
          <w:rFonts w:hint="default" w:ascii="Times New Roman" w:hAnsi="Times New Roman" w:eastAsia="黑体" w:cs="Times New Roman"/>
          <w:color w:val="auto"/>
          <w:sz w:val="24"/>
          <w:highlight w:val="none"/>
        </w:rPr>
        <w:t>预付款保函</w:t>
      </w:r>
    </w:p>
    <w:p w14:paraId="667D80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23DC2C74">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承包人无须向发包人提交预付款保函。发包人向承包人支付的预付款，应按照本合同第17.2.1项规定使用，承包人提交的履约保证金对预付款的正常使用承担保证责任。</w:t>
      </w:r>
    </w:p>
    <w:p w14:paraId="33EA409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17.2.3 </w:t>
      </w:r>
      <w:r>
        <w:rPr>
          <w:rFonts w:hint="default" w:ascii="Times New Roman" w:hAnsi="Times New Roman" w:eastAsia="黑体" w:cs="Times New Roman"/>
          <w:color w:val="auto"/>
          <w:sz w:val="24"/>
          <w:highlight w:val="none"/>
        </w:rPr>
        <w:t>预付款的扣回与还清</w:t>
      </w:r>
    </w:p>
    <w:p w14:paraId="07FD99CE">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215E290F">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E9A2AFD">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（2）当材料、设备已用于或安装在永久工程之中时，材料、设备预付款应从进度付款证书中扣回，扣回期不超过3个月。已经支付材料、设备预付款的材料、设备的所有权应属于发包人。</w:t>
      </w:r>
    </w:p>
    <w:p w14:paraId="74E734B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58" w:name="_Toc24114"/>
      <w:bookmarkStart w:id="1559" w:name="_Toc30179"/>
      <w:bookmarkStart w:id="1560" w:name="_Toc27923"/>
      <w:bookmarkStart w:id="1561" w:name="_Toc234833190"/>
      <w:bookmarkStart w:id="1562" w:name="_Toc32286"/>
      <w:r>
        <w:rPr>
          <w:rFonts w:hint="default" w:ascii="Times New Roman" w:hAnsi="Times New Roman" w:eastAsia="黑体" w:cs="Times New Roman"/>
          <w:b w:val="0"/>
          <w:color w:val="auto"/>
          <w:sz w:val="24"/>
          <w:szCs w:val="24"/>
          <w:highlight w:val="none"/>
        </w:rPr>
        <w:t>17.3 工程进度付款</w:t>
      </w:r>
      <w:bookmarkEnd w:id="1558"/>
      <w:bookmarkEnd w:id="1559"/>
      <w:bookmarkEnd w:id="1560"/>
      <w:bookmarkEnd w:id="1561"/>
      <w:bookmarkEnd w:id="1562"/>
    </w:p>
    <w:p w14:paraId="066E0D1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17.3.3 </w:t>
      </w:r>
      <w:r>
        <w:rPr>
          <w:rFonts w:hint="default" w:ascii="Times New Roman" w:hAnsi="Times New Roman" w:eastAsia="黑体" w:cs="Times New Roman"/>
          <w:color w:val="auto"/>
          <w:sz w:val="24"/>
          <w:highlight w:val="none"/>
        </w:rPr>
        <w:t>进度付款证书和支付时间</w:t>
      </w:r>
    </w:p>
    <w:p w14:paraId="216B616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本项（1）目补充：</w:t>
      </w:r>
    </w:p>
    <w:p w14:paraId="7E9E10A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11F09C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D4DDE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发包人应在监理人收到进度付款申请单且承包人提交了合格的增值税专用发票后的28天内，将进度应付款支付给承包人。</w:t>
      </w:r>
    </w:p>
    <w:p w14:paraId="0D4A018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发包人不按期支付的，按项目专用合同条款数据表中约定的利率向承包人支付逾期付款违约金。违约金计算基数为发包人的全部未付款额，时间从应付而未付该款额之日算起（不计复利）。</w:t>
      </w:r>
    </w:p>
    <w:p w14:paraId="264DAB8A">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本款补充第17.3.5项：</w:t>
      </w:r>
    </w:p>
    <w:p w14:paraId="35287F33">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17.3.5 </w:t>
      </w:r>
      <w:r>
        <w:rPr>
          <w:rFonts w:hint="default" w:ascii="Times New Roman" w:hAnsi="Times New Roman" w:eastAsia="黑体" w:cs="Times New Roman"/>
          <w:color w:val="auto"/>
          <w:sz w:val="24"/>
          <w:highlight w:val="none"/>
        </w:rPr>
        <w:t>农民工工资保证金</w:t>
      </w:r>
    </w:p>
    <w:p w14:paraId="15D94E8B">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（1）为确保施工过程中农民工工资实时、足额发放到位，承包人应按照项目专用合同条款约定的时间和金额缴存农民工工资保证金。</w:t>
      </w:r>
    </w:p>
    <w:p w14:paraId="2C36889D">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（2）农民工工资保证金可采用银行保函或现金、支票形式。采用银行保函时，出具保函的银行须具有相应担保能力，且按照发包人批准的格式出具，所需费用由承包人承担。</w:t>
      </w:r>
    </w:p>
    <w:p w14:paraId="73038BCB">
      <w:pPr>
        <w:pageBreakBefore w:val="0"/>
        <w:widowControl/>
        <w:kinsoku/>
        <w:wordWrap w:val="0"/>
        <w:bidi w:val="0"/>
        <w:spacing w:line="42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（3）农民工工资保证金的扣留条件、返还时间按照项目专用合同条款的约定执行。</w:t>
      </w:r>
    </w:p>
    <w:p w14:paraId="30C0C84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63" w:name="_Toc234833191"/>
      <w:bookmarkStart w:id="1564" w:name="_Toc31836"/>
      <w:bookmarkStart w:id="1565" w:name="_Toc29743"/>
      <w:bookmarkStart w:id="1566" w:name="_Toc29571"/>
      <w:bookmarkStart w:id="1567" w:name="_Toc4893"/>
      <w:r>
        <w:rPr>
          <w:rFonts w:hint="default" w:ascii="Times New Roman" w:hAnsi="Times New Roman" w:eastAsia="黑体" w:cs="Times New Roman"/>
          <w:b w:val="0"/>
          <w:color w:val="auto"/>
          <w:sz w:val="24"/>
          <w:szCs w:val="24"/>
          <w:highlight w:val="none"/>
        </w:rPr>
        <w:t>17.4 质量保证金</w:t>
      </w:r>
      <w:bookmarkEnd w:id="1563"/>
      <w:bookmarkEnd w:id="1564"/>
      <w:bookmarkEnd w:id="1565"/>
      <w:bookmarkEnd w:id="1566"/>
      <w:bookmarkEnd w:id="1567"/>
    </w:p>
    <w:p w14:paraId="29C0572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第17.4.1项、第17.4.2项细化为：</w:t>
      </w:r>
    </w:p>
    <w:p w14:paraId="304935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152730E2">
      <w:pPr>
        <w:pageBreakBefore w:val="0"/>
        <w:kinsoku/>
        <w:wordWrap w:val="0"/>
        <w:bidi w:val="0"/>
        <w:spacing w:line="400" w:lineRule="atLeast"/>
        <w:ind w:firstLine="480" w:firstLineChars="200"/>
        <w:rPr>
          <w:rFonts w:hint="default" w:ascii="Times New Roman" w:hAnsi="Times New Roman" w:eastAsia="宋体 ，Arial" w:cs="Times New Roman"/>
          <w:color w:val="auto"/>
          <w:kern w:val="0"/>
          <w:sz w:val="24"/>
          <w:highlight w:val="none"/>
        </w:rPr>
      </w:pPr>
      <w:r>
        <w:rPr>
          <w:rFonts w:hint="default" w:ascii="Times New Roman" w:hAnsi="Times New Roman" w:cs="Times New Roman"/>
          <w:color w:val="auto"/>
          <w:sz w:val="24"/>
          <w:highlight w:val="none"/>
        </w:rPr>
        <w:t>质量保证金采用现金、支票形式提交的，发包人应在项目专用合同条款数据表中明确是否</w:t>
      </w:r>
      <w:r>
        <w:rPr>
          <w:rFonts w:hint="default" w:ascii="Times New Roman" w:hAnsi="Times New Roman" w:eastAsia="宋体 ，Arial" w:cs="Times New Roman"/>
          <w:color w:val="auto"/>
          <w:kern w:val="0"/>
          <w:sz w:val="24"/>
          <w:highlight w:val="none"/>
        </w:rPr>
        <w:t>计付利息以及利息的计算方式。</w:t>
      </w:r>
    </w:p>
    <w:p w14:paraId="0478A2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17.4.2 在第1.1.4.5</w:t>
      </w:r>
      <w:r>
        <w:rPr>
          <w:rFonts w:hint="eastAsia" w:cs="Times New Roman"/>
          <w:color w:val="auto"/>
          <w:sz w:val="24"/>
          <w:highlight w:val="none"/>
          <w:lang w:val="en-US" w:eastAsia="zh-CN"/>
        </w:rPr>
        <w:t>款项</w:t>
      </w:r>
      <w:r>
        <w:rPr>
          <w:rFonts w:hint="default" w:ascii="Times New Roman" w:hAnsi="Times New Roman" w:cs="Times New Roman"/>
          <w:color w:val="auto"/>
          <w:sz w:val="24"/>
          <w:highlight w:val="none"/>
        </w:rPr>
        <w:t>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24C041DE">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68" w:name="_Toc14691"/>
      <w:bookmarkStart w:id="1569" w:name="_Toc234833192"/>
      <w:bookmarkStart w:id="1570" w:name="_Toc1771"/>
      <w:bookmarkStart w:id="1571" w:name="_Toc3090"/>
      <w:bookmarkStart w:id="1572" w:name="_Toc1942"/>
      <w:r>
        <w:rPr>
          <w:rFonts w:hint="default" w:ascii="Times New Roman" w:hAnsi="Times New Roman" w:eastAsia="黑体" w:cs="Times New Roman"/>
          <w:b w:val="0"/>
          <w:color w:val="auto"/>
          <w:sz w:val="24"/>
          <w:szCs w:val="24"/>
          <w:highlight w:val="none"/>
        </w:rPr>
        <w:t>17.5 交工结算</w:t>
      </w:r>
      <w:bookmarkEnd w:id="1568"/>
      <w:bookmarkEnd w:id="1569"/>
      <w:bookmarkEnd w:id="1570"/>
      <w:bookmarkEnd w:id="1571"/>
      <w:bookmarkEnd w:id="1572"/>
    </w:p>
    <w:p w14:paraId="4D1B9809">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17.5.1 </w:t>
      </w:r>
      <w:r>
        <w:rPr>
          <w:rFonts w:hint="default" w:ascii="Times New Roman" w:hAnsi="Times New Roman" w:eastAsia="黑体" w:cs="Times New Roman"/>
          <w:color w:val="auto"/>
          <w:sz w:val="24"/>
          <w:highlight w:val="none"/>
        </w:rPr>
        <w:t>交工付款申请单</w:t>
      </w:r>
    </w:p>
    <w:p w14:paraId="051856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045CAD7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承包人向监理人提交交工付款申请单（包括相关证明材料）的份数在项目专用合同条款数据表中约定；期限：交工验收证书签发后42天内。</w:t>
      </w:r>
    </w:p>
    <w:p w14:paraId="4B2AD39D">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17.5.2 </w:t>
      </w:r>
      <w:r>
        <w:rPr>
          <w:rFonts w:hint="default" w:ascii="Times New Roman" w:hAnsi="Times New Roman" w:eastAsia="黑体" w:cs="Times New Roman"/>
          <w:color w:val="auto"/>
          <w:sz w:val="24"/>
          <w:highlight w:val="none"/>
        </w:rPr>
        <w:t>交工付款证书及支付时间</w:t>
      </w:r>
    </w:p>
    <w:p w14:paraId="3A93A77F">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本项（2）目细化为：</w:t>
      </w:r>
    </w:p>
    <w:p w14:paraId="0432436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发包人应在监理人出具交工付款证书且承包人提交了合格的增值税专用发票后的14天内，将应支付款支付给承包人。发包人不按期支付的，按第17.3.3（2）</w:t>
      </w:r>
      <w:r>
        <w:rPr>
          <w:rFonts w:hint="eastAsia" w:cs="Times New Roman"/>
          <w:color w:val="auto"/>
          <w:sz w:val="24"/>
          <w:highlight w:val="none"/>
          <w:lang w:val="en-US" w:eastAsia="zh-CN"/>
        </w:rPr>
        <w:t>项的目</w:t>
      </w:r>
      <w:r>
        <w:rPr>
          <w:rFonts w:hint="default" w:ascii="Times New Roman" w:hAnsi="Times New Roman" w:cs="Times New Roman"/>
          <w:color w:val="auto"/>
          <w:sz w:val="24"/>
          <w:highlight w:val="none"/>
        </w:rPr>
        <w:t>的约定，将逾期付款违约金支付给承包人。</w:t>
      </w:r>
    </w:p>
    <w:p w14:paraId="34ECFB80">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73" w:name="_Toc234833193"/>
      <w:bookmarkStart w:id="1574" w:name="_Toc19025"/>
      <w:bookmarkStart w:id="1575" w:name="_Toc11156"/>
      <w:bookmarkStart w:id="1576" w:name="_Toc792"/>
      <w:bookmarkStart w:id="1577" w:name="_Toc11950"/>
      <w:r>
        <w:rPr>
          <w:rFonts w:hint="default" w:ascii="Times New Roman" w:hAnsi="Times New Roman" w:eastAsia="黑体" w:cs="Times New Roman"/>
          <w:b w:val="0"/>
          <w:color w:val="auto"/>
          <w:sz w:val="24"/>
          <w:szCs w:val="24"/>
          <w:highlight w:val="none"/>
        </w:rPr>
        <w:t>17.6 最终结清</w:t>
      </w:r>
      <w:bookmarkEnd w:id="1573"/>
      <w:bookmarkEnd w:id="1574"/>
      <w:bookmarkEnd w:id="1575"/>
      <w:bookmarkEnd w:id="1576"/>
      <w:bookmarkEnd w:id="1577"/>
    </w:p>
    <w:p w14:paraId="3759AEEC">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17.6.1 </w:t>
      </w:r>
      <w:r>
        <w:rPr>
          <w:rFonts w:hint="default" w:ascii="Times New Roman" w:hAnsi="Times New Roman" w:eastAsia="黑体" w:cs="Times New Roman"/>
          <w:color w:val="auto"/>
          <w:sz w:val="24"/>
          <w:highlight w:val="none"/>
        </w:rPr>
        <w:t>最终结清申请单</w:t>
      </w:r>
    </w:p>
    <w:p w14:paraId="75C4810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本项（1）目约定为：</w:t>
      </w:r>
    </w:p>
    <w:p w14:paraId="7680AC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承包人向监理人提交最终结清申请单（包括相关证明材料）的份数在项目专用合同条款数据表中约定；期限：缺陷责任期终止证书签发后28天内。</w:t>
      </w:r>
    </w:p>
    <w:p w14:paraId="2919EF6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最终结清申请单中的总金额应认为是代表了根据合同规定应付给承包人的全部款项的最后结算。</w:t>
      </w:r>
    </w:p>
    <w:p w14:paraId="492D0D36">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17.6.2 </w:t>
      </w:r>
      <w:r>
        <w:rPr>
          <w:rFonts w:hint="default" w:ascii="Times New Roman" w:hAnsi="Times New Roman" w:eastAsia="黑体" w:cs="Times New Roman"/>
          <w:color w:val="auto"/>
          <w:sz w:val="24"/>
          <w:highlight w:val="none"/>
        </w:rPr>
        <w:t>最终结清证书和支付时间</w:t>
      </w:r>
      <w:r>
        <w:rPr>
          <w:rFonts w:hint="default" w:ascii="Times New Roman" w:hAnsi="Times New Roman" w:cs="Times New Roman"/>
          <w:color w:val="auto"/>
          <w:sz w:val="24"/>
          <w:highlight w:val="none"/>
        </w:rPr>
        <w:t xml:space="preserve"> </w:t>
      </w:r>
    </w:p>
    <w:p w14:paraId="77D8669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58F7B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（2）发包人应在监理人出具最终结清证书且承包人提交了合格的增值税专用发票后的14天内，将应支付款支付给承包人。发包人不按期支付的，按第17.3.3（2）目的约定，将逾期付款违约金支付给承包人。</w:t>
      </w:r>
    </w:p>
    <w:p w14:paraId="736CDE97">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78" w:name="_Toc22331"/>
      <w:bookmarkStart w:id="1579" w:name="_Toc24563"/>
      <w:bookmarkStart w:id="1580" w:name="_Toc234833194"/>
      <w:bookmarkStart w:id="1581" w:name="_Toc8009"/>
      <w:bookmarkStart w:id="1582" w:name="_Toc12621"/>
      <w:r>
        <w:rPr>
          <w:rFonts w:hint="default" w:ascii="Times New Roman" w:hAnsi="Times New Roman" w:eastAsia="黑体" w:cs="Times New Roman"/>
          <w:b w:val="0"/>
          <w:color w:val="auto"/>
          <w:sz w:val="28"/>
          <w:szCs w:val="28"/>
          <w:highlight w:val="none"/>
        </w:rPr>
        <w:t>18. 交工验收</w:t>
      </w:r>
      <w:bookmarkEnd w:id="1578"/>
      <w:bookmarkEnd w:id="1579"/>
      <w:bookmarkEnd w:id="1580"/>
      <w:bookmarkEnd w:id="1581"/>
      <w:bookmarkEnd w:id="1582"/>
    </w:p>
    <w:p w14:paraId="146A4D9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83" w:name="_Toc234833195"/>
      <w:bookmarkStart w:id="1584" w:name="_Toc11196"/>
      <w:bookmarkStart w:id="1585" w:name="_Toc14002"/>
      <w:bookmarkStart w:id="1586" w:name="_Toc13694"/>
      <w:bookmarkStart w:id="1587" w:name="_Toc29033"/>
      <w:r>
        <w:rPr>
          <w:rFonts w:hint="default" w:ascii="Times New Roman" w:hAnsi="Times New Roman" w:eastAsia="黑体" w:cs="Times New Roman"/>
          <w:b w:val="0"/>
          <w:color w:val="auto"/>
          <w:sz w:val="24"/>
          <w:szCs w:val="24"/>
          <w:highlight w:val="none"/>
        </w:rPr>
        <w:t>18.2 交工验收申请报告</w:t>
      </w:r>
      <w:bookmarkEnd w:id="1583"/>
      <w:bookmarkEnd w:id="1584"/>
      <w:bookmarkEnd w:id="1585"/>
      <w:bookmarkEnd w:id="1586"/>
      <w:bookmarkEnd w:id="1587"/>
    </w:p>
    <w:p w14:paraId="0B0C0C2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本款第（2）项约定为：</w:t>
      </w:r>
    </w:p>
    <w:p w14:paraId="1CDB8EA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竣工资料的内容：承包人应按照《公路工程竣（交）工验收办法》和相关规定编制竣工资料。</w:t>
      </w:r>
    </w:p>
    <w:p w14:paraId="37D9FC7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竣工资料的份数在项目专用合同条款数据表中约定。</w:t>
      </w:r>
    </w:p>
    <w:p w14:paraId="1381CEB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88" w:name="_Toc11830"/>
      <w:bookmarkStart w:id="1589" w:name="_Toc15493"/>
      <w:bookmarkStart w:id="1590" w:name="_Toc2589"/>
      <w:bookmarkStart w:id="1591" w:name="_Toc4025"/>
      <w:bookmarkStart w:id="1592" w:name="_Toc234833196"/>
      <w:r>
        <w:rPr>
          <w:rFonts w:hint="default" w:ascii="Times New Roman" w:hAnsi="Times New Roman" w:eastAsia="黑体" w:cs="Times New Roman"/>
          <w:b w:val="0"/>
          <w:color w:val="auto"/>
          <w:sz w:val="24"/>
          <w:szCs w:val="24"/>
          <w:highlight w:val="none"/>
        </w:rPr>
        <w:t>18.3 验收</w:t>
      </w:r>
      <w:bookmarkEnd w:id="1588"/>
      <w:bookmarkEnd w:id="1589"/>
      <w:bookmarkEnd w:id="1590"/>
      <w:bookmarkEnd w:id="1591"/>
      <w:bookmarkEnd w:id="1592"/>
    </w:p>
    <w:p w14:paraId="2329F65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第18.3.2项补充：</w:t>
      </w:r>
    </w:p>
    <w:p w14:paraId="07E7A9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1C93B41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第18.3.5项约定为：</w:t>
      </w:r>
    </w:p>
    <w:p w14:paraId="47800D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经验收合格工程的实际交工日期，以最终提交交工验收申请报告的日期为准，并在交工验收证书中写明。</w:t>
      </w:r>
    </w:p>
    <w:p w14:paraId="212ECE4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本款补充第18.3.7项：</w:t>
      </w:r>
    </w:p>
    <w:p w14:paraId="76E61B6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组织办理交工验收和签发交工验收证书的费用由发包人承担。但按照第18.3.4项规定达不到合格标准的交工验收费用由承包人承担。</w:t>
      </w:r>
    </w:p>
    <w:p w14:paraId="50F0951B">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本条补充第18.9款：</w:t>
      </w:r>
    </w:p>
    <w:p w14:paraId="5A96256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593" w:name="_Toc234833197"/>
      <w:bookmarkStart w:id="1594" w:name="_Toc21991"/>
      <w:bookmarkStart w:id="1595" w:name="_Toc3682"/>
      <w:bookmarkStart w:id="1596" w:name="_Toc7218"/>
      <w:bookmarkStart w:id="1597" w:name="_Toc25110"/>
      <w:r>
        <w:rPr>
          <w:rFonts w:hint="default" w:ascii="Times New Roman" w:hAnsi="Times New Roman" w:eastAsia="黑体" w:cs="Times New Roman"/>
          <w:b w:val="0"/>
          <w:color w:val="auto"/>
          <w:sz w:val="24"/>
          <w:szCs w:val="24"/>
          <w:highlight w:val="none"/>
        </w:rPr>
        <w:t>18.9 竣工文件</w:t>
      </w:r>
      <w:bookmarkEnd w:id="1593"/>
      <w:bookmarkEnd w:id="1594"/>
      <w:bookmarkEnd w:id="1595"/>
      <w:bookmarkEnd w:id="1596"/>
      <w:bookmarkEnd w:id="1597"/>
    </w:p>
    <w:p w14:paraId="43FAED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承包人应按照《公路工程竣（交）工验收办法》的相关规定，在缺陷责任期内为竣工验收补充竣工资料，并在签发缺陷责任期终止证书之前提交。</w:t>
      </w:r>
    </w:p>
    <w:p w14:paraId="4F8F2C02">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598" w:name="_Toc11360"/>
      <w:bookmarkStart w:id="1599" w:name="_Toc5229"/>
      <w:bookmarkStart w:id="1600" w:name="_Toc16481"/>
      <w:bookmarkStart w:id="1601" w:name="_Toc27071"/>
      <w:bookmarkStart w:id="1602" w:name="_Toc234833198"/>
      <w:r>
        <w:rPr>
          <w:rFonts w:hint="default" w:ascii="Times New Roman" w:hAnsi="Times New Roman" w:eastAsia="黑体" w:cs="Times New Roman"/>
          <w:b w:val="0"/>
          <w:color w:val="auto"/>
          <w:sz w:val="28"/>
          <w:szCs w:val="28"/>
          <w:highlight w:val="none"/>
        </w:rPr>
        <w:t>19. 缺陷责任与保修责任</w:t>
      </w:r>
      <w:bookmarkEnd w:id="1598"/>
      <w:bookmarkEnd w:id="1599"/>
      <w:bookmarkEnd w:id="1600"/>
      <w:bookmarkEnd w:id="1601"/>
      <w:bookmarkEnd w:id="1602"/>
    </w:p>
    <w:p w14:paraId="2E2732B2">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03" w:name="_Toc4936"/>
      <w:bookmarkStart w:id="1604" w:name="_Toc234833199"/>
      <w:bookmarkStart w:id="1605" w:name="_Toc28049"/>
      <w:bookmarkStart w:id="1606" w:name="_Toc32462"/>
      <w:bookmarkStart w:id="1607" w:name="_Toc13979"/>
      <w:r>
        <w:rPr>
          <w:rFonts w:hint="default" w:ascii="Times New Roman" w:hAnsi="Times New Roman" w:eastAsia="黑体" w:cs="Times New Roman"/>
          <w:b w:val="0"/>
          <w:color w:val="auto"/>
          <w:sz w:val="24"/>
          <w:szCs w:val="24"/>
          <w:highlight w:val="none"/>
        </w:rPr>
        <w:t>19.2 缺陷责任</w:t>
      </w:r>
      <w:bookmarkEnd w:id="1603"/>
      <w:bookmarkEnd w:id="1604"/>
      <w:bookmarkEnd w:id="1605"/>
      <w:bookmarkEnd w:id="1606"/>
      <w:bookmarkEnd w:id="1607"/>
    </w:p>
    <w:p w14:paraId="24B3593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第19.2.2项补充：</w:t>
      </w:r>
    </w:p>
    <w:p w14:paraId="459305A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在缺陷责任期内，承包人应尽快完成在交工验收证书中写明的未完成工作，并完成对本工程缺陷的修复或监理人指令的修补工作。</w:t>
      </w:r>
    </w:p>
    <w:p w14:paraId="4CEAACE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08" w:name="_Toc8826"/>
      <w:bookmarkStart w:id="1609" w:name="_Toc234833200"/>
      <w:bookmarkStart w:id="1610" w:name="_Toc6222"/>
      <w:bookmarkStart w:id="1611" w:name="_Toc17405"/>
      <w:bookmarkStart w:id="1612" w:name="_Toc17860"/>
      <w:r>
        <w:rPr>
          <w:rFonts w:hint="default" w:ascii="Times New Roman" w:hAnsi="Times New Roman" w:eastAsia="黑体" w:cs="Times New Roman"/>
          <w:b w:val="0"/>
          <w:color w:val="auto"/>
          <w:sz w:val="24"/>
          <w:szCs w:val="24"/>
          <w:highlight w:val="none"/>
        </w:rPr>
        <w:t>19.5 承包人的进入权</w:t>
      </w:r>
      <w:bookmarkEnd w:id="1608"/>
      <w:bookmarkEnd w:id="1609"/>
      <w:bookmarkEnd w:id="1610"/>
      <w:bookmarkEnd w:id="1611"/>
      <w:bookmarkEnd w:id="1612"/>
      <w:r>
        <w:rPr>
          <w:rFonts w:hint="default" w:ascii="Times New Roman" w:hAnsi="Times New Roman" w:eastAsia="黑体" w:cs="Times New Roman"/>
          <w:b w:val="0"/>
          <w:color w:val="auto"/>
          <w:sz w:val="24"/>
          <w:szCs w:val="24"/>
          <w:highlight w:val="none"/>
        </w:rPr>
        <w:t xml:space="preserve"> </w:t>
      </w:r>
    </w:p>
    <w:p w14:paraId="17CB4C14">
      <w:pPr>
        <w:pageBreakBefore w:val="0"/>
        <w:kinsoku/>
        <w:wordWrap w:val="0"/>
        <w:bidi w:val="0"/>
        <w:spacing w:line="400" w:lineRule="atLeas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本款补充</w:t>
      </w:r>
      <w:r>
        <w:rPr>
          <w:rFonts w:hint="eastAsia" w:cs="Times New Roman"/>
          <w:color w:val="auto"/>
          <w:sz w:val="24"/>
          <w:highlight w:val="none"/>
          <w:lang w:val="en-US" w:eastAsia="zh-CN"/>
        </w:rPr>
        <w:t>如下：</w:t>
      </w:r>
    </w:p>
    <w:p w14:paraId="6537BEE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承包人在缺陷修复施工过程中，应服从管养单位的有关安全管理规定，由于承包人自身原因造成的人员伤亡、设备和材料的损毁及罚款等责任由承包人自负。</w:t>
      </w:r>
    </w:p>
    <w:p w14:paraId="5A15E0C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13" w:name="_Toc13835"/>
      <w:bookmarkStart w:id="1614" w:name="_Toc7118"/>
      <w:bookmarkStart w:id="1615" w:name="_Toc234833201"/>
      <w:bookmarkStart w:id="1616" w:name="_Toc17931"/>
      <w:bookmarkStart w:id="1617" w:name="_Toc22662"/>
      <w:r>
        <w:rPr>
          <w:rFonts w:hint="default" w:ascii="Times New Roman" w:hAnsi="Times New Roman" w:eastAsia="黑体" w:cs="Times New Roman"/>
          <w:b w:val="0"/>
          <w:color w:val="auto"/>
          <w:sz w:val="24"/>
          <w:szCs w:val="24"/>
          <w:highlight w:val="none"/>
        </w:rPr>
        <w:t>19.7 保修责任</w:t>
      </w:r>
      <w:bookmarkEnd w:id="1613"/>
      <w:bookmarkEnd w:id="1614"/>
      <w:bookmarkEnd w:id="1615"/>
      <w:bookmarkEnd w:id="1616"/>
      <w:bookmarkEnd w:id="1617"/>
    </w:p>
    <w:p w14:paraId="208ED5F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本款细化为：</w:t>
      </w:r>
    </w:p>
    <w:p w14:paraId="2E46AC0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1E309C5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（2）在全部工程交工验收前，已经发包人提前验收的单位工程，其保修期的起算日期相应提前。</w:t>
      </w:r>
    </w:p>
    <w:p w14:paraId="01E467A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（3）工程保修期终止后28天内，监理人签发保修期终止证书。</w:t>
      </w:r>
    </w:p>
    <w:p w14:paraId="4784509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（4）若承包人不履行保修义务和责任，则承包人应承担由于违约造成的法律后果，并由发包人将其违约行为上报省级交通运输主管部门，作为不良记录纳入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047ABAE6">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18" w:name="_Toc23441"/>
      <w:bookmarkStart w:id="1619" w:name="_Toc27979"/>
      <w:bookmarkStart w:id="1620" w:name="_Toc21318"/>
      <w:bookmarkStart w:id="1621" w:name="_Toc234833202"/>
      <w:bookmarkStart w:id="1622" w:name="_Toc22022"/>
      <w:r>
        <w:rPr>
          <w:rFonts w:hint="default" w:ascii="Times New Roman" w:hAnsi="Times New Roman" w:eastAsia="黑体" w:cs="Times New Roman"/>
          <w:b w:val="0"/>
          <w:color w:val="auto"/>
          <w:sz w:val="28"/>
          <w:szCs w:val="28"/>
          <w:highlight w:val="none"/>
        </w:rPr>
        <w:t>20. 保险</w:t>
      </w:r>
      <w:bookmarkEnd w:id="1618"/>
      <w:bookmarkEnd w:id="1619"/>
      <w:bookmarkEnd w:id="1620"/>
      <w:bookmarkEnd w:id="1621"/>
      <w:bookmarkEnd w:id="1622"/>
    </w:p>
    <w:p w14:paraId="43F31E37">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23" w:name="_Toc20820"/>
      <w:bookmarkStart w:id="1624" w:name="_Toc27757"/>
      <w:bookmarkStart w:id="1625" w:name="_Toc234833203"/>
      <w:bookmarkStart w:id="1626" w:name="_Toc18588"/>
      <w:bookmarkStart w:id="1627" w:name="_Toc14820"/>
      <w:r>
        <w:rPr>
          <w:rFonts w:hint="default" w:ascii="Times New Roman" w:hAnsi="Times New Roman" w:eastAsia="黑体" w:cs="Times New Roman"/>
          <w:b w:val="0"/>
          <w:color w:val="auto"/>
          <w:sz w:val="24"/>
          <w:szCs w:val="24"/>
          <w:highlight w:val="none"/>
        </w:rPr>
        <w:t>20.1工程保险</w:t>
      </w:r>
      <w:bookmarkEnd w:id="1623"/>
      <w:bookmarkEnd w:id="1624"/>
      <w:bookmarkEnd w:id="1625"/>
      <w:bookmarkEnd w:id="1626"/>
      <w:bookmarkEnd w:id="1627"/>
    </w:p>
    <w:p w14:paraId="79447EA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14DD540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建筑工程一切险的投保内容：为本合同工程的永久工程、临时工程和设备及已运至施工工地用于永久工程的材料和设备所投的保险。</w:t>
      </w:r>
    </w:p>
    <w:p w14:paraId="39A02A1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保险金额：工程量清单第100章（不含建筑工程一切险及第三者责任险的保险费）至第700章的合计金额。</w:t>
      </w:r>
    </w:p>
    <w:p w14:paraId="084FD06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保险费率：在项目专用合同条款数据表中约定。</w:t>
      </w:r>
    </w:p>
    <w:p w14:paraId="2762967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保险期限：开工日起直至本合同工程签发缺陷责任期终止证书止（即合同工期＋缺陷责任期）。</w:t>
      </w:r>
    </w:p>
    <w:p w14:paraId="3689984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承包人应以发包人和承包人的共同名义投保建筑工程一切险。建筑工程一切险的保险费由承包人报价时列入工程量清单第100章内。发包人在接到保险单后，将按照保险单的费用直接向承包人支付。</w:t>
      </w:r>
    </w:p>
    <w:p w14:paraId="2C981B83">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28" w:name="_Toc28327"/>
      <w:bookmarkStart w:id="1629" w:name="_Toc234833204"/>
      <w:bookmarkStart w:id="1630" w:name="_Toc9762"/>
      <w:bookmarkStart w:id="1631" w:name="_Toc1174"/>
      <w:bookmarkStart w:id="1632" w:name="_Toc6160"/>
      <w:r>
        <w:rPr>
          <w:rFonts w:hint="default" w:ascii="Times New Roman" w:hAnsi="Times New Roman" w:eastAsia="黑体" w:cs="Times New Roman"/>
          <w:b w:val="0"/>
          <w:color w:val="auto"/>
          <w:sz w:val="24"/>
          <w:szCs w:val="24"/>
          <w:highlight w:val="none"/>
        </w:rPr>
        <w:t>20.4 第三者责任险</w:t>
      </w:r>
      <w:bookmarkEnd w:id="1628"/>
      <w:bookmarkEnd w:id="1629"/>
      <w:bookmarkEnd w:id="1630"/>
      <w:bookmarkEnd w:id="1631"/>
      <w:bookmarkEnd w:id="1632"/>
    </w:p>
    <w:p w14:paraId="1F0C499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第20.4.2项补充：</w:t>
      </w:r>
    </w:p>
    <w:p w14:paraId="21C5A1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第三者责任险的保险费由承包人报价时列入工程量清单第100章内。发包人在接到保险单后，将按照保险单的费用直接向承包人支付。</w:t>
      </w:r>
    </w:p>
    <w:p w14:paraId="4D86244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33" w:name="_Toc27537"/>
      <w:bookmarkStart w:id="1634" w:name="_Toc234833205"/>
      <w:bookmarkStart w:id="1635" w:name="_Toc4864"/>
      <w:bookmarkStart w:id="1636" w:name="_Toc13808"/>
      <w:bookmarkStart w:id="1637" w:name="_Toc5754"/>
      <w:r>
        <w:rPr>
          <w:rFonts w:hint="default" w:ascii="Times New Roman" w:hAnsi="Times New Roman" w:eastAsia="黑体" w:cs="Times New Roman"/>
          <w:b w:val="0"/>
          <w:color w:val="auto"/>
          <w:sz w:val="24"/>
          <w:szCs w:val="24"/>
          <w:highlight w:val="none"/>
        </w:rPr>
        <w:t>20.5 其他保险</w:t>
      </w:r>
      <w:bookmarkEnd w:id="1633"/>
      <w:bookmarkEnd w:id="1634"/>
      <w:bookmarkEnd w:id="1635"/>
      <w:bookmarkEnd w:id="1636"/>
      <w:bookmarkEnd w:id="1637"/>
    </w:p>
    <w:p w14:paraId="076A561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本款约定为：</w:t>
      </w:r>
    </w:p>
    <w:p w14:paraId="383A3476">
      <w:pPr>
        <w:pageBreakBefore w:val="0"/>
        <w:kinsoku/>
        <w:wordWrap w:val="0"/>
        <w:bidi w:val="0"/>
        <w:spacing w:line="400" w:lineRule="atLeast"/>
        <w:ind w:firstLine="42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承包人应为其施工设备等办理保险，其投保金额应足以现场重置。办理本款保险的一切费用均由承包人承担，并包括在工程量清单的单价及总额价中，发包人不单独支付。</w:t>
      </w:r>
    </w:p>
    <w:p w14:paraId="609ECFF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38" w:name="_Toc1959"/>
      <w:bookmarkStart w:id="1639" w:name="_Toc19524"/>
      <w:bookmarkStart w:id="1640" w:name="_Toc234833206"/>
      <w:bookmarkStart w:id="1641" w:name="_Toc22712"/>
      <w:bookmarkStart w:id="1642" w:name="_Toc32122"/>
      <w:r>
        <w:rPr>
          <w:rFonts w:hint="default" w:ascii="Times New Roman" w:hAnsi="Times New Roman" w:eastAsia="黑体" w:cs="Times New Roman"/>
          <w:b w:val="0"/>
          <w:color w:val="auto"/>
          <w:sz w:val="24"/>
          <w:szCs w:val="24"/>
          <w:highlight w:val="none"/>
        </w:rPr>
        <w:t>20.6 对各项保险的一般要求</w:t>
      </w:r>
      <w:bookmarkEnd w:id="1638"/>
      <w:bookmarkEnd w:id="1639"/>
      <w:bookmarkEnd w:id="1640"/>
      <w:bookmarkEnd w:id="1641"/>
      <w:bookmarkEnd w:id="1642"/>
    </w:p>
    <w:p w14:paraId="1F1CEB6F">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20.6.1 保险凭证</w:t>
      </w:r>
    </w:p>
    <w:p w14:paraId="0BC62785">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本项约定为：</w:t>
      </w:r>
    </w:p>
    <w:p w14:paraId="4B97522E">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承包人向发包人提交各项保险生效的证据和保险单副本的期限：开工后56天内。</w:t>
      </w:r>
    </w:p>
    <w:p w14:paraId="6CAFCB7A">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20.6.3 持续保险</w:t>
      </w:r>
    </w:p>
    <w:p w14:paraId="6A1283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2310537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在整个合同期内，承包人应按合同条款规定保证足够的保险额。</w:t>
      </w:r>
    </w:p>
    <w:p w14:paraId="2C3C9975">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20.6.4 保险金不足的补偿</w:t>
      </w:r>
    </w:p>
    <w:p w14:paraId="3636171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7FBA3AB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保险金不足以补偿损失的（包括免赔额和超过赔偿限额的部分），应由承包人和（或）发包人按合同约定负责补偿。</w:t>
      </w:r>
    </w:p>
    <w:p w14:paraId="179501D2">
      <w:pPr>
        <w:pageBreakBefore w:val="0"/>
        <w:kinsoku/>
        <w:wordWrap w:val="0"/>
        <w:bidi w:val="0"/>
        <w:spacing w:line="400" w:lineRule="atLeast"/>
        <w:ind w:firstLine="39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20.6.5 未按约定投保的补救</w:t>
      </w:r>
    </w:p>
    <w:p w14:paraId="2ED1BBF3">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C91A35A">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2A7A79F8">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43" w:name="_Toc23861"/>
      <w:bookmarkStart w:id="1644" w:name="_Toc25592"/>
      <w:bookmarkStart w:id="1645" w:name="_Toc24331"/>
      <w:bookmarkStart w:id="1646" w:name="_Toc10087"/>
      <w:bookmarkStart w:id="1647" w:name="_Toc234833207"/>
      <w:r>
        <w:rPr>
          <w:rFonts w:hint="default" w:ascii="Times New Roman" w:hAnsi="Times New Roman" w:eastAsia="黑体" w:cs="Times New Roman"/>
          <w:b w:val="0"/>
          <w:color w:val="auto"/>
          <w:sz w:val="28"/>
          <w:szCs w:val="28"/>
          <w:highlight w:val="none"/>
        </w:rPr>
        <w:t>21. 不可抗力</w:t>
      </w:r>
      <w:bookmarkEnd w:id="1643"/>
      <w:bookmarkEnd w:id="1644"/>
      <w:bookmarkEnd w:id="1645"/>
      <w:bookmarkEnd w:id="1646"/>
      <w:bookmarkEnd w:id="1647"/>
    </w:p>
    <w:p w14:paraId="6841AAA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48" w:name="_Toc234833208"/>
      <w:bookmarkStart w:id="1649" w:name="_Toc1192"/>
      <w:bookmarkStart w:id="1650" w:name="_Toc30052"/>
      <w:bookmarkStart w:id="1651" w:name="_Toc31397"/>
      <w:bookmarkStart w:id="1652" w:name="_Toc25698"/>
      <w:r>
        <w:rPr>
          <w:rFonts w:hint="default" w:ascii="Times New Roman" w:hAnsi="Times New Roman" w:eastAsia="黑体" w:cs="Times New Roman"/>
          <w:b w:val="0"/>
          <w:color w:val="auto"/>
          <w:sz w:val="24"/>
          <w:szCs w:val="24"/>
          <w:highlight w:val="none"/>
        </w:rPr>
        <w:t>21.1 不可抗力的确认</w:t>
      </w:r>
      <w:bookmarkEnd w:id="1648"/>
      <w:bookmarkEnd w:id="1649"/>
      <w:bookmarkEnd w:id="1650"/>
      <w:bookmarkEnd w:id="1651"/>
      <w:bookmarkEnd w:id="1652"/>
    </w:p>
    <w:p w14:paraId="2FD5635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第21.1.1项细化为：</w:t>
      </w:r>
    </w:p>
    <w:p w14:paraId="115751D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不可抗力是指承包人和发包人在订立合同时不可预见，在工程施工过程中不可避免发生并不能克服的自然灾害和社会性突发事件。包括但不限于：</w:t>
      </w:r>
    </w:p>
    <w:p w14:paraId="71DE94B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（1）地震、海啸、火山爆发、泥石流、暴雨（雪）、台风、龙卷风、水灾等自然灾害；</w:t>
      </w:r>
    </w:p>
    <w:p w14:paraId="4EC4517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（2）战争、骚乱、暴动，但纯属承包人或其分包人派遣与雇用的人员由于本合同工程施工原因引起者除外；</w:t>
      </w:r>
    </w:p>
    <w:p w14:paraId="23877B8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（3）核反应、辐射或放射性污染；</w:t>
      </w:r>
    </w:p>
    <w:p w14:paraId="58C0EDF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（4）空中飞行物体坠落或非发包人或承包人责任造成的爆炸、火灾；</w:t>
      </w:r>
    </w:p>
    <w:p w14:paraId="4B2C14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（5）瘟疫；</w:t>
      </w:r>
    </w:p>
    <w:p w14:paraId="77C22B4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（6）项目专用合同条款约定的其他情形。</w:t>
      </w:r>
    </w:p>
    <w:p w14:paraId="4CB125F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53" w:name="_Toc5219"/>
      <w:bookmarkStart w:id="1654" w:name="_Toc26115"/>
      <w:bookmarkStart w:id="1655" w:name="_Toc234833209"/>
      <w:bookmarkStart w:id="1656" w:name="_Toc30802"/>
      <w:bookmarkStart w:id="1657" w:name="_Toc1492"/>
      <w:r>
        <w:rPr>
          <w:rFonts w:hint="default" w:ascii="Times New Roman" w:hAnsi="Times New Roman" w:eastAsia="黑体" w:cs="Times New Roman"/>
          <w:b w:val="0"/>
          <w:color w:val="auto"/>
          <w:sz w:val="24"/>
          <w:szCs w:val="24"/>
          <w:highlight w:val="none"/>
        </w:rPr>
        <w:t>21.3 不可抗力后果及其处理</w:t>
      </w:r>
      <w:bookmarkEnd w:id="1653"/>
      <w:bookmarkEnd w:id="1654"/>
      <w:bookmarkEnd w:id="1655"/>
      <w:bookmarkEnd w:id="1656"/>
      <w:bookmarkEnd w:id="1657"/>
    </w:p>
    <w:p w14:paraId="7279F875">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21.3.4 </w:t>
      </w:r>
      <w:r>
        <w:rPr>
          <w:rFonts w:hint="default" w:ascii="Times New Roman" w:hAnsi="Times New Roman" w:eastAsia="黑体" w:cs="Times New Roman"/>
          <w:color w:val="auto"/>
          <w:sz w:val="24"/>
          <w:highlight w:val="none"/>
        </w:rPr>
        <w:t>因不可抗力解除合同</w:t>
      </w:r>
    </w:p>
    <w:p w14:paraId="79911E2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61F0B32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4C086585">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58" w:name="_Toc14650"/>
      <w:bookmarkStart w:id="1659" w:name="_Toc23055"/>
      <w:bookmarkStart w:id="1660" w:name="_Toc234833210"/>
      <w:bookmarkStart w:id="1661" w:name="_Toc3129"/>
      <w:bookmarkStart w:id="1662" w:name="_Toc18919"/>
      <w:r>
        <w:rPr>
          <w:rFonts w:hint="default" w:ascii="Times New Roman" w:hAnsi="Times New Roman" w:eastAsia="黑体" w:cs="Times New Roman"/>
          <w:b w:val="0"/>
          <w:color w:val="auto"/>
          <w:sz w:val="28"/>
          <w:szCs w:val="28"/>
          <w:highlight w:val="none"/>
        </w:rPr>
        <w:t>22. 违约</w:t>
      </w:r>
      <w:bookmarkEnd w:id="1658"/>
      <w:bookmarkEnd w:id="1659"/>
      <w:bookmarkEnd w:id="1660"/>
      <w:bookmarkEnd w:id="1661"/>
      <w:bookmarkEnd w:id="1662"/>
    </w:p>
    <w:p w14:paraId="5F17014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63" w:name="_Toc3439"/>
      <w:bookmarkStart w:id="1664" w:name="_Toc6115"/>
      <w:bookmarkStart w:id="1665" w:name="_Toc1580"/>
      <w:bookmarkStart w:id="1666" w:name="_Toc7490"/>
      <w:bookmarkStart w:id="1667" w:name="_Toc234833211"/>
      <w:r>
        <w:rPr>
          <w:rFonts w:hint="default" w:ascii="Times New Roman" w:hAnsi="Times New Roman" w:eastAsia="黑体" w:cs="Times New Roman"/>
          <w:b w:val="0"/>
          <w:color w:val="auto"/>
          <w:sz w:val="24"/>
          <w:szCs w:val="24"/>
          <w:highlight w:val="none"/>
        </w:rPr>
        <w:t>22.1 承包人违约</w:t>
      </w:r>
      <w:bookmarkEnd w:id="1663"/>
      <w:bookmarkEnd w:id="1664"/>
      <w:bookmarkEnd w:id="1665"/>
      <w:bookmarkEnd w:id="1666"/>
      <w:bookmarkEnd w:id="1667"/>
    </w:p>
    <w:p w14:paraId="58B3530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22.1.1 </w:t>
      </w:r>
      <w:r>
        <w:rPr>
          <w:rFonts w:hint="default" w:ascii="Times New Roman" w:hAnsi="Times New Roman" w:eastAsia="黑体" w:cs="Times New Roman"/>
          <w:color w:val="auto"/>
          <w:sz w:val="24"/>
          <w:highlight w:val="none"/>
        </w:rPr>
        <w:t>承包人违约的情形</w:t>
      </w:r>
    </w:p>
    <w:p w14:paraId="4D6E883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5884F1B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（2）承包人违反第5.3款或第6.4款的约定，未经监理人批准，私自将已按合同约定进入施工场地的施工设备、临时设施、材料或工程设备撤离施工场地；</w:t>
      </w:r>
    </w:p>
    <w:p w14:paraId="57F8FEB1">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本项（7）目细化为：</w:t>
      </w:r>
    </w:p>
    <w:p w14:paraId="7AAA2DC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（7）承包人未能按期开工；</w:t>
      </w:r>
    </w:p>
    <w:p w14:paraId="0689926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（8）承包人违反第4.6款或第6.3款的规定，未按承诺或未按监理人的要求及时配备称职的主要管理人员、技术骨干或关键施工设备；</w:t>
      </w:r>
    </w:p>
    <w:p w14:paraId="08157AA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（9）经监理人和发包人检查，发现承包人有安全问题或有违反安全管理规章制度的情况；</w:t>
      </w:r>
    </w:p>
    <w:p w14:paraId="1C7E36B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（10）承包人不按合同约定履行义务的其他情况。</w:t>
      </w:r>
    </w:p>
    <w:p w14:paraId="09E635F8">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22.1.2 </w:t>
      </w:r>
      <w:r>
        <w:rPr>
          <w:rFonts w:hint="default" w:ascii="Times New Roman" w:hAnsi="Times New Roman" w:eastAsia="黑体" w:cs="Times New Roman"/>
          <w:color w:val="auto"/>
          <w:sz w:val="24"/>
          <w:highlight w:val="none"/>
        </w:rPr>
        <w:t>对承包人违约的处理</w:t>
      </w:r>
    </w:p>
    <w:p w14:paraId="16719A9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本项补充：</w:t>
      </w:r>
    </w:p>
    <w:p w14:paraId="1490A976">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（4）承包人发生第22.1.1项约定的违约情况时，无论发包人是否解除合同，发包人均有权向承包人课以项目专用合同条款中规定的违约金，并由发包人将其违约行为上报省级交通运输主管部门，作为不良记录纳入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2E7CFAD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68" w:name="_Toc234833212"/>
      <w:bookmarkStart w:id="1669" w:name="_Toc15822"/>
      <w:bookmarkStart w:id="1670" w:name="_Toc29380"/>
      <w:bookmarkStart w:id="1671" w:name="_Toc30636"/>
      <w:bookmarkStart w:id="1672" w:name="_Toc3432"/>
      <w:r>
        <w:rPr>
          <w:rFonts w:hint="default" w:ascii="Times New Roman" w:hAnsi="Times New Roman" w:eastAsia="黑体" w:cs="Times New Roman"/>
          <w:b w:val="0"/>
          <w:color w:val="auto"/>
          <w:sz w:val="24"/>
          <w:szCs w:val="24"/>
          <w:highlight w:val="none"/>
        </w:rPr>
        <w:t>22.2 发包人违约</w:t>
      </w:r>
      <w:bookmarkEnd w:id="1668"/>
      <w:bookmarkEnd w:id="1669"/>
      <w:bookmarkEnd w:id="1670"/>
      <w:bookmarkEnd w:id="1671"/>
      <w:bookmarkEnd w:id="1672"/>
    </w:p>
    <w:p w14:paraId="42ED34D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22.2.1</w:t>
      </w:r>
      <w:r>
        <w:rPr>
          <w:rFonts w:hint="default" w:ascii="Times New Roman" w:hAnsi="Times New Roman" w:eastAsia="黑体" w:cs="Times New Roman"/>
          <w:color w:val="auto"/>
          <w:sz w:val="24"/>
          <w:highlight w:val="none"/>
        </w:rPr>
        <w:t>发包人违约的情形</w:t>
      </w:r>
    </w:p>
    <w:p w14:paraId="0ABC4E7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本项（5）目细化为：</w:t>
      </w:r>
    </w:p>
    <w:p w14:paraId="198BEF5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（5）发包人无正当理由不按时返还履约保证金、质量保证金或农民工工资保证金的；</w:t>
      </w:r>
    </w:p>
    <w:p w14:paraId="2954846B">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（6）发包人不履行合同约定其他义务的。</w:t>
      </w:r>
    </w:p>
    <w:p w14:paraId="06C28B51">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22.2.2 </w:t>
      </w:r>
      <w:r>
        <w:rPr>
          <w:rFonts w:hint="default" w:ascii="Times New Roman" w:hAnsi="Times New Roman" w:eastAsia="黑体" w:cs="Times New Roman"/>
          <w:color w:val="auto"/>
          <w:sz w:val="24"/>
          <w:highlight w:val="none"/>
        </w:rPr>
        <w:t>承包人有权暂停施工</w:t>
      </w:r>
    </w:p>
    <w:p w14:paraId="3C18A02B">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本项细化为：</w:t>
      </w:r>
    </w:p>
    <w:p w14:paraId="43A8EB10">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D9D9F4D">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450B1937">
      <w:pPr>
        <w:pageBreakBefore w:val="0"/>
        <w:kinsoku/>
        <w:wordWrap w:val="0"/>
        <w:bidi w:val="0"/>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22.2.4</w:t>
      </w:r>
      <w:r>
        <w:rPr>
          <w:rFonts w:hint="default" w:ascii="Times New Roman" w:hAnsi="Times New Roman" w:eastAsia="黑体" w:cs="Times New Roman"/>
          <w:color w:val="auto"/>
          <w:sz w:val="24"/>
          <w:highlight w:val="none"/>
        </w:rPr>
        <w:t xml:space="preserve"> 解除合同后的付款</w:t>
      </w:r>
    </w:p>
    <w:p w14:paraId="5D7510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本项（2）目细化为：</w:t>
      </w:r>
    </w:p>
    <w:p w14:paraId="2196FF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（2）承包人为该工程施工订购并已付款的材料、工程设备和其他物品的金额。发包人付款后，该材料、工程设备和其他物品归发包人所有；</w:t>
      </w:r>
    </w:p>
    <w:p w14:paraId="5CC9B63B">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73" w:name="_Toc4428"/>
      <w:bookmarkStart w:id="1674" w:name="_Toc234833213"/>
      <w:bookmarkStart w:id="1675" w:name="_Toc1579"/>
      <w:bookmarkStart w:id="1676" w:name="_Toc26887"/>
      <w:bookmarkStart w:id="1677" w:name="_Toc27505"/>
      <w:r>
        <w:rPr>
          <w:rFonts w:hint="default" w:ascii="Times New Roman" w:hAnsi="Times New Roman" w:eastAsia="黑体" w:cs="Times New Roman"/>
          <w:b w:val="0"/>
          <w:color w:val="auto"/>
          <w:sz w:val="28"/>
          <w:szCs w:val="28"/>
          <w:highlight w:val="none"/>
        </w:rPr>
        <w:t>23. 索赔</w:t>
      </w:r>
      <w:bookmarkEnd w:id="1673"/>
      <w:bookmarkEnd w:id="1674"/>
      <w:bookmarkEnd w:id="1675"/>
      <w:bookmarkEnd w:id="1676"/>
      <w:bookmarkEnd w:id="1677"/>
    </w:p>
    <w:p w14:paraId="0181996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78" w:name="_Toc16220"/>
      <w:bookmarkStart w:id="1679" w:name="_Toc5503"/>
      <w:bookmarkStart w:id="1680" w:name="_Toc1551"/>
      <w:bookmarkStart w:id="1681" w:name="_Toc7676"/>
      <w:bookmarkStart w:id="1682" w:name="_Toc234833214"/>
      <w:r>
        <w:rPr>
          <w:rFonts w:hint="default" w:ascii="Times New Roman" w:hAnsi="Times New Roman" w:eastAsia="黑体" w:cs="Times New Roman"/>
          <w:b w:val="0"/>
          <w:color w:val="auto"/>
          <w:sz w:val="24"/>
          <w:szCs w:val="24"/>
          <w:highlight w:val="none"/>
        </w:rPr>
        <w:t>23.1 承包人索赔的提出</w:t>
      </w:r>
      <w:bookmarkEnd w:id="1678"/>
      <w:bookmarkEnd w:id="1679"/>
      <w:bookmarkEnd w:id="1680"/>
      <w:bookmarkEnd w:id="1681"/>
      <w:bookmarkEnd w:id="1682"/>
    </w:p>
    <w:p w14:paraId="5AB34CE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本款第（4）项细化为：</w:t>
      </w:r>
    </w:p>
    <w:p w14:paraId="4BC7FD5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（4）在索赔事件影响结束后的28天内，承包人应向监理人递交最终索赔通知书，说明最终要求索赔的追加付款金额和（或）延长的工期，并附必要的记录和证明材料。</w:t>
      </w:r>
    </w:p>
    <w:p w14:paraId="731A134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83" w:name="_Toc29342"/>
      <w:bookmarkStart w:id="1684" w:name="_Toc12793"/>
      <w:bookmarkStart w:id="1685" w:name="_Toc16608"/>
      <w:bookmarkStart w:id="1686" w:name="_Toc26842"/>
      <w:bookmarkStart w:id="1687" w:name="_Toc234833215"/>
      <w:r>
        <w:rPr>
          <w:rFonts w:hint="default" w:ascii="Times New Roman" w:hAnsi="Times New Roman" w:eastAsia="黑体" w:cs="Times New Roman"/>
          <w:b w:val="0"/>
          <w:color w:val="auto"/>
          <w:sz w:val="24"/>
          <w:szCs w:val="24"/>
          <w:highlight w:val="none"/>
        </w:rPr>
        <w:t>23.2 承包人索赔处理程序</w:t>
      </w:r>
      <w:bookmarkEnd w:id="1683"/>
      <w:bookmarkEnd w:id="1684"/>
      <w:bookmarkEnd w:id="1685"/>
      <w:bookmarkEnd w:id="1686"/>
      <w:bookmarkEnd w:id="1687"/>
    </w:p>
    <w:p w14:paraId="1A18CBA9">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本款第（2）项细化为：</w:t>
      </w:r>
    </w:p>
    <w:p w14:paraId="38E6B5D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089D9D99">
      <w:pPr>
        <w:pStyle w:val="2"/>
        <w:pageBreakBefore w:val="0"/>
        <w:kinsoku/>
        <w:wordWrap w:val="0"/>
        <w:bidi w:val="0"/>
        <w:spacing w:before="480" w:after="240" w:line="380" w:lineRule="atLeast"/>
        <w:outlineLvl w:val="2"/>
        <w:rPr>
          <w:rFonts w:hint="default" w:ascii="Times New Roman" w:hAnsi="Times New Roman" w:eastAsia="黑体" w:cs="Times New Roman"/>
          <w:b w:val="0"/>
          <w:color w:val="auto"/>
          <w:sz w:val="28"/>
          <w:szCs w:val="28"/>
          <w:highlight w:val="none"/>
        </w:rPr>
      </w:pPr>
      <w:bookmarkStart w:id="1688" w:name="_Toc234833216"/>
      <w:bookmarkStart w:id="1689" w:name="_Toc18247"/>
      <w:bookmarkStart w:id="1690" w:name="_Toc30770"/>
      <w:bookmarkStart w:id="1691" w:name="_Toc11561"/>
      <w:bookmarkStart w:id="1692" w:name="_Toc18749"/>
      <w:r>
        <w:rPr>
          <w:rFonts w:hint="default" w:ascii="Times New Roman" w:hAnsi="Times New Roman" w:eastAsia="黑体" w:cs="Times New Roman"/>
          <w:b w:val="0"/>
          <w:color w:val="auto"/>
          <w:sz w:val="28"/>
          <w:szCs w:val="28"/>
          <w:highlight w:val="none"/>
        </w:rPr>
        <w:t>24. 争议的解决</w:t>
      </w:r>
      <w:bookmarkEnd w:id="1688"/>
      <w:bookmarkEnd w:id="1689"/>
      <w:bookmarkEnd w:id="1690"/>
      <w:bookmarkEnd w:id="1691"/>
      <w:bookmarkEnd w:id="1692"/>
    </w:p>
    <w:p w14:paraId="7F6C5E2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93" w:name="_Toc29697"/>
      <w:bookmarkStart w:id="1694" w:name="_Toc18858"/>
      <w:bookmarkStart w:id="1695" w:name="_Toc3289"/>
      <w:bookmarkStart w:id="1696" w:name="_Toc234833217"/>
      <w:bookmarkStart w:id="1697" w:name="_Toc26371"/>
      <w:r>
        <w:rPr>
          <w:rFonts w:hint="default" w:ascii="Times New Roman" w:hAnsi="Times New Roman" w:eastAsia="黑体" w:cs="Times New Roman"/>
          <w:b w:val="0"/>
          <w:color w:val="auto"/>
          <w:sz w:val="24"/>
          <w:szCs w:val="24"/>
          <w:highlight w:val="none"/>
        </w:rPr>
        <w:t>24.3 争议评审</w:t>
      </w:r>
      <w:bookmarkEnd w:id="1693"/>
      <w:bookmarkEnd w:id="1694"/>
      <w:bookmarkEnd w:id="1695"/>
      <w:bookmarkEnd w:id="1696"/>
      <w:bookmarkEnd w:id="1697"/>
    </w:p>
    <w:p w14:paraId="0037B1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第24.3.1项补充：</w:t>
      </w:r>
    </w:p>
    <w:p w14:paraId="3E45568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6202AFE">
      <w:pPr>
        <w:pageBreakBefore w:val="0"/>
        <w:kinsoku/>
        <w:wordWrap w:val="0"/>
        <w:bidi w:val="0"/>
        <w:spacing w:before="240" w:beforeLines="100" w:line="400" w:lineRule="atLeast"/>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本条补充第24.4款、第24.5款（适用于采用仲裁方式最终解决争议的项目）：</w:t>
      </w:r>
    </w:p>
    <w:p w14:paraId="4E65CEB5">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698" w:name="_Toc234833218"/>
      <w:bookmarkStart w:id="1699" w:name="_Toc13339"/>
      <w:bookmarkStart w:id="1700" w:name="_Toc24990"/>
      <w:bookmarkStart w:id="1701" w:name="_Toc32419"/>
      <w:bookmarkStart w:id="1702" w:name="_Toc22012"/>
      <w:r>
        <w:rPr>
          <w:rFonts w:hint="default" w:ascii="Times New Roman" w:hAnsi="Times New Roman" w:eastAsia="黑体" w:cs="Times New Roman"/>
          <w:b w:val="0"/>
          <w:color w:val="auto"/>
          <w:sz w:val="24"/>
          <w:szCs w:val="24"/>
          <w:highlight w:val="none"/>
        </w:rPr>
        <w:t>24.4 仲裁</w:t>
      </w:r>
      <w:bookmarkEnd w:id="1698"/>
      <w:bookmarkEnd w:id="1699"/>
      <w:bookmarkEnd w:id="1700"/>
      <w:bookmarkEnd w:id="1701"/>
      <w:bookmarkEnd w:id="1702"/>
    </w:p>
    <w:p w14:paraId="5B5974E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（1）对于未能友好解决或未能通过争议评审解决的争议，发包人或承包人任一方均有权提交给第24.1款约定的仲裁委员会仲裁。</w:t>
      </w:r>
    </w:p>
    <w:p w14:paraId="367967C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060B0B0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（3）仲裁裁决是终局性的并对发包人和承包人双方具有约束力。</w:t>
      </w:r>
    </w:p>
    <w:p w14:paraId="2B88787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（4）全部仲裁费用应由败诉方承担；或按仲裁委员会裁决的比例分担。</w:t>
      </w:r>
    </w:p>
    <w:p w14:paraId="3540E75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03" w:name="_Toc9071"/>
      <w:bookmarkStart w:id="1704" w:name="_Toc30469"/>
      <w:bookmarkStart w:id="1705" w:name="_Toc234833219"/>
      <w:bookmarkStart w:id="1706" w:name="_Toc2028"/>
      <w:bookmarkStart w:id="1707" w:name="_Toc20967"/>
      <w:r>
        <w:rPr>
          <w:rFonts w:hint="default" w:ascii="Times New Roman" w:hAnsi="Times New Roman" w:eastAsia="黑体" w:cs="Times New Roman"/>
          <w:b w:val="0"/>
          <w:color w:val="auto"/>
          <w:sz w:val="24"/>
          <w:szCs w:val="24"/>
          <w:highlight w:val="none"/>
        </w:rPr>
        <w:t>24.5 仲裁的执行</w:t>
      </w:r>
      <w:bookmarkEnd w:id="1703"/>
      <w:bookmarkEnd w:id="1704"/>
      <w:bookmarkEnd w:id="1705"/>
      <w:bookmarkEnd w:id="1706"/>
      <w:bookmarkEnd w:id="1707"/>
    </w:p>
    <w:p w14:paraId="1BBF0813">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（1）任何一方不履行仲裁机构的裁决的，对方可以向有管辖权的人民法院申请执行。</w:t>
      </w:r>
    </w:p>
    <w:p w14:paraId="261738E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0BF159E0">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4"/>
          <w:highlight w:val="none"/>
        </w:rPr>
        <w:br w:type="page"/>
      </w:r>
      <w:bookmarkStart w:id="1708" w:name="_Toc10610"/>
      <w:bookmarkStart w:id="1709" w:name="_Toc234833220"/>
      <w:bookmarkStart w:id="1710" w:name="_Toc3230"/>
      <w:r>
        <w:rPr>
          <w:rFonts w:hint="default" w:ascii="Times New Roman" w:hAnsi="Times New Roman" w:eastAsia="黑体" w:cs="Times New Roman"/>
          <w:b w:val="0"/>
          <w:color w:val="auto"/>
          <w:sz w:val="32"/>
          <w:szCs w:val="32"/>
          <w:highlight w:val="none"/>
        </w:rPr>
        <w:t>B. 项目专用合同条款</w:t>
      </w:r>
      <w:bookmarkEnd w:id="1708"/>
      <w:bookmarkEnd w:id="1709"/>
      <w:bookmarkEnd w:id="1710"/>
    </w:p>
    <w:p w14:paraId="46251C5F">
      <w:pPr>
        <w:pageBreakBefore w:val="0"/>
        <w:kinsoku/>
        <w:wordWrap w:val="0"/>
        <w:bidi w:val="0"/>
        <w:spacing w:line="440" w:lineRule="exact"/>
        <w:rPr>
          <w:rFonts w:hint="default" w:ascii="Times New Roman" w:hAnsi="Times New Roman" w:eastAsia="黑体" w:cs="Times New Roman"/>
          <w:color w:val="auto"/>
          <w:sz w:val="27"/>
          <w:szCs w:val="27"/>
          <w:highlight w:val="none"/>
        </w:rPr>
      </w:pPr>
    </w:p>
    <w:p w14:paraId="73610985">
      <w:pPr>
        <w:pStyle w:val="17"/>
        <w:pageBreakBefore w:val="0"/>
        <w:kinsoku/>
        <w:wordWrap w:val="0"/>
        <w:bidi w:val="0"/>
        <w:snapToGrid w:val="0"/>
        <w:spacing w:line="400" w:lineRule="atLeast"/>
        <w:ind w:left="0" w:leftChars="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  明：</w:t>
      </w:r>
    </w:p>
    <w:p w14:paraId="45FEAB90">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1.招标人在根据《</w:t>
      </w:r>
      <w:r>
        <w:rPr>
          <w:rFonts w:hint="default" w:ascii="Times New Roman" w:hAnsi="Times New Roman" w:eastAsia="楷体_GB2312" w:cs="Times New Roman"/>
          <w:color w:val="auto"/>
          <w:sz w:val="24"/>
          <w:highlight w:val="none"/>
          <w:lang w:val="en-US" w:eastAsia="zh-CN"/>
        </w:rPr>
        <w:t>标准文件</w:t>
      </w:r>
      <w:r>
        <w:rPr>
          <w:rFonts w:hint="default" w:ascii="Times New Roman" w:hAnsi="Times New Roman" w:eastAsia="楷体_GB2312" w:cs="Times New Roman"/>
          <w:color w:val="auto"/>
          <w:sz w:val="24"/>
          <w:highlight w:val="none"/>
        </w:rPr>
        <w:t>》编制项目招标文件中的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时，可根据招标项目的具体特点和实际需要，对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进行补充和细化，除</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可作出不同约定以及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明确</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可作出不同约定外，补充和细化的内容不得与</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及</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强制性规定相抵触。补充、细化或约定的内容，不得违反法律、行政法规的强制性规定和平等、自愿、公平和诚实信用原则。</w:t>
      </w:r>
    </w:p>
    <w:p w14:paraId="6D6AA819">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2.项目专用合同条款的编号应与通用合同条款和公路工程专用合同条款一致。</w:t>
      </w:r>
    </w:p>
    <w:p w14:paraId="65AD9544">
      <w:pPr>
        <w:pStyle w:val="17"/>
        <w:pageBreakBefore w:val="0"/>
        <w:kinsoku/>
        <w:wordWrap w:val="0"/>
        <w:bidi w:val="0"/>
        <w:snapToGrid w:val="0"/>
        <w:spacing w:line="400" w:lineRule="atLeast"/>
        <w:ind w:left="0" w:leftChars="0" w:firstLine="720" w:firstLineChars="300"/>
        <w:outlineLvl w:val="9"/>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3.项目专用合同条款可对下列内容进行补充和细化：</w:t>
      </w:r>
    </w:p>
    <w:p w14:paraId="1A7E34E9">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（1）</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通用合同条款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应按合同约定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应按专用合同条款约定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除合同另有约定外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在专用合同条款中约定</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67FEB3E0">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（2）</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中明确指出</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进行修改的内容（在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中用</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除项目专用合同条款另有约定外</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项目专用合同条款可能约定的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项目专用合同条款约定的其他情形</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等多种文字形式表达）。</w:t>
      </w:r>
    </w:p>
    <w:p w14:paraId="227A4894">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color w:val="auto"/>
          <w:sz w:val="24"/>
          <w:highlight w:val="none"/>
        </w:rPr>
      </w:pPr>
      <w:r>
        <w:rPr>
          <w:rFonts w:hint="default" w:ascii="Times New Roman" w:hAnsi="Times New Roman" w:eastAsia="楷体_GB2312" w:cs="Times New Roman"/>
          <w:color w:val="auto"/>
          <w:sz w:val="24"/>
          <w:highlight w:val="none"/>
        </w:rPr>
        <w:t>（3）其他需要补充、细化的内容。</w:t>
      </w:r>
    </w:p>
    <w:p w14:paraId="7E75D16B">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color w:val="auto"/>
          <w:sz w:val="24"/>
          <w:highlight w:val="none"/>
        </w:rPr>
      </w:pPr>
    </w:p>
    <w:p w14:paraId="2002AAE2">
      <w:pPr>
        <w:pageBreakBefore w:val="0"/>
        <w:kinsoku/>
        <w:wordWrap w:val="0"/>
        <w:bidi w:val="0"/>
        <w:spacing w:before="240" w:after="240" w:line="380" w:lineRule="atLeast"/>
        <w:jc w:val="center"/>
        <w:outlineLvl w:val="9"/>
        <w:rPr>
          <w:rFonts w:hint="default" w:ascii="Times New Roman" w:hAnsi="Times New Roman" w:eastAsia="黑体" w:cs="Times New Roman"/>
          <w:b w:val="0"/>
          <w:color w:val="auto"/>
          <w:sz w:val="32"/>
          <w:szCs w:val="32"/>
          <w:highlight w:val="none"/>
        </w:rPr>
      </w:pPr>
      <w:r>
        <w:rPr>
          <w:rFonts w:hint="default" w:ascii="Times New Roman" w:hAnsi="Times New Roman" w:eastAsia="黑体" w:cs="Times New Roman"/>
          <w:color w:val="auto"/>
          <w:sz w:val="28"/>
          <w:highlight w:val="none"/>
        </w:rPr>
        <w:br w:type="page"/>
      </w:r>
      <w:bookmarkStart w:id="1711" w:name="_Toc21057"/>
      <w:bookmarkStart w:id="1712" w:name="_Toc30237"/>
      <w:bookmarkStart w:id="1713" w:name="_Toc234833221"/>
      <w:bookmarkStart w:id="1714" w:name="_Toc7284"/>
      <w:r>
        <w:rPr>
          <w:rFonts w:hint="default" w:ascii="Times New Roman" w:hAnsi="Times New Roman" w:eastAsia="黑体" w:cs="Times New Roman"/>
          <w:b w:val="0"/>
          <w:color w:val="auto"/>
          <w:sz w:val="32"/>
          <w:szCs w:val="32"/>
          <w:highlight w:val="none"/>
        </w:rPr>
        <w:t>项目专用合同条款数据表</w:t>
      </w:r>
      <w:bookmarkEnd w:id="1711"/>
      <w:bookmarkEnd w:id="1712"/>
      <w:bookmarkEnd w:id="1713"/>
      <w:bookmarkEnd w:id="1714"/>
    </w:p>
    <w:p w14:paraId="5F56DA33">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本数据表是项目专用合同条款中适用于本项目的信息和数据的归纳与提示，是项目专用合同条款的组成部分。第九章</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投标文件格式</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的投标函附录中的数据（供投标人确认）与本表所列有重复。编写招标文件的单位应仔细校核，不使数据出现差错或不一致。</w:t>
      </w:r>
    </w:p>
    <w:p w14:paraId="0B8EC5F7">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color w:val="auto"/>
          <w:sz w:val="24"/>
          <w:highlight w:val="none"/>
        </w:rPr>
      </w:pPr>
    </w:p>
    <w:tbl>
      <w:tblPr>
        <w:tblStyle w:val="93"/>
        <w:tblW w:w="88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936"/>
        <w:gridCol w:w="7226"/>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657" w:type="dxa"/>
            <w:tcBorders>
              <w:left w:val="single" w:color="000000" w:sz="6" w:space="0"/>
            </w:tcBorders>
            <w:vAlign w:val="center"/>
          </w:tcPr>
          <w:p w14:paraId="21262F8F">
            <w:pPr>
              <w:snapToGrid w:val="0"/>
              <w:spacing w:before="134" w:line="240" w:lineRule="auto"/>
              <w:ind w:left="0" w:leftChars="0" w:right="0" w:rightChars="0" w:firstLine="0" w:firstLineChars="0"/>
              <w:jc w:val="center"/>
              <w:rPr>
                <w:rFonts w:hint="eastAsia" w:ascii="宋体" w:hAnsi="宋体" w:eastAsia="宋体" w:cs="宋体"/>
                <w:b/>
                <w:sz w:val="21"/>
                <w:szCs w:val="21"/>
              </w:rPr>
            </w:pPr>
            <w:r>
              <w:rPr>
                <w:rFonts w:hint="eastAsia" w:ascii="宋体" w:hAnsi="宋体" w:eastAsia="宋体" w:cs="宋体"/>
                <w:b/>
                <w:spacing w:val="5"/>
                <w:sz w:val="21"/>
                <w:szCs w:val="21"/>
              </w:rPr>
              <w:t>序</w:t>
            </w:r>
            <w:r>
              <w:rPr>
                <w:rFonts w:hint="eastAsia" w:ascii="宋体" w:hAnsi="宋体" w:eastAsia="宋体" w:cs="宋体"/>
                <w:b/>
                <w:spacing w:val="4"/>
                <w:sz w:val="21"/>
                <w:szCs w:val="21"/>
              </w:rPr>
              <w:t>号</w:t>
            </w:r>
          </w:p>
        </w:tc>
        <w:tc>
          <w:tcPr>
            <w:tcW w:w="936" w:type="dxa"/>
            <w:vAlign w:val="center"/>
          </w:tcPr>
          <w:p w14:paraId="1720952B">
            <w:pPr>
              <w:snapToGrid w:val="0"/>
              <w:spacing w:before="134" w:line="240" w:lineRule="auto"/>
              <w:ind w:left="0" w:leftChars="0" w:right="0" w:rightChars="0" w:firstLine="0" w:firstLineChars="0"/>
              <w:jc w:val="center"/>
              <w:rPr>
                <w:rFonts w:hint="eastAsia" w:ascii="宋体" w:hAnsi="宋体" w:eastAsia="宋体" w:cs="宋体"/>
                <w:b/>
                <w:sz w:val="21"/>
                <w:szCs w:val="21"/>
              </w:rPr>
            </w:pPr>
            <w:r>
              <w:rPr>
                <w:rFonts w:hint="eastAsia" w:ascii="宋体" w:hAnsi="宋体" w:eastAsia="宋体" w:cs="宋体"/>
                <w:b/>
                <w:spacing w:val="7"/>
                <w:sz w:val="21"/>
                <w:szCs w:val="21"/>
              </w:rPr>
              <w:t>条</w:t>
            </w:r>
            <w:r>
              <w:rPr>
                <w:rFonts w:hint="eastAsia" w:ascii="宋体" w:hAnsi="宋体" w:eastAsia="宋体" w:cs="宋体"/>
                <w:b/>
                <w:spacing w:val="6"/>
                <w:sz w:val="21"/>
                <w:szCs w:val="21"/>
              </w:rPr>
              <w:t>目号</w:t>
            </w:r>
          </w:p>
        </w:tc>
        <w:tc>
          <w:tcPr>
            <w:tcW w:w="7226" w:type="dxa"/>
            <w:tcBorders>
              <w:right w:val="single" w:color="000000" w:sz="6" w:space="0"/>
            </w:tcBorders>
            <w:vAlign w:val="center"/>
          </w:tcPr>
          <w:p w14:paraId="4BFCAB44">
            <w:pPr>
              <w:snapToGrid w:val="0"/>
              <w:spacing w:before="134" w:line="240" w:lineRule="auto"/>
              <w:ind w:left="0" w:leftChars="0" w:right="0" w:rightChars="0" w:firstLine="0" w:firstLineChars="0"/>
              <w:jc w:val="center"/>
              <w:rPr>
                <w:rFonts w:hint="eastAsia" w:ascii="宋体" w:hAnsi="宋体" w:eastAsia="宋体" w:cs="宋体"/>
                <w:b/>
                <w:sz w:val="21"/>
                <w:szCs w:val="21"/>
              </w:rPr>
            </w:pPr>
            <w:r>
              <w:rPr>
                <w:rFonts w:hint="eastAsia" w:ascii="宋体" w:hAnsi="宋体" w:eastAsia="宋体" w:cs="宋体"/>
                <w:b/>
                <w:spacing w:val="8"/>
                <w:sz w:val="21"/>
                <w:szCs w:val="21"/>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D4E7892">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936" w:type="dxa"/>
            <w:vAlign w:val="center"/>
          </w:tcPr>
          <w:p w14:paraId="404D0480">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1.</w:t>
            </w:r>
            <w:r>
              <w:rPr>
                <w:rFonts w:hint="eastAsia" w:ascii="宋体" w:hAnsi="宋体" w:eastAsia="宋体" w:cs="宋体"/>
                <w:sz w:val="21"/>
                <w:szCs w:val="21"/>
              </w:rPr>
              <w:t>1.2.2</w:t>
            </w:r>
          </w:p>
        </w:tc>
        <w:tc>
          <w:tcPr>
            <w:tcW w:w="7226" w:type="dxa"/>
            <w:tcBorders>
              <w:right w:val="single" w:color="000000" w:sz="6" w:space="0"/>
            </w:tcBorders>
            <w:vAlign w:val="center"/>
          </w:tcPr>
          <w:p w14:paraId="5D3D6762">
            <w:pPr>
              <w:snapToGrid w:val="0"/>
              <w:spacing w:before="13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发</w:t>
            </w:r>
            <w:r>
              <w:rPr>
                <w:rFonts w:hint="eastAsia" w:ascii="宋体" w:hAnsi="宋体" w:eastAsia="宋体" w:cs="宋体"/>
                <w:spacing w:val="13"/>
                <w:sz w:val="21"/>
                <w:szCs w:val="21"/>
              </w:rPr>
              <w:t xml:space="preserve"> </w:t>
            </w:r>
            <w:r>
              <w:rPr>
                <w:rFonts w:hint="eastAsia" w:ascii="宋体" w:hAnsi="宋体" w:eastAsia="宋体" w:cs="宋体"/>
                <w:spacing w:val="8"/>
                <w:sz w:val="21"/>
                <w:szCs w:val="21"/>
              </w:rPr>
              <w:t>包 人：</w:t>
            </w:r>
            <w:r>
              <w:rPr>
                <w:rFonts w:hint="eastAsia" w:ascii="宋体" w:hAnsi="宋体" w:eastAsia="宋体" w:cs="宋体"/>
                <w:spacing w:val="8"/>
                <w:sz w:val="21"/>
                <w:szCs w:val="21"/>
                <w:u w:val="single" w:color="auto"/>
                <w:lang w:eastAsia="zh-CN"/>
              </w:rPr>
              <w:t>大石桥市交通运输事务中心</w:t>
            </w:r>
            <w:r>
              <w:rPr>
                <w:rFonts w:hint="eastAsia" w:ascii="宋体" w:hAnsi="宋体" w:eastAsia="宋体" w:cs="宋体"/>
                <w:sz w:val="21"/>
                <w:szCs w:val="21"/>
                <w:u w:val="single" w:color="auto"/>
              </w:rPr>
              <w:t xml:space="preserve"> </w:t>
            </w:r>
          </w:p>
          <w:p w14:paraId="3678A9E1">
            <w:pPr>
              <w:snapToGrid w:val="0"/>
              <w:spacing w:before="153" w:line="240" w:lineRule="auto"/>
              <w:ind w:left="0" w:leftChars="0" w:right="0" w:rightChars="0" w:firstLine="0" w:firstLineChars="0"/>
              <w:jc w:val="left"/>
              <w:rPr>
                <w:rFonts w:hint="eastAsia" w:ascii="宋体" w:hAnsi="宋体" w:eastAsia="宋体" w:cs="宋体"/>
                <w:sz w:val="21"/>
                <w:szCs w:val="21"/>
                <w:lang w:eastAsia="zh-CN"/>
              </w:rPr>
            </w:pPr>
            <w:r>
              <w:rPr>
                <w:rFonts w:hint="eastAsia" w:ascii="宋体" w:hAnsi="宋体" w:eastAsia="宋体" w:cs="宋体"/>
                <w:spacing w:val="9"/>
                <w:sz w:val="21"/>
                <w:szCs w:val="21"/>
              </w:rPr>
              <w:t>地</w:t>
            </w:r>
            <w:r>
              <w:rPr>
                <w:rFonts w:hint="eastAsia" w:ascii="宋体" w:hAnsi="宋体" w:eastAsia="宋体" w:cs="宋体"/>
                <w:spacing w:val="5"/>
                <w:sz w:val="21"/>
                <w:szCs w:val="21"/>
              </w:rPr>
              <w:t xml:space="preserve">    址：</w:t>
            </w:r>
            <w:r>
              <w:rPr>
                <w:rFonts w:hint="eastAsia" w:ascii="宋体" w:hAnsi="宋体" w:eastAsia="宋体" w:cs="宋体"/>
                <w:spacing w:val="5"/>
                <w:sz w:val="21"/>
                <w:szCs w:val="21"/>
                <w:u w:val="single" w:color="auto"/>
                <w:lang w:eastAsia="zh-CN"/>
              </w:rPr>
              <w:t>大石桥市哈大中路1号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9040CEF">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936" w:type="dxa"/>
            <w:vAlign w:val="center"/>
          </w:tcPr>
          <w:p w14:paraId="383B7085">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1.</w:t>
            </w:r>
            <w:r>
              <w:rPr>
                <w:rFonts w:hint="eastAsia" w:ascii="宋体" w:hAnsi="宋体" w:eastAsia="宋体" w:cs="宋体"/>
                <w:sz w:val="21"/>
                <w:szCs w:val="21"/>
              </w:rPr>
              <w:t>1.2.6</w:t>
            </w:r>
          </w:p>
        </w:tc>
        <w:tc>
          <w:tcPr>
            <w:tcW w:w="7226" w:type="dxa"/>
            <w:tcBorders>
              <w:right w:val="single" w:color="000000" w:sz="6" w:space="0"/>
            </w:tcBorders>
            <w:vAlign w:val="center"/>
          </w:tcPr>
          <w:p w14:paraId="361689BC">
            <w:pPr>
              <w:snapToGrid w:val="0"/>
              <w:spacing w:before="137"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6"/>
                <w:sz w:val="21"/>
                <w:szCs w:val="21"/>
              </w:rPr>
              <w:t>监</w:t>
            </w:r>
            <w:r>
              <w:rPr>
                <w:rFonts w:hint="eastAsia" w:ascii="宋体" w:hAnsi="宋体" w:eastAsia="宋体" w:cs="宋体"/>
                <w:spacing w:val="5"/>
                <w:sz w:val="21"/>
                <w:szCs w:val="21"/>
              </w:rPr>
              <w:t xml:space="preserve"> 理 人：</w:t>
            </w:r>
          </w:p>
          <w:p w14:paraId="79013F11">
            <w:pPr>
              <w:snapToGrid w:val="0"/>
              <w:spacing w:before="15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
                <w:sz w:val="21"/>
                <w:szCs w:val="21"/>
              </w:rPr>
              <w:t xml:space="preserve">地    址：                  </w:t>
            </w:r>
            <w:r>
              <w:rPr>
                <w:rFonts w:hint="eastAsia" w:ascii="宋体" w:hAnsi="宋体" w:eastAsia="宋体" w:cs="宋体"/>
                <w:sz w:val="21"/>
                <w:szCs w:val="21"/>
              </w:rPr>
              <w:t xml:space="preserve">   邮政编码：</w:t>
            </w:r>
          </w:p>
          <w:p w14:paraId="107630B9">
            <w:pPr>
              <w:snapToGrid w:val="0"/>
              <w:spacing w:before="15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4"/>
                <w:sz w:val="21"/>
                <w:szCs w:val="21"/>
              </w:rPr>
              <w:t>(</w:t>
            </w:r>
            <w:r>
              <w:rPr>
                <w:rFonts w:hint="eastAsia" w:ascii="宋体" w:hAnsi="宋体" w:eastAsia="宋体" w:cs="宋体"/>
                <w:spacing w:val="14"/>
                <w:sz w:val="21"/>
                <w:szCs w:val="21"/>
              </w:rPr>
              <w:t>发</w:t>
            </w:r>
            <w:r>
              <w:rPr>
                <w:rFonts w:hint="eastAsia" w:ascii="宋体" w:hAnsi="宋体" w:eastAsia="宋体" w:cs="宋体"/>
                <w:spacing w:val="12"/>
                <w:sz w:val="21"/>
                <w:szCs w:val="21"/>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1BBAAC06">
            <w:pPr>
              <w:snapToGrid w:val="0"/>
              <w:spacing w:before="131"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936" w:type="dxa"/>
            <w:vAlign w:val="center"/>
          </w:tcPr>
          <w:p w14:paraId="5AE8D278">
            <w:pPr>
              <w:snapToGrid w:val="0"/>
              <w:spacing w:before="131"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highlight w:val="red"/>
              </w:rPr>
              <w:t>1.1.3.14</w:t>
            </w:r>
          </w:p>
        </w:tc>
        <w:tc>
          <w:tcPr>
            <w:tcW w:w="7226" w:type="dxa"/>
            <w:tcBorders>
              <w:right w:val="single" w:color="000000" w:sz="6" w:space="0"/>
            </w:tcBorders>
            <w:vAlign w:val="center"/>
          </w:tcPr>
          <w:p w14:paraId="3DEF7AD2">
            <w:pPr>
              <w:snapToGrid w:val="0"/>
              <w:spacing w:before="138" w:line="240" w:lineRule="auto"/>
              <w:ind w:left="0" w:leftChars="0" w:right="0" w:rightChars="0" w:firstLine="0" w:firstLineChars="0"/>
              <w:jc w:val="left"/>
              <w:rPr>
                <w:rFonts w:hint="eastAsia" w:ascii="宋体" w:hAnsi="宋体" w:eastAsia="宋体" w:cs="宋体"/>
                <w:sz w:val="21"/>
                <w:szCs w:val="21"/>
                <w:highlight w:val="yellow"/>
              </w:rPr>
            </w:pPr>
            <w:r>
              <w:rPr>
                <w:rFonts w:hint="eastAsia" w:ascii="宋体" w:hAnsi="宋体" w:eastAsia="宋体" w:cs="宋体"/>
                <w:spacing w:val="20"/>
                <w:sz w:val="21"/>
                <w:szCs w:val="21"/>
                <w:highlight w:val="yellow"/>
              </w:rPr>
              <w:t>本</w:t>
            </w:r>
            <w:r>
              <w:rPr>
                <w:rFonts w:hint="eastAsia" w:ascii="宋体" w:hAnsi="宋体" w:eastAsia="宋体" w:cs="宋体"/>
                <w:spacing w:val="10"/>
                <w:sz w:val="21"/>
                <w:szCs w:val="21"/>
                <w:highlight w:val="yellow"/>
              </w:rPr>
              <w:t>工程的主体和关键性工作是指：</w:t>
            </w:r>
            <w:r>
              <w:rPr>
                <w:rFonts w:hint="eastAsia" w:ascii="宋体" w:hAnsi="宋体" w:eastAsia="宋体" w:cs="宋体"/>
                <w:spacing w:val="10"/>
                <w:sz w:val="21"/>
                <w:szCs w:val="21"/>
                <w:highlight w:val="yellow"/>
                <w:u w:val="single" w:color="auto"/>
              </w:rPr>
              <w:t>路面维修改造工程。</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755531E">
            <w:pPr>
              <w:snapToGrid w:val="0"/>
              <w:spacing w:before="129"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4</w:t>
            </w:r>
          </w:p>
        </w:tc>
        <w:tc>
          <w:tcPr>
            <w:tcW w:w="936" w:type="dxa"/>
            <w:vAlign w:val="center"/>
          </w:tcPr>
          <w:p w14:paraId="76110DD6">
            <w:pPr>
              <w:snapToGrid w:val="0"/>
              <w:spacing w:before="129"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1.</w:t>
            </w:r>
            <w:r>
              <w:rPr>
                <w:rFonts w:hint="eastAsia" w:ascii="宋体" w:hAnsi="宋体" w:eastAsia="宋体" w:cs="宋体"/>
                <w:sz w:val="21"/>
                <w:szCs w:val="21"/>
              </w:rPr>
              <w:t>1.4.5</w:t>
            </w:r>
          </w:p>
        </w:tc>
        <w:tc>
          <w:tcPr>
            <w:tcW w:w="7226" w:type="dxa"/>
            <w:tcBorders>
              <w:right w:val="single" w:color="000000" w:sz="6" w:space="0"/>
            </w:tcBorders>
            <w:vAlign w:val="center"/>
          </w:tcPr>
          <w:p w14:paraId="705EBBE5">
            <w:pPr>
              <w:snapToGrid w:val="0"/>
              <w:spacing w:before="139" w:line="240" w:lineRule="auto"/>
              <w:ind w:left="0" w:leftChars="0" w:right="0" w:rightChars="0" w:firstLine="0" w:firstLineChars="0"/>
              <w:jc w:val="left"/>
              <w:rPr>
                <w:rFonts w:hint="eastAsia" w:ascii="宋体" w:hAnsi="宋体" w:eastAsia="宋体" w:cs="宋体"/>
                <w:sz w:val="21"/>
                <w:szCs w:val="21"/>
                <w:highlight w:val="yellow"/>
              </w:rPr>
            </w:pPr>
            <w:r>
              <w:rPr>
                <w:rFonts w:hint="eastAsia" w:ascii="宋体" w:hAnsi="宋体" w:eastAsia="宋体" w:cs="宋体"/>
                <w:spacing w:val="8"/>
                <w:sz w:val="21"/>
                <w:szCs w:val="21"/>
                <w:highlight w:val="yellow"/>
              </w:rPr>
              <w:t>缺陷责任</w:t>
            </w:r>
            <w:r>
              <w:rPr>
                <w:rFonts w:hint="eastAsia" w:ascii="宋体" w:hAnsi="宋体" w:eastAsia="宋体" w:cs="宋体"/>
                <w:spacing w:val="5"/>
                <w:sz w:val="21"/>
                <w:szCs w:val="21"/>
                <w:highlight w:val="yellow"/>
              </w:rPr>
              <w:t>期</w:t>
            </w:r>
            <w:r>
              <w:rPr>
                <w:rFonts w:hint="eastAsia" w:ascii="宋体" w:hAnsi="宋体" w:eastAsia="宋体" w:cs="宋体"/>
                <w:spacing w:val="4"/>
                <w:sz w:val="21"/>
                <w:szCs w:val="21"/>
                <w:highlight w:val="yellow"/>
              </w:rPr>
              <w:t>： 自实际交工验收合格之日起</w:t>
            </w:r>
            <w:r>
              <w:rPr>
                <w:rFonts w:hint="eastAsia" w:ascii="宋体" w:hAnsi="宋体" w:eastAsia="宋体" w:cs="宋体"/>
                <w:color w:val="auto"/>
                <w:sz w:val="21"/>
                <w:szCs w:val="21"/>
                <w:highlight w:val="yellow"/>
              </w:rPr>
              <w:t>计算</w:t>
            </w:r>
            <w:r>
              <w:rPr>
                <w:rFonts w:hint="eastAsia" w:ascii="宋体" w:hAnsi="宋体" w:eastAsia="宋体" w:cs="宋体"/>
                <w:color w:val="auto"/>
                <w:sz w:val="21"/>
                <w:szCs w:val="21"/>
                <w:highlight w:val="yellow"/>
                <w:u w:val="single"/>
              </w:rPr>
              <w:t xml:space="preserve"> </w:t>
            </w:r>
            <w:r>
              <w:rPr>
                <w:rFonts w:hint="eastAsia" w:ascii="宋体" w:hAnsi="宋体" w:eastAsia="宋体" w:cs="宋体"/>
                <w:color w:val="auto"/>
                <w:sz w:val="21"/>
                <w:szCs w:val="21"/>
                <w:highlight w:val="yellow"/>
                <w:u w:val="single"/>
                <w:lang w:val="en-US" w:eastAsia="zh-CN"/>
              </w:rPr>
              <w:t>1</w:t>
            </w:r>
            <w:r>
              <w:rPr>
                <w:rFonts w:hint="eastAsia" w:ascii="宋体" w:hAnsi="宋体" w:eastAsia="宋体" w:cs="宋体"/>
                <w:color w:val="auto"/>
                <w:sz w:val="21"/>
                <w:szCs w:val="21"/>
                <w:highlight w:val="yellow"/>
                <w:u w:val="single"/>
              </w:rPr>
              <w:t xml:space="preserve"> </w:t>
            </w:r>
            <w:r>
              <w:rPr>
                <w:rFonts w:hint="eastAsia" w:ascii="宋体" w:hAnsi="宋体" w:eastAsia="宋体" w:cs="宋体"/>
                <w:color w:val="auto"/>
                <w:sz w:val="21"/>
                <w:szCs w:val="21"/>
                <w:highlight w:val="yellow"/>
              </w:rPr>
              <w:t>年</w:t>
            </w:r>
            <w:r>
              <w:rPr>
                <w:rStyle w:val="47"/>
                <w:rFonts w:hint="eastAsia" w:ascii="宋体" w:hAnsi="宋体" w:eastAsia="宋体" w:cs="宋体"/>
                <w:color w:val="auto"/>
                <w:sz w:val="21"/>
                <w:szCs w:val="21"/>
                <w:highlight w:val="none"/>
              </w:rPr>
              <w:footnoteReference w:id="40"/>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C04F79A">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936" w:type="dxa"/>
            <w:vAlign w:val="center"/>
          </w:tcPr>
          <w:p w14:paraId="501C6CEB">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2"/>
                <w:sz w:val="21"/>
                <w:szCs w:val="21"/>
              </w:rPr>
              <w:t>1</w:t>
            </w:r>
            <w:r>
              <w:rPr>
                <w:rFonts w:hint="eastAsia" w:ascii="宋体" w:hAnsi="宋体" w:eastAsia="宋体" w:cs="宋体"/>
                <w:spacing w:val="-1"/>
                <w:sz w:val="21"/>
                <w:szCs w:val="21"/>
              </w:rPr>
              <w:t>.6.3</w:t>
            </w:r>
          </w:p>
        </w:tc>
        <w:tc>
          <w:tcPr>
            <w:tcW w:w="7226" w:type="dxa"/>
            <w:tcBorders>
              <w:right w:val="single" w:color="000000" w:sz="6" w:space="0"/>
            </w:tcBorders>
            <w:vAlign w:val="center"/>
          </w:tcPr>
          <w:p w14:paraId="02B0CBAC">
            <w:pPr>
              <w:snapToGrid w:val="0"/>
              <w:spacing w:before="15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2"/>
                <w:sz w:val="21"/>
                <w:szCs w:val="21"/>
              </w:rPr>
              <w:t>图</w:t>
            </w:r>
            <w:r>
              <w:rPr>
                <w:rFonts w:hint="eastAsia" w:ascii="宋体" w:hAnsi="宋体" w:eastAsia="宋体" w:cs="宋体"/>
                <w:spacing w:val="16"/>
                <w:sz w:val="21"/>
                <w:szCs w:val="21"/>
              </w:rPr>
              <w:t>纸</w:t>
            </w:r>
            <w:r>
              <w:rPr>
                <w:rFonts w:hint="eastAsia" w:ascii="宋体" w:hAnsi="宋体" w:eastAsia="宋体" w:cs="宋体"/>
                <w:spacing w:val="11"/>
                <w:sz w:val="21"/>
                <w:szCs w:val="21"/>
              </w:rPr>
              <w:t>需要修改和补充的，应由监理人取得发包人同意后，在该工程或工程相应</w:t>
            </w:r>
            <w:r>
              <w:rPr>
                <w:rFonts w:hint="eastAsia" w:ascii="宋体" w:hAnsi="宋体" w:eastAsia="宋体" w:cs="宋体"/>
                <w:sz w:val="21"/>
                <w:szCs w:val="21"/>
              </w:rPr>
              <w:t xml:space="preserve"> </w:t>
            </w:r>
            <w:r>
              <w:rPr>
                <w:rFonts w:hint="eastAsia" w:ascii="宋体" w:hAnsi="宋体" w:eastAsia="宋体" w:cs="宋体"/>
                <w:spacing w:val="12"/>
                <w:sz w:val="21"/>
                <w:szCs w:val="21"/>
              </w:rPr>
              <w:t>部</w:t>
            </w:r>
            <w:r>
              <w:rPr>
                <w:rFonts w:hint="eastAsia" w:ascii="宋体" w:hAnsi="宋体" w:eastAsia="宋体" w:cs="宋体"/>
                <w:spacing w:val="6"/>
                <w:sz w:val="21"/>
                <w:szCs w:val="21"/>
              </w:rPr>
              <w:t>位施工前</w:t>
            </w:r>
            <w:r>
              <w:rPr>
                <w:rFonts w:hint="eastAsia" w:ascii="宋体" w:hAnsi="宋体" w:eastAsia="宋体" w:cs="宋体"/>
                <w:spacing w:val="6"/>
                <w:sz w:val="21"/>
                <w:szCs w:val="21"/>
                <w:u w:val="single" w:color="auto"/>
              </w:rPr>
              <w:t xml:space="preserve">    7    </w:t>
            </w:r>
            <w:r>
              <w:rPr>
                <w:rFonts w:hint="eastAsia" w:ascii="宋体" w:hAnsi="宋体" w:eastAsia="宋体" w:cs="宋体"/>
                <w:spacing w:val="6"/>
                <w:sz w:val="21"/>
                <w:szCs w:val="21"/>
              </w:rPr>
              <w:t xml:space="preserve"> 天签发图纸修改图给承包人。承包人应按修改或补充 (新增减工</w:t>
            </w:r>
            <w:r>
              <w:rPr>
                <w:rFonts w:hint="eastAsia" w:ascii="宋体" w:hAnsi="宋体" w:eastAsia="宋体" w:cs="宋体"/>
                <w:sz w:val="21"/>
                <w:szCs w:val="21"/>
              </w:rPr>
              <w:t xml:space="preserve"> </w:t>
            </w:r>
            <w:r>
              <w:rPr>
                <w:rFonts w:hint="eastAsia" w:ascii="宋体" w:hAnsi="宋体" w:eastAsia="宋体" w:cs="宋体"/>
                <w:spacing w:val="7"/>
                <w:sz w:val="21"/>
                <w:szCs w:val="21"/>
              </w:rPr>
              <w:t>程) 后的图纸施工。</w:t>
            </w:r>
          </w:p>
          <w:p w14:paraId="36C2F89F">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5"/>
                <w:sz w:val="21"/>
                <w:szCs w:val="21"/>
              </w:rPr>
              <w:t>在</w:t>
            </w:r>
            <w:r>
              <w:rPr>
                <w:rFonts w:hint="eastAsia" w:ascii="宋体" w:hAnsi="宋体" w:eastAsia="宋体" w:cs="宋体"/>
                <w:spacing w:val="12"/>
                <w:sz w:val="21"/>
                <w:szCs w:val="21"/>
              </w:rPr>
              <w:t>没有发包人及监理人共同批准的前提下，承包人不得对施工图的任何部分进</w:t>
            </w:r>
            <w:r>
              <w:rPr>
                <w:rFonts w:hint="eastAsia" w:ascii="宋体" w:hAnsi="宋体" w:eastAsia="宋体" w:cs="宋体"/>
                <w:sz w:val="21"/>
                <w:szCs w:val="21"/>
              </w:rPr>
              <w:t xml:space="preserve"> </w:t>
            </w:r>
            <w:r>
              <w:rPr>
                <w:rFonts w:hint="eastAsia" w:ascii="宋体" w:hAnsi="宋体" w:eastAsia="宋体" w:cs="宋体"/>
                <w:spacing w:val="12"/>
                <w:sz w:val="21"/>
                <w:szCs w:val="21"/>
              </w:rPr>
              <w:t>行修改，否则按承包人违约处理，并由承包人承担由此产生的一切后果和经济</w:t>
            </w:r>
            <w:r>
              <w:rPr>
                <w:rFonts w:hint="eastAsia" w:ascii="宋体" w:hAnsi="宋体" w:eastAsia="宋体" w:cs="宋体"/>
                <w:spacing w:val="10"/>
                <w:sz w:val="21"/>
                <w:szCs w:val="21"/>
              </w:rPr>
              <w:t>责</w:t>
            </w:r>
          </w:p>
          <w:p w14:paraId="44582A52">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
                <w:sz w:val="21"/>
                <w:szCs w:val="21"/>
              </w:rPr>
              <w:t>任</w:t>
            </w:r>
            <w:r>
              <w:rPr>
                <w:rFonts w:hint="eastAsia" w:ascii="宋体" w:hAnsi="宋体" w:eastAsia="宋体" w:cs="宋体"/>
                <w:sz w:val="21"/>
                <w:szCs w:val="21"/>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E894A95">
            <w:pPr>
              <w:snapToGrid w:val="0"/>
              <w:spacing w:before="131"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936" w:type="dxa"/>
            <w:vAlign w:val="center"/>
          </w:tcPr>
          <w:p w14:paraId="278F167B">
            <w:pPr>
              <w:snapToGrid w:val="0"/>
              <w:spacing w:before="131" w:line="240" w:lineRule="auto"/>
              <w:ind w:left="0" w:leftChars="0" w:right="0" w:rightChars="0" w:firstLine="0" w:firstLineChars="0"/>
              <w:jc w:val="center"/>
              <w:rPr>
                <w:rFonts w:hint="eastAsia" w:ascii="宋体" w:hAnsi="宋体" w:eastAsia="宋体" w:cs="宋体"/>
                <w:sz w:val="21"/>
                <w:szCs w:val="21"/>
                <w:highlight w:val="red"/>
              </w:rPr>
            </w:pPr>
            <w:r>
              <w:rPr>
                <w:rFonts w:hint="eastAsia" w:ascii="宋体" w:hAnsi="宋体" w:eastAsia="宋体" w:cs="宋体"/>
                <w:spacing w:val="-2"/>
                <w:sz w:val="21"/>
                <w:szCs w:val="21"/>
                <w:highlight w:val="red"/>
              </w:rPr>
              <w:t>1</w:t>
            </w:r>
            <w:r>
              <w:rPr>
                <w:rFonts w:hint="eastAsia" w:ascii="宋体" w:hAnsi="宋体" w:eastAsia="宋体" w:cs="宋体"/>
                <w:spacing w:val="-1"/>
                <w:sz w:val="21"/>
                <w:szCs w:val="21"/>
                <w:highlight w:val="red"/>
              </w:rPr>
              <w:t>.7.2</w:t>
            </w:r>
          </w:p>
        </w:tc>
        <w:tc>
          <w:tcPr>
            <w:tcW w:w="7226" w:type="dxa"/>
            <w:tcBorders>
              <w:right w:val="single" w:color="000000" w:sz="6" w:space="0"/>
            </w:tcBorders>
            <w:vAlign w:val="center"/>
          </w:tcPr>
          <w:p w14:paraId="36CCE454">
            <w:pPr>
              <w:snapToGrid w:val="0"/>
              <w:spacing w:before="14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6"/>
                <w:sz w:val="21"/>
                <w:szCs w:val="21"/>
              </w:rPr>
              <w:t>来往函件送达的期限：</w:t>
            </w:r>
            <w:r>
              <w:rPr>
                <w:rFonts w:hint="eastAsia" w:ascii="宋体" w:hAnsi="宋体" w:eastAsia="宋体" w:cs="宋体"/>
                <w:spacing w:val="6"/>
                <w:sz w:val="21"/>
                <w:szCs w:val="21"/>
                <w:u w:val="single" w:color="auto"/>
              </w:rPr>
              <w:t xml:space="preserve"> 函件发出 24 小时</w:t>
            </w:r>
            <w:r>
              <w:rPr>
                <w:rFonts w:hint="eastAsia" w:ascii="宋体" w:hAnsi="宋体" w:eastAsia="宋体" w:cs="宋体"/>
                <w:spacing w:val="3"/>
                <w:sz w:val="21"/>
                <w:szCs w:val="21"/>
                <w:u w:val="single" w:color="auto"/>
              </w:rPr>
              <w:t>内</w:t>
            </w:r>
            <w:r>
              <w:rPr>
                <w:rFonts w:hint="eastAsia" w:ascii="宋体" w:hAnsi="宋体" w:eastAsia="宋体" w:cs="宋体"/>
                <w:sz w:val="21"/>
                <w:szCs w:val="21"/>
                <w:u w:val="single" w:color="auto"/>
              </w:rPr>
              <w:t xml:space="preserve"> </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CB55419">
            <w:pPr>
              <w:snapToGrid w:val="0"/>
              <w:spacing w:before="135"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936" w:type="dxa"/>
            <w:vAlign w:val="center"/>
          </w:tcPr>
          <w:p w14:paraId="28CFF5B6">
            <w:pPr>
              <w:snapToGrid w:val="0"/>
              <w:spacing w:before="132" w:line="240" w:lineRule="auto"/>
              <w:ind w:left="0" w:leftChars="0" w:right="0" w:rightChars="0" w:firstLine="0" w:firstLineChars="0"/>
              <w:jc w:val="center"/>
              <w:rPr>
                <w:rFonts w:hint="eastAsia" w:ascii="宋体" w:hAnsi="宋体" w:eastAsia="宋体" w:cs="宋体"/>
                <w:sz w:val="21"/>
                <w:szCs w:val="21"/>
                <w:highlight w:val="red"/>
              </w:rPr>
            </w:pPr>
            <w:r>
              <w:rPr>
                <w:rFonts w:hint="eastAsia" w:ascii="宋体" w:hAnsi="宋体" w:eastAsia="宋体" w:cs="宋体"/>
                <w:spacing w:val="4"/>
                <w:sz w:val="21"/>
                <w:szCs w:val="21"/>
                <w:highlight w:val="red"/>
              </w:rPr>
              <w:t>2.6</w:t>
            </w:r>
          </w:p>
        </w:tc>
        <w:tc>
          <w:tcPr>
            <w:tcW w:w="7226" w:type="dxa"/>
            <w:tcBorders>
              <w:right w:val="single" w:color="000000" w:sz="6" w:space="0"/>
            </w:tcBorders>
            <w:vAlign w:val="center"/>
          </w:tcPr>
          <w:p w14:paraId="6F4CC32F">
            <w:pPr>
              <w:snapToGrid w:val="0"/>
              <w:spacing w:before="14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9"/>
                <w:sz w:val="21"/>
                <w:szCs w:val="21"/>
              </w:rPr>
              <w:t>本工程资金来源省补资金和地方政府配套资金</w:t>
            </w:r>
            <w:r>
              <w:rPr>
                <w:rFonts w:hint="eastAsia" w:ascii="宋体" w:hAnsi="宋体" w:eastAsia="宋体" w:cs="宋体"/>
                <w:spacing w:val="8"/>
                <w:sz w:val="21"/>
                <w:szCs w:val="21"/>
              </w:rPr>
              <w:t>。</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FE9BAE0">
            <w:pPr>
              <w:snapToGrid w:val="0"/>
              <w:spacing w:before="58"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936" w:type="dxa"/>
            <w:vAlign w:val="center"/>
          </w:tcPr>
          <w:p w14:paraId="0B69FE96">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6"/>
                <w:sz w:val="21"/>
                <w:szCs w:val="21"/>
              </w:rPr>
              <w:t>3.1.1</w:t>
            </w:r>
          </w:p>
        </w:tc>
        <w:tc>
          <w:tcPr>
            <w:tcW w:w="7226" w:type="dxa"/>
            <w:tcBorders>
              <w:right w:val="single" w:color="000000" w:sz="6" w:space="0"/>
            </w:tcBorders>
            <w:vAlign w:val="center"/>
          </w:tcPr>
          <w:p w14:paraId="66312A43">
            <w:pPr>
              <w:snapToGrid w:val="0"/>
              <w:spacing w:before="13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0"/>
                <w:sz w:val="21"/>
                <w:szCs w:val="21"/>
              </w:rPr>
              <w:t>监</w:t>
            </w:r>
            <w:r>
              <w:rPr>
                <w:rFonts w:hint="eastAsia" w:ascii="宋体" w:hAnsi="宋体" w:eastAsia="宋体" w:cs="宋体"/>
                <w:spacing w:val="9"/>
                <w:sz w:val="21"/>
                <w:szCs w:val="21"/>
              </w:rPr>
              <w:t>理人在行使下列权力前需要经发包人事先批准：</w:t>
            </w:r>
          </w:p>
          <w:p w14:paraId="792129D8">
            <w:pPr>
              <w:snapToGrid w:val="0"/>
              <w:spacing w:before="153"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(6</w:t>
            </w:r>
            <w:r>
              <w:rPr>
                <w:rFonts w:hint="eastAsia" w:ascii="宋体" w:hAnsi="宋体" w:eastAsia="宋体" w:cs="宋体"/>
                <w:spacing w:val="5"/>
                <w:sz w:val="21"/>
                <w:szCs w:val="21"/>
              </w:rPr>
              <w:t>)</w:t>
            </w:r>
            <w:r>
              <w:rPr>
                <w:rFonts w:hint="eastAsia" w:ascii="宋体" w:hAnsi="宋体" w:eastAsia="宋体" w:cs="宋体"/>
                <w:spacing w:val="4"/>
                <w:sz w:val="21"/>
                <w:szCs w:val="21"/>
              </w:rPr>
              <w:t xml:space="preserve"> 监理人在行使根据第 15.3 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2BB40B2">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936" w:type="dxa"/>
            <w:vAlign w:val="center"/>
          </w:tcPr>
          <w:p w14:paraId="4D384DB2">
            <w:pPr>
              <w:snapToGrid w:val="0"/>
              <w:spacing w:before="65" w:line="240" w:lineRule="auto"/>
              <w:ind w:left="0" w:leftChars="0" w:right="0" w:rightChars="0" w:firstLine="0" w:firstLineChars="0"/>
              <w:jc w:val="center"/>
              <w:rPr>
                <w:rFonts w:hint="eastAsia" w:ascii="宋体" w:hAnsi="宋体" w:eastAsia="宋体" w:cs="宋体"/>
                <w:sz w:val="21"/>
                <w:szCs w:val="21"/>
                <w:highlight w:val="red"/>
              </w:rPr>
            </w:pPr>
            <w:r>
              <w:rPr>
                <w:rFonts w:hint="eastAsia" w:ascii="宋体" w:hAnsi="宋体" w:eastAsia="宋体" w:cs="宋体"/>
                <w:spacing w:val="-6"/>
                <w:sz w:val="21"/>
                <w:szCs w:val="21"/>
                <w:highlight w:val="red"/>
              </w:rPr>
              <w:t>4</w:t>
            </w:r>
            <w:r>
              <w:rPr>
                <w:rFonts w:hint="eastAsia" w:ascii="宋体" w:hAnsi="宋体" w:eastAsia="宋体" w:cs="宋体"/>
                <w:spacing w:val="-5"/>
                <w:sz w:val="21"/>
                <w:szCs w:val="21"/>
                <w:highlight w:val="red"/>
              </w:rPr>
              <w:t>. 1. 10 (1)</w:t>
            </w:r>
          </w:p>
        </w:tc>
        <w:tc>
          <w:tcPr>
            <w:tcW w:w="7226" w:type="dxa"/>
            <w:tcBorders>
              <w:right w:val="single" w:color="000000" w:sz="6" w:space="0"/>
            </w:tcBorders>
            <w:vAlign w:val="center"/>
          </w:tcPr>
          <w:p w14:paraId="58428753">
            <w:pPr>
              <w:snapToGrid w:val="0"/>
              <w:spacing w:before="14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临</w:t>
            </w:r>
            <w:r>
              <w:rPr>
                <w:rFonts w:hint="eastAsia" w:ascii="宋体" w:hAnsi="宋体" w:eastAsia="宋体" w:cs="宋体"/>
                <w:spacing w:val="4"/>
                <w:sz w:val="21"/>
                <w:szCs w:val="21"/>
              </w:rPr>
              <w:t>时占地的租地费用实行总额包干，列入工程量清单第 100 章中由承包人按总额</w:t>
            </w:r>
            <w:r>
              <w:rPr>
                <w:rFonts w:hint="eastAsia" w:ascii="宋体" w:hAnsi="宋体" w:eastAsia="宋体" w:cs="宋体"/>
                <w:sz w:val="21"/>
                <w:szCs w:val="21"/>
              </w:rPr>
              <w:t xml:space="preserve"> </w:t>
            </w:r>
            <w:r>
              <w:rPr>
                <w:rFonts w:hint="eastAsia" w:ascii="宋体" w:hAnsi="宋体" w:eastAsia="宋体" w:cs="宋体"/>
                <w:spacing w:val="6"/>
                <w:sz w:val="21"/>
                <w:szCs w:val="21"/>
              </w:rPr>
              <w:t>报价。</w:t>
            </w:r>
            <w:r>
              <w:rPr>
                <w:rFonts w:hint="eastAsia" w:ascii="宋体" w:hAnsi="宋体" w:eastAsia="宋体" w:cs="宋体"/>
                <w:spacing w:val="3"/>
                <w:sz w:val="21"/>
                <w:szCs w:val="21"/>
              </w:rPr>
              <w:t>临时占地费用计算方式：</w:t>
            </w:r>
            <w:r>
              <w:rPr>
                <w:rFonts w:hint="eastAsia" w:ascii="宋体" w:hAnsi="宋体" w:eastAsia="宋体" w:cs="宋体"/>
                <w:spacing w:val="3"/>
                <w:sz w:val="21"/>
                <w:szCs w:val="21"/>
                <w:u w:val="single" w:color="auto"/>
              </w:rPr>
              <w:t xml:space="preserve">  参考《关于实施征地区片综合地价的通知》  (辽</w:t>
            </w:r>
            <w:r>
              <w:rPr>
                <w:rFonts w:hint="eastAsia" w:ascii="宋体" w:hAnsi="宋体" w:eastAsia="宋体" w:cs="宋体"/>
                <w:sz w:val="21"/>
                <w:szCs w:val="21"/>
              </w:rPr>
              <w:t xml:space="preserve"> </w:t>
            </w:r>
            <w:r>
              <w:rPr>
                <w:rFonts w:hint="eastAsia" w:ascii="宋体" w:hAnsi="宋体" w:eastAsia="宋体" w:cs="宋体"/>
                <w:spacing w:val="12"/>
                <w:sz w:val="21"/>
                <w:szCs w:val="21"/>
                <w:u w:val="single" w:color="auto"/>
              </w:rPr>
              <w:t>国土资发〔</w:t>
            </w:r>
            <w:r>
              <w:rPr>
                <w:rFonts w:hint="eastAsia" w:ascii="宋体" w:hAnsi="宋体" w:eastAsia="宋体" w:cs="宋体"/>
                <w:spacing w:val="6"/>
                <w:sz w:val="21"/>
                <w:szCs w:val="21"/>
                <w:u w:val="single" w:color="auto"/>
              </w:rPr>
              <w:t>2015〕339 号) 以及项目所在地市县区政府公布的区片综合地价标准进</w:t>
            </w:r>
            <w:r>
              <w:rPr>
                <w:rFonts w:hint="eastAsia" w:ascii="宋体" w:hAnsi="宋体" w:eastAsia="宋体" w:cs="宋体"/>
                <w:spacing w:val="2"/>
                <w:sz w:val="21"/>
                <w:szCs w:val="21"/>
                <w:u w:val="single" w:color="auto"/>
              </w:rPr>
              <w:t>行测算</w:t>
            </w:r>
            <w:r>
              <w:rPr>
                <w:rFonts w:hint="eastAsia" w:ascii="宋体" w:hAnsi="宋体" w:eastAsia="宋体" w:cs="宋体"/>
                <w:spacing w:val="1"/>
                <w:sz w:val="21"/>
                <w:szCs w:val="21"/>
                <w:u w:val="single" w:color="auto"/>
              </w:rPr>
              <w:t>。</w:t>
            </w:r>
            <w:r>
              <w:rPr>
                <w:rFonts w:hint="eastAsia" w:ascii="宋体" w:hAnsi="宋体" w:eastAsia="宋体" w:cs="宋体"/>
                <w:sz w:val="21"/>
                <w:szCs w:val="21"/>
                <w:u w:val="single" w:color="auto"/>
              </w:rPr>
              <w:t xml:space="preserve">   </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7D928A1">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0</w:t>
            </w:r>
          </w:p>
        </w:tc>
        <w:tc>
          <w:tcPr>
            <w:tcW w:w="936" w:type="dxa"/>
            <w:vAlign w:val="center"/>
          </w:tcPr>
          <w:p w14:paraId="2637097A">
            <w:pPr>
              <w:snapToGrid w:val="0"/>
              <w:spacing w:before="65" w:line="240" w:lineRule="auto"/>
              <w:ind w:left="0" w:leftChars="0" w:right="0" w:rightChars="0" w:firstLine="0" w:firstLineChars="0"/>
              <w:jc w:val="center"/>
              <w:rPr>
                <w:rFonts w:hint="eastAsia" w:ascii="宋体" w:hAnsi="宋体" w:eastAsia="宋体" w:cs="宋体"/>
                <w:sz w:val="21"/>
                <w:szCs w:val="21"/>
                <w:highlight w:val="red"/>
              </w:rPr>
            </w:pPr>
            <w:r>
              <w:rPr>
                <w:rFonts w:hint="eastAsia" w:ascii="宋体" w:hAnsi="宋体" w:eastAsia="宋体" w:cs="宋体"/>
                <w:spacing w:val="-6"/>
                <w:sz w:val="21"/>
                <w:szCs w:val="21"/>
                <w:highlight w:val="red"/>
              </w:rPr>
              <w:t>4</w:t>
            </w:r>
            <w:r>
              <w:rPr>
                <w:rFonts w:hint="eastAsia" w:ascii="宋体" w:hAnsi="宋体" w:eastAsia="宋体" w:cs="宋体"/>
                <w:spacing w:val="-5"/>
                <w:sz w:val="21"/>
                <w:szCs w:val="21"/>
                <w:highlight w:val="red"/>
              </w:rPr>
              <w:t>. 1. 10 (3)</w:t>
            </w:r>
          </w:p>
        </w:tc>
        <w:tc>
          <w:tcPr>
            <w:tcW w:w="7226" w:type="dxa"/>
            <w:tcBorders>
              <w:right w:val="single" w:color="000000" w:sz="6" w:space="0"/>
            </w:tcBorders>
            <w:vAlign w:val="center"/>
          </w:tcPr>
          <w:p w14:paraId="4993F056">
            <w:pPr>
              <w:snapToGrid w:val="0"/>
              <w:spacing w:before="14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6"/>
                <w:sz w:val="21"/>
                <w:szCs w:val="21"/>
              </w:rPr>
              <w:t>承包人</w:t>
            </w:r>
            <w:r>
              <w:rPr>
                <w:rFonts w:hint="eastAsia" w:ascii="宋体" w:hAnsi="宋体" w:eastAsia="宋体" w:cs="宋体"/>
                <w:spacing w:val="3"/>
                <w:sz w:val="21"/>
                <w:szCs w:val="21"/>
              </w:rPr>
              <w:t>对于农民工工资的发放应严格遵守《保障农民工工资支付条例》  (国务院</w:t>
            </w:r>
            <w:r>
              <w:rPr>
                <w:rFonts w:hint="eastAsia" w:ascii="宋体" w:hAnsi="宋体" w:eastAsia="宋体" w:cs="宋体"/>
                <w:sz w:val="21"/>
                <w:szCs w:val="21"/>
              </w:rPr>
              <w:t xml:space="preserve"> </w:t>
            </w:r>
            <w:r>
              <w:rPr>
                <w:rFonts w:hint="eastAsia" w:ascii="宋体" w:hAnsi="宋体" w:eastAsia="宋体" w:cs="宋体"/>
                <w:spacing w:val="1"/>
                <w:sz w:val="21"/>
                <w:szCs w:val="21"/>
              </w:rPr>
              <w:t>令第724 号</w:t>
            </w:r>
            <w:r>
              <w:rPr>
                <w:rFonts w:hint="eastAsia" w:ascii="宋体" w:hAnsi="宋体" w:eastAsia="宋体" w:cs="宋体"/>
                <w:sz w:val="21"/>
                <w:szCs w:val="21"/>
              </w:rPr>
              <w:t xml:space="preserve">) 、《工程建设领域农民工工资保证金规定》 (人社部发〔2021〕65 号) </w:t>
            </w:r>
            <w:r>
              <w:rPr>
                <w:rFonts w:hint="eastAsia" w:ascii="宋体" w:hAnsi="宋体" w:eastAsia="宋体" w:cs="宋体"/>
                <w:spacing w:val="5"/>
                <w:sz w:val="21"/>
                <w:szCs w:val="21"/>
              </w:rPr>
              <w:t>《</w:t>
            </w:r>
            <w:r>
              <w:rPr>
                <w:rFonts w:hint="eastAsia" w:ascii="宋体" w:hAnsi="宋体" w:eastAsia="宋体" w:cs="宋体"/>
                <w:spacing w:val="3"/>
                <w:sz w:val="21"/>
                <w:szCs w:val="21"/>
              </w:rPr>
              <w:t>辽宁省公路水运工程建设领域农民工工资支付管理办法》 (辽交公水规〔2020〕1</w:t>
            </w:r>
            <w:r>
              <w:rPr>
                <w:rFonts w:hint="eastAsia" w:ascii="宋体" w:hAnsi="宋体" w:eastAsia="宋体" w:cs="宋体"/>
                <w:sz w:val="21"/>
                <w:szCs w:val="21"/>
              </w:rPr>
              <w:t xml:space="preserve">  </w:t>
            </w:r>
            <w:r>
              <w:rPr>
                <w:rFonts w:hint="eastAsia" w:ascii="宋体" w:hAnsi="宋体" w:eastAsia="宋体" w:cs="宋体"/>
                <w:spacing w:val="8"/>
                <w:sz w:val="21"/>
                <w:szCs w:val="21"/>
              </w:rPr>
              <w:t xml:space="preserve">号) </w:t>
            </w:r>
            <w:r>
              <w:rPr>
                <w:rFonts w:hint="eastAsia" w:ascii="宋体" w:hAnsi="宋体" w:eastAsia="宋体" w:cs="宋体"/>
                <w:spacing w:val="5"/>
                <w:sz w:val="21"/>
                <w:szCs w:val="21"/>
              </w:rPr>
              <w:t>、</w:t>
            </w:r>
            <w:r>
              <w:rPr>
                <w:rFonts w:hint="eastAsia" w:ascii="宋体" w:hAnsi="宋体" w:eastAsia="宋体" w:cs="宋体"/>
                <w:spacing w:val="4"/>
                <w:sz w:val="21"/>
                <w:szCs w:val="21"/>
              </w:rPr>
              <w:t>《辽宁省建设领域农民工工资支付管理办法》  (辽人社规〔2018〕3 号) 、</w:t>
            </w:r>
            <w:r>
              <w:rPr>
                <w:rFonts w:hint="eastAsia" w:ascii="宋体" w:hAnsi="宋体" w:eastAsia="宋体" w:cs="宋体"/>
                <w:sz w:val="21"/>
                <w:szCs w:val="21"/>
              </w:rPr>
              <w:t xml:space="preserve"> </w:t>
            </w:r>
            <w:r>
              <w:rPr>
                <w:rFonts w:hint="eastAsia" w:ascii="宋体" w:hAnsi="宋体" w:eastAsia="宋体" w:cs="宋体"/>
                <w:spacing w:val="8"/>
                <w:sz w:val="21"/>
                <w:szCs w:val="21"/>
              </w:rPr>
              <w:t>《关于建</w:t>
            </w:r>
            <w:r>
              <w:rPr>
                <w:rFonts w:hint="eastAsia" w:ascii="宋体" w:hAnsi="宋体" w:eastAsia="宋体" w:cs="宋体"/>
                <w:spacing w:val="7"/>
                <w:sz w:val="21"/>
                <w:szCs w:val="21"/>
              </w:rPr>
              <w:t>立</w:t>
            </w:r>
            <w:r>
              <w:rPr>
                <w:rFonts w:hint="eastAsia" w:ascii="宋体" w:hAnsi="宋体" w:eastAsia="宋体" w:cs="宋体"/>
                <w:spacing w:val="4"/>
                <w:sz w:val="21"/>
                <w:szCs w:val="21"/>
              </w:rPr>
              <w:t>建设领域农民工工资保证金制度的通知》  (辽人社规〔2018〕4 号) 、</w:t>
            </w:r>
            <w:r>
              <w:rPr>
                <w:rFonts w:hint="eastAsia" w:ascii="宋体" w:hAnsi="宋体" w:eastAsia="宋体" w:cs="宋体"/>
                <w:sz w:val="21"/>
                <w:szCs w:val="21"/>
              </w:rPr>
              <w:t xml:space="preserve"> </w:t>
            </w:r>
            <w:r>
              <w:rPr>
                <w:rFonts w:hint="eastAsia" w:ascii="宋体" w:hAnsi="宋体" w:eastAsia="宋体" w:cs="宋体"/>
                <w:spacing w:val="-1"/>
                <w:sz w:val="21"/>
                <w:szCs w:val="21"/>
              </w:rPr>
              <w:t>《辽宁省工程建设领域农民</w:t>
            </w:r>
            <w:r>
              <w:rPr>
                <w:rFonts w:hint="eastAsia" w:ascii="宋体" w:hAnsi="宋体" w:eastAsia="宋体" w:cs="宋体"/>
                <w:sz w:val="21"/>
                <w:szCs w:val="21"/>
              </w:rPr>
              <w:t>工工资专用账户管理暂行办法实施细则》(辽人社〔2021〕</w:t>
            </w:r>
          </w:p>
          <w:p w14:paraId="5685124E">
            <w:pPr>
              <w:snapToGrid w:val="0"/>
              <w:spacing w:before="13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3</w:t>
            </w:r>
            <w:r>
              <w:rPr>
                <w:rFonts w:hint="eastAsia" w:ascii="宋体" w:hAnsi="宋体" w:eastAsia="宋体" w:cs="宋体"/>
                <w:spacing w:val="6"/>
                <w:sz w:val="21"/>
                <w:szCs w:val="21"/>
              </w:rPr>
              <w:t>1</w:t>
            </w:r>
            <w:r>
              <w:rPr>
                <w:rFonts w:hint="eastAsia" w:ascii="宋体" w:hAnsi="宋体" w:eastAsia="宋体" w:cs="宋体"/>
                <w:spacing w:val="4"/>
                <w:sz w:val="21"/>
                <w:szCs w:val="21"/>
              </w:rPr>
              <w:t xml:space="preserve"> 号) 、《辽宁省工程建设领域农民工工资保证金实施办法》  (辽人社〔2022〕5</w:t>
            </w:r>
            <w:r>
              <w:rPr>
                <w:rFonts w:hint="eastAsia" w:ascii="宋体" w:hAnsi="宋体" w:eastAsia="宋体" w:cs="宋体"/>
                <w:spacing w:val="10"/>
                <w:sz w:val="21"/>
                <w:szCs w:val="21"/>
              </w:rPr>
              <w:t>号</w:t>
            </w:r>
            <w:r>
              <w:rPr>
                <w:rFonts w:hint="eastAsia" w:ascii="宋体" w:hAnsi="宋体" w:eastAsia="宋体" w:cs="宋体"/>
                <w:spacing w:val="7"/>
                <w:sz w:val="21"/>
                <w:szCs w:val="21"/>
              </w:rPr>
              <w:t>)</w:t>
            </w:r>
            <w:r>
              <w:rPr>
                <w:rFonts w:hint="eastAsia" w:ascii="宋体" w:hAnsi="宋体" w:eastAsia="宋体" w:cs="宋体"/>
                <w:spacing w:val="5"/>
                <w:sz w:val="21"/>
                <w:szCs w:val="21"/>
              </w:rPr>
              <w:t xml:space="preserve"> 等国家和项目所在省、市相关主管部门施行的规定，主要包括：</w:t>
            </w:r>
          </w:p>
          <w:p w14:paraId="72734DA9">
            <w:pPr>
              <w:snapToGrid w:val="0"/>
              <w:spacing w:before="15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pacing w:val="6"/>
                <w:sz w:val="21"/>
                <w:szCs w:val="21"/>
              </w:rPr>
              <w:t>、承包人 (</w:t>
            </w:r>
            <w:r>
              <w:rPr>
                <w:rFonts w:hint="eastAsia" w:ascii="宋体" w:hAnsi="宋体" w:eastAsia="宋体" w:cs="宋体"/>
                <w:spacing w:val="4"/>
                <w:sz w:val="21"/>
                <w:szCs w:val="21"/>
              </w:rPr>
              <w:t>包</w:t>
            </w:r>
            <w:r>
              <w:rPr>
                <w:rFonts w:hint="eastAsia" w:ascii="宋体" w:hAnsi="宋体" w:eastAsia="宋体" w:cs="宋体"/>
                <w:spacing w:val="3"/>
                <w:sz w:val="21"/>
                <w:szCs w:val="21"/>
              </w:rPr>
              <w:t>括其分包人) 应实行农民工劳动用工实名制管理，与招用的农民工</w:t>
            </w:r>
            <w:r>
              <w:rPr>
                <w:rFonts w:hint="eastAsia" w:ascii="宋体" w:hAnsi="宋体" w:eastAsia="宋体" w:cs="宋体"/>
                <w:sz w:val="21"/>
                <w:szCs w:val="21"/>
              </w:rPr>
              <w:t xml:space="preserve"> </w:t>
            </w:r>
            <w:r>
              <w:rPr>
                <w:rFonts w:hint="eastAsia" w:ascii="宋体" w:hAnsi="宋体" w:eastAsia="宋体" w:cs="宋体"/>
                <w:spacing w:val="10"/>
                <w:sz w:val="21"/>
                <w:szCs w:val="21"/>
              </w:rPr>
              <w:t>书</w:t>
            </w:r>
            <w:r>
              <w:rPr>
                <w:rFonts w:hint="eastAsia" w:ascii="宋体" w:hAnsi="宋体" w:eastAsia="宋体" w:cs="宋体"/>
                <w:spacing w:val="6"/>
                <w:sz w:val="21"/>
                <w:szCs w:val="21"/>
              </w:rPr>
              <w:t>面约定或者通过依法制定的规章制度规定工资支付标准、支付时间、支付方式等</w:t>
            </w:r>
            <w:r>
              <w:rPr>
                <w:rFonts w:hint="eastAsia" w:ascii="宋体" w:hAnsi="宋体" w:eastAsia="宋体" w:cs="宋体"/>
                <w:sz w:val="21"/>
                <w:szCs w:val="21"/>
              </w:rPr>
              <w:t xml:space="preserve"> </w:t>
            </w:r>
            <w:r>
              <w:rPr>
                <w:rFonts w:hint="eastAsia" w:ascii="宋体" w:hAnsi="宋体" w:eastAsia="宋体" w:cs="宋体"/>
                <w:spacing w:val="10"/>
                <w:sz w:val="21"/>
                <w:szCs w:val="21"/>
              </w:rPr>
              <w:t>内容。承包人</w:t>
            </w:r>
            <w:r>
              <w:rPr>
                <w:rFonts w:hint="eastAsia" w:ascii="宋体" w:hAnsi="宋体" w:eastAsia="宋体" w:cs="宋体"/>
                <w:spacing w:val="5"/>
                <w:sz w:val="21"/>
                <w:szCs w:val="21"/>
              </w:rPr>
              <w:t xml:space="preserve"> (包括其分包人) 应按照与农民工订立的劳动合同中约定的工资支付</w:t>
            </w:r>
          </w:p>
          <w:p w14:paraId="3C5D6E23">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9"/>
                <w:sz w:val="21"/>
                <w:szCs w:val="21"/>
              </w:rPr>
              <w:t>周</w:t>
            </w:r>
            <w:r>
              <w:rPr>
                <w:rFonts w:hint="eastAsia" w:ascii="宋体" w:hAnsi="宋体" w:eastAsia="宋体" w:cs="宋体"/>
                <w:spacing w:val="5"/>
                <w:sz w:val="21"/>
                <w:szCs w:val="21"/>
              </w:rPr>
              <w:t>期和具体支付日期足额支付工资。</w:t>
            </w:r>
          </w:p>
          <w:p w14:paraId="42E4813B">
            <w:pPr>
              <w:snapToGrid w:val="0"/>
              <w:spacing w:before="11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pacing w:val="6"/>
                <w:sz w:val="21"/>
                <w:szCs w:val="21"/>
              </w:rPr>
              <w:t>、农民工工资应</w:t>
            </w:r>
            <w:r>
              <w:rPr>
                <w:rFonts w:hint="eastAsia" w:ascii="宋体" w:hAnsi="宋体" w:eastAsia="宋体" w:cs="宋体"/>
                <w:spacing w:val="3"/>
                <w:sz w:val="21"/>
                <w:szCs w:val="21"/>
              </w:rPr>
              <w:t>当以货币形式，通过银行转账或者现金支付给农民工本人，不得</w:t>
            </w:r>
            <w:r>
              <w:rPr>
                <w:rFonts w:hint="eastAsia" w:ascii="宋体" w:hAnsi="宋体" w:eastAsia="宋体" w:cs="宋体"/>
                <w:sz w:val="21"/>
                <w:szCs w:val="21"/>
              </w:rPr>
              <w:t xml:space="preserve"> </w:t>
            </w:r>
            <w:r>
              <w:rPr>
                <w:rFonts w:hint="eastAsia" w:ascii="宋体" w:hAnsi="宋体" w:eastAsia="宋体" w:cs="宋体"/>
                <w:spacing w:val="4"/>
                <w:sz w:val="21"/>
                <w:szCs w:val="21"/>
              </w:rPr>
              <w:t>以实物或者有价证券等其他形式替代</w:t>
            </w:r>
            <w:r>
              <w:rPr>
                <w:rFonts w:hint="eastAsia" w:ascii="宋体" w:hAnsi="宋体" w:eastAsia="宋体" w:cs="宋体"/>
                <w:spacing w:val="1"/>
                <w:sz w:val="21"/>
                <w:szCs w:val="21"/>
              </w:rPr>
              <w:t>。</w:t>
            </w:r>
          </w:p>
          <w:p w14:paraId="0BE2972A">
            <w:pPr>
              <w:snapToGrid w:val="0"/>
              <w:spacing w:before="1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position w:val="17"/>
                <w:sz w:val="21"/>
                <w:szCs w:val="21"/>
              </w:rPr>
              <w:t>c</w:t>
            </w:r>
            <w:r>
              <w:rPr>
                <w:rFonts w:hint="eastAsia" w:ascii="宋体" w:hAnsi="宋体" w:eastAsia="宋体" w:cs="宋体"/>
                <w:spacing w:val="6"/>
                <w:position w:val="17"/>
                <w:sz w:val="21"/>
                <w:szCs w:val="21"/>
              </w:rPr>
              <w:t>、承包人在每次申</w:t>
            </w:r>
            <w:r>
              <w:rPr>
                <w:rFonts w:hint="eastAsia" w:ascii="宋体" w:hAnsi="宋体" w:eastAsia="宋体" w:cs="宋体"/>
                <w:spacing w:val="4"/>
                <w:position w:val="17"/>
                <w:sz w:val="21"/>
                <w:szCs w:val="21"/>
              </w:rPr>
              <w:t>报</w:t>
            </w:r>
            <w:r>
              <w:rPr>
                <w:rFonts w:hint="eastAsia" w:ascii="宋体" w:hAnsi="宋体" w:eastAsia="宋体" w:cs="宋体"/>
                <w:spacing w:val="3"/>
                <w:position w:val="17"/>
                <w:sz w:val="21"/>
                <w:szCs w:val="21"/>
              </w:rPr>
              <w:t>计量支付时，应将农民工工资款单独列项，项目管理法人将</w:t>
            </w:r>
          </w:p>
          <w:p w14:paraId="68EE1D5B">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0"/>
                <w:sz w:val="21"/>
                <w:szCs w:val="21"/>
              </w:rPr>
              <w:t>按照经</w:t>
            </w:r>
            <w:r>
              <w:rPr>
                <w:rFonts w:hint="eastAsia" w:ascii="宋体" w:hAnsi="宋体" w:eastAsia="宋体" w:cs="宋体"/>
                <w:spacing w:val="8"/>
                <w:sz w:val="21"/>
                <w:szCs w:val="21"/>
              </w:rPr>
              <w:t>审</w:t>
            </w:r>
            <w:r>
              <w:rPr>
                <w:rFonts w:hint="eastAsia" w:ascii="宋体" w:hAnsi="宋体" w:eastAsia="宋体" w:cs="宋体"/>
                <w:spacing w:val="5"/>
                <w:sz w:val="21"/>
                <w:szCs w:val="21"/>
              </w:rPr>
              <w:t>核后的数额将农民工工资拨付至承包人的农民工工资专用账户。</w:t>
            </w:r>
          </w:p>
          <w:p w14:paraId="3802A743">
            <w:pPr>
              <w:snapToGrid w:val="0"/>
              <w:spacing w:before="11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d</w:t>
            </w:r>
            <w:r>
              <w:rPr>
                <w:rFonts w:hint="eastAsia" w:ascii="宋体" w:hAnsi="宋体" w:eastAsia="宋体" w:cs="宋体"/>
                <w:spacing w:val="2"/>
                <w:sz w:val="21"/>
                <w:szCs w:val="21"/>
              </w:rPr>
              <w:t>、承包人应当按照工资支付周期编制书面工资支付台账，并至少保存 3 年</w:t>
            </w:r>
            <w:r>
              <w:rPr>
                <w:rFonts w:hint="eastAsia" w:ascii="宋体" w:hAnsi="宋体" w:eastAsia="宋体" w:cs="宋体"/>
                <w:spacing w:val="1"/>
                <w:sz w:val="21"/>
                <w:szCs w:val="21"/>
              </w:rPr>
              <w:t>。</w:t>
            </w:r>
            <w:r>
              <w:rPr>
                <w:rFonts w:hint="eastAsia" w:ascii="宋体" w:hAnsi="宋体" w:eastAsia="宋体" w:cs="宋体"/>
                <w:sz w:val="21"/>
                <w:szCs w:val="21"/>
              </w:rPr>
              <w:t xml:space="preserve">书面 </w:t>
            </w:r>
            <w:r>
              <w:rPr>
                <w:rFonts w:hint="eastAsia" w:ascii="宋体" w:hAnsi="宋体" w:eastAsia="宋体" w:cs="宋体"/>
                <w:spacing w:val="12"/>
                <w:sz w:val="21"/>
                <w:szCs w:val="21"/>
              </w:rPr>
              <w:t>工</w:t>
            </w:r>
            <w:r>
              <w:rPr>
                <w:rFonts w:hint="eastAsia" w:ascii="宋体" w:hAnsi="宋体" w:eastAsia="宋体" w:cs="宋体"/>
                <w:spacing w:val="8"/>
                <w:sz w:val="21"/>
                <w:szCs w:val="21"/>
              </w:rPr>
              <w:t>资</w:t>
            </w:r>
            <w:r>
              <w:rPr>
                <w:rFonts w:hint="eastAsia" w:ascii="宋体" w:hAnsi="宋体" w:eastAsia="宋体" w:cs="宋体"/>
                <w:spacing w:val="6"/>
                <w:sz w:val="21"/>
                <w:szCs w:val="21"/>
              </w:rPr>
              <w:t>支付台账应当包括用人单位名称，支付周期，支付日期，支付对象姓名、身份</w:t>
            </w:r>
            <w:r>
              <w:rPr>
                <w:rFonts w:hint="eastAsia" w:ascii="宋体" w:hAnsi="宋体" w:eastAsia="宋体" w:cs="宋体"/>
                <w:sz w:val="21"/>
                <w:szCs w:val="21"/>
              </w:rPr>
              <w:t xml:space="preserve"> </w:t>
            </w:r>
            <w:r>
              <w:rPr>
                <w:rFonts w:hint="eastAsia" w:ascii="宋体" w:hAnsi="宋体" w:eastAsia="宋体" w:cs="宋体"/>
                <w:spacing w:val="12"/>
                <w:sz w:val="21"/>
                <w:szCs w:val="21"/>
              </w:rPr>
              <w:t>证</w:t>
            </w:r>
            <w:r>
              <w:rPr>
                <w:rFonts w:hint="eastAsia" w:ascii="宋体" w:hAnsi="宋体" w:eastAsia="宋体" w:cs="宋体"/>
                <w:spacing w:val="8"/>
                <w:sz w:val="21"/>
                <w:szCs w:val="21"/>
              </w:rPr>
              <w:t>号</w:t>
            </w:r>
            <w:r>
              <w:rPr>
                <w:rFonts w:hint="eastAsia" w:ascii="宋体" w:hAnsi="宋体" w:eastAsia="宋体" w:cs="宋体"/>
                <w:spacing w:val="6"/>
                <w:sz w:val="21"/>
                <w:szCs w:val="21"/>
              </w:rPr>
              <w:t>码、联系方式，工作时间，应发工资项目及数额，代扣、代缴、扣除项目和数</w:t>
            </w:r>
            <w:r>
              <w:rPr>
                <w:rFonts w:hint="eastAsia" w:ascii="宋体" w:hAnsi="宋体" w:eastAsia="宋体" w:cs="宋体"/>
                <w:sz w:val="21"/>
                <w:szCs w:val="21"/>
              </w:rPr>
              <w:t xml:space="preserve"> </w:t>
            </w:r>
            <w:r>
              <w:rPr>
                <w:rFonts w:hint="eastAsia" w:ascii="宋体" w:hAnsi="宋体" w:eastAsia="宋体" w:cs="宋体"/>
                <w:spacing w:val="12"/>
                <w:sz w:val="21"/>
                <w:szCs w:val="21"/>
              </w:rPr>
              <w:t>额</w:t>
            </w:r>
            <w:r>
              <w:rPr>
                <w:rFonts w:hint="eastAsia" w:ascii="宋体" w:hAnsi="宋体" w:eastAsia="宋体" w:cs="宋体"/>
                <w:spacing w:val="8"/>
                <w:sz w:val="21"/>
                <w:szCs w:val="21"/>
              </w:rPr>
              <w:t>，</w:t>
            </w:r>
            <w:r>
              <w:rPr>
                <w:rFonts w:hint="eastAsia" w:ascii="宋体" w:hAnsi="宋体" w:eastAsia="宋体" w:cs="宋体"/>
                <w:spacing w:val="6"/>
                <w:sz w:val="21"/>
                <w:szCs w:val="21"/>
              </w:rPr>
              <w:t>实发工资数额，银行代发工资凭证或者农民工签字等内容。用人单位向农民工</w:t>
            </w:r>
            <w:r>
              <w:rPr>
                <w:rFonts w:hint="eastAsia" w:ascii="宋体" w:hAnsi="宋体" w:eastAsia="宋体" w:cs="宋体"/>
                <w:sz w:val="21"/>
                <w:szCs w:val="21"/>
              </w:rPr>
              <w:t xml:space="preserve"> </w:t>
            </w:r>
            <w:r>
              <w:rPr>
                <w:rFonts w:hint="eastAsia" w:ascii="宋体" w:hAnsi="宋体" w:eastAsia="宋体" w:cs="宋体"/>
                <w:spacing w:val="10"/>
                <w:sz w:val="21"/>
                <w:szCs w:val="21"/>
              </w:rPr>
              <w:t>支付</w:t>
            </w:r>
            <w:r>
              <w:rPr>
                <w:rFonts w:hint="eastAsia" w:ascii="宋体" w:hAnsi="宋体" w:eastAsia="宋体" w:cs="宋体"/>
                <w:spacing w:val="5"/>
                <w:sz w:val="21"/>
                <w:szCs w:val="21"/>
              </w:rPr>
              <w:t>工资时，应当提供农民工本人的工资清单。</w:t>
            </w:r>
          </w:p>
          <w:p w14:paraId="2973A984">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e</w:t>
            </w:r>
            <w:r>
              <w:rPr>
                <w:rFonts w:hint="eastAsia" w:ascii="宋体" w:hAnsi="宋体" w:eastAsia="宋体" w:cs="宋体"/>
                <w:spacing w:val="5"/>
                <w:sz w:val="21"/>
                <w:szCs w:val="21"/>
              </w:rPr>
              <w:t>、承包人应分解工程价款中的人工费用，在本合同签订后 15 日内按照有关规</w:t>
            </w:r>
            <w:r>
              <w:rPr>
                <w:rFonts w:hint="eastAsia" w:ascii="宋体" w:hAnsi="宋体" w:eastAsia="宋体" w:cs="宋体"/>
                <w:sz w:val="21"/>
                <w:szCs w:val="21"/>
              </w:rPr>
              <w:t xml:space="preserve">定 </w:t>
            </w:r>
            <w:r>
              <w:rPr>
                <w:rFonts w:hint="eastAsia" w:ascii="宋体" w:hAnsi="宋体" w:eastAsia="宋体" w:cs="宋体"/>
                <w:spacing w:val="12"/>
                <w:sz w:val="21"/>
                <w:szCs w:val="21"/>
              </w:rPr>
              <w:t>开</w:t>
            </w:r>
            <w:r>
              <w:rPr>
                <w:rFonts w:hint="eastAsia" w:ascii="宋体" w:hAnsi="宋体" w:eastAsia="宋体" w:cs="宋体"/>
                <w:spacing w:val="7"/>
                <w:sz w:val="21"/>
                <w:szCs w:val="21"/>
              </w:rPr>
              <w:t>设</w:t>
            </w:r>
            <w:r>
              <w:rPr>
                <w:rFonts w:hint="eastAsia" w:ascii="宋体" w:hAnsi="宋体" w:eastAsia="宋体" w:cs="宋体"/>
                <w:spacing w:val="6"/>
                <w:sz w:val="21"/>
                <w:szCs w:val="21"/>
              </w:rPr>
              <w:t>农民工工资专用账户，专项用于支付本工程项目的农民工工资。开设、使用农</w:t>
            </w:r>
            <w:r>
              <w:rPr>
                <w:rFonts w:hint="eastAsia" w:ascii="宋体" w:hAnsi="宋体" w:eastAsia="宋体" w:cs="宋体"/>
                <w:sz w:val="21"/>
                <w:szCs w:val="21"/>
              </w:rPr>
              <w:t xml:space="preserve"> </w:t>
            </w:r>
            <w:r>
              <w:rPr>
                <w:rFonts w:hint="eastAsia" w:ascii="宋体" w:hAnsi="宋体" w:eastAsia="宋体" w:cs="宋体"/>
                <w:spacing w:val="12"/>
                <w:sz w:val="21"/>
                <w:szCs w:val="21"/>
              </w:rPr>
              <w:t>民</w:t>
            </w:r>
            <w:r>
              <w:rPr>
                <w:rFonts w:hint="eastAsia" w:ascii="宋体" w:hAnsi="宋体" w:eastAsia="宋体" w:cs="宋体"/>
                <w:spacing w:val="7"/>
                <w:sz w:val="21"/>
                <w:szCs w:val="21"/>
              </w:rPr>
              <w:t>工</w:t>
            </w:r>
            <w:r>
              <w:rPr>
                <w:rFonts w:hint="eastAsia" w:ascii="宋体" w:hAnsi="宋体" w:eastAsia="宋体" w:cs="宋体"/>
                <w:spacing w:val="6"/>
                <w:sz w:val="21"/>
                <w:szCs w:val="21"/>
              </w:rPr>
              <w:t>工资专用账户有关资料应当由承包人妥善保存备查。工程完工且未拖欠农民工</w:t>
            </w:r>
            <w:r>
              <w:rPr>
                <w:rFonts w:hint="eastAsia" w:ascii="宋体" w:hAnsi="宋体" w:eastAsia="宋体" w:cs="宋体"/>
                <w:sz w:val="21"/>
                <w:szCs w:val="21"/>
              </w:rPr>
              <w:t xml:space="preserve"> </w:t>
            </w:r>
            <w:r>
              <w:rPr>
                <w:rFonts w:hint="eastAsia" w:ascii="宋体" w:hAnsi="宋体" w:eastAsia="宋体" w:cs="宋体"/>
                <w:spacing w:val="2"/>
                <w:sz w:val="21"/>
                <w:szCs w:val="21"/>
              </w:rPr>
              <w:t>工资的，承包人公示 30 日后，可以申请注销农民工工资专用账户，账户内余</w:t>
            </w:r>
            <w:r>
              <w:rPr>
                <w:rFonts w:hint="eastAsia" w:ascii="宋体" w:hAnsi="宋体" w:eastAsia="宋体" w:cs="宋体"/>
                <w:spacing w:val="1"/>
                <w:sz w:val="21"/>
                <w:szCs w:val="21"/>
              </w:rPr>
              <w:t>额</w:t>
            </w:r>
            <w:r>
              <w:rPr>
                <w:rFonts w:hint="eastAsia" w:ascii="宋体" w:hAnsi="宋体" w:eastAsia="宋体" w:cs="宋体"/>
                <w:sz w:val="21"/>
                <w:szCs w:val="21"/>
              </w:rPr>
              <w:t>归承</w:t>
            </w:r>
          </w:p>
          <w:p w14:paraId="32C34AA2">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5"/>
                <w:sz w:val="21"/>
                <w:szCs w:val="21"/>
              </w:rPr>
              <w:t>包</w:t>
            </w:r>
            <w:r>
              <w:rPr>
                <w:rFonts w:hint="eastAsia" w:ascii="宋体" w:hAnsi="宋体" w:eastAsia="宋体" w:cs="宋体"/>
                <w:spacing w:val="3"/>
                <w:sz w:val="21"/>
                <w:szCs w:val="21"/>
              </w:rPr>
              <w:t>人所有。</w:t>
            </w:r>
          </w:p>
          <w:p w14:paraId="03A11E25">
            <w:pPr>
              <w:snapToGrid w:val="0"/>
              <w:spacing w:before="11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f</w:t>
            </w:r>
            <w:r>
              <w:rPr>
                <w:rFonts w:hint="eastAsia" w:ascii="宋体" w:hAnsi="宋体" w:eastAsia="宋体" w:cs="宋体"/>
                <w:spacing w:val="7"/>
                <w:sz w:val="21"/>
                <w:szCs w:val="21"/>
              </w:rPr>
              <w:t>、</w:t>
            </w:r>
            <w:r>
              <w:rPr>
                <w:rFonts w:hint="eastAsia" w:ascii="宋体" w:hAnsi="宋体" w:eastAsia="宋体" w:cs="宋体"/>
                <w:spacing w:val="4"/>
                <w:sz w:val="21"/>
                <w:szCs w:val="21"/>
              </w:rPr>
              <w:t>承包人 (包括其分包人) 应当依法与所招用的农民工订立劳动合同并进行用工</w:t>
            </w:r>
            <w:r>
              <w:rPr>
                <w:rFonts w:hint="eastAsia" w:ascii="宋体" w:hAnsi="宋体" w:eastAsia="宋体" w:cs="宋体"/>
                <w:sz w:val="21"/>
                <w:szCs w:val="21"/>
              </w:rPr>
              <w:t xml:space="preserve"> </w:t>
            </w:r>
            <w:r>
              <w:rPr>
                <w:rFonts w:hint="eastAsia" w:ascii="宋体" w:hAnsi="宋体" w:eastAsia="宋体" w:cs="宋体"/>
                <w:spacing w:val="9"/>
                <w:sz w:val="21"/>
                <w:szCs w:val="21"/>
              </w:rPr>
              <w:t>实</w:t>
            </w:r>
            <w:r>
              <w:rPr>
                <w:rFonts w:hint="eastAsia" w:ascii="宋体" w:hAnsi="宋体" w:eastAsia="宋体" w:cs="宋体"/>
                <w:spacing w:val="6"/>
                <w:sz w:val="21"/>
                <w:szCs w:val="21"/>
              </w:rPr>
              <w:t>名登记，通过相应的管理服务信息平台 (如辽宁省建筑工人实名制信息管理服务</w:t>
            </w:r>
            <w:r>
              <w:rPr>
                <w:rFonts w:hint="eastAsia" w:ascii="宋体" w:hAnsi="宋体" w:eastAsia="宋体" w:cs="宋体"/>
                <w:sz w:val="21"/>
                <w:szCs w:val="21"/>
              </w:rPr>
              <w:t xml:space="preserve"> </w:t>
            </w:r>
            <w:r>
              <w:rPr>
                <w:rFonts w:hint="eastAsia" w:ascii="宋体" w:hAnsi="宋体" w:eastAsia="宋体" w:cs="宋体"/>
                <w:spacing w:val="6"/>
                <w:sz w:val="21"/>
                <w:szCs w:val="21"/>
              </w:rPr>
              <w:t>平台、辽宁省欠薪预警信息系统) 进行用工实名登记、管理。未与承包人 (包括</w:t>
            </w:r>
            <w:r>
              <w:rPr>
                <w:rFonts w:hint="eastAsia" w:ascii="宋体" w:hAnsi="宋体" w:eastAsia="宋体" w:cs="宋体"/>
                <w:spacing w:val="3"/>
                <w:sz w:val="21"/>
                <w:szCs w:val="21"/>
              </w:rPr>
              <w:t>其</w:t>
            </w:r>
            <w:r>
              <w:rPr>
                <w:rFonts w:hint="eastAsia" w:ascii="宋体" w:hAnsi="宋体" w:eastAsia="宋体" w:cs="宋体"/>
                <w:sz w:val="21"/>
                <w:szCs w:val="21"/>
              </w:rPr>
              <w:t xml:space="preserve"> </w:t>
            </w:r>
            <w:r>
              <w:rPr>
                <w:rFonts w:hint="eastAsia" w:ascii="宋体" w:hAnsi="宋体" w:eastAsia="宋体" w:cs="宋体"/>
                <w:spacing w:val="9"/>
                <w:sz w:val="21"/>
                <w:szCs w:val="21"/>
              </w:rPr>
              <w:t>分</w:t>
            </w:r>
            <w:r>
              <w:rPr>
                <w:rFonts w:hint="eastAsia" w:ascii="宋体" w:hAnsi="宋体" w:eastAsia="宋体" w:cs="宋体"/>
                <w:spacing w:val="6"/>
                <w:sz w:val="21"/>
                <w:szCs w:val="21"/>
              </w:rPr>
              <w:t>包人) 订立劳动合同并进行用工实名登记的人员，不得进入项目现场施工。承包</w:t>
            </w:r>
            <w:r>
              <w:rPr>
                <w:rFonts w:hint="eastAsia" w:ascii="宋体" w:hAnsi="宋体" w:eastAsia="宋体" w:cs="宋体"/>
                <w:sz w:val="21"/>
                <w:szCs w:val="21"/>
              </w:rPr>
              <w:t xml:space="preserve"> </w:t>
            </w:r>
            <w:r>
              <w:rPr>
                <w:rFonts w:hint="eastAsia" w:ascii="宋体" w:hAnsi="宋体" w:eastAsia="宋体" w:cs="宋体"/>
                <w:spacing w:val="12"/>
                <w:sz w:val="21"/>
                <w:szCs w:val="21"/>
              </w:rPr>
              <w:t>人</w:t>
            </w:r>
            <w:r>
              <w:rPr>
                <w:rFonts w:hint="eastAsia" w:ascii="宋体" w:hAnsi="宋体" w:eastAsia="宋体" w:cs="宋体"/>
                <w:spacing w:val="9"/>
                <w:sz w:val="21"/>
                <w:szCs w:val="21"/>
              </w:rPr>
              <w:t>对</w:t>
            </w:r>
            <w:r>
              <w:rPr>
                <w:rFonts w:hint="eastAsia" w:ascii="宋体" w:hAnsi="宋体" w:eastAsia="宋体" w:cs="宋体"/>
                <w:spacing w:val="6"/>
                <w:sz w:val="21"/>
                <w:szCs w:val="21"/>
              </w:rPr>
              <w:t>工程进行分包的，应在工程项目部配备劳资专管员，对分包人劳动用工实施监</w:t>
            </w:r>
            <w:r>
              <w:rPr>
                <w:rFonts w:hint="eastAsia" w:ascii="宋体" w:hAnsi="宋体" w:eastAsia="宋体" w:cs="宋体"/>
                <w:sz w:val="21"/>
                <w:szCs w:val="21"/>
              </w:rPr>
              <w:t xml:space="preserve"> </w:t>
            </w:r>
            <w:r>
              <w:rPr>
                <w:rFonts w:hint="eastAsia" w:ascii="宋体" w:hAnsi="宋体" w:eastAsia="宋体" w:cs="宋体"/>
                <w:spacing w:val="12"/>
                <w:sz w:val="21"/>
                <w:szCs w:val="21"/>
              </w:rPr>
              <w:t>督</w:t>
            </w:r>
            <w:r>
              <w:rPr>
                <w:rFonts w:hint="eastAsia" w:ascii="宋体" w:hAnsi="宋体" w:eastAsia="宋体" w:cs="宋体"/>
                <w:spacing w:val="9"/>
                <w:sz w:val="21"/>
                <w:szCs w:val="21"/>
              </w:rPr>
              <w:t>管</w:t>
            </w:r>
            <w:r>
              <w:rPr>
                <w:rFonts w:hint="eastAsia" w:ascii="宋体" w:hAnsi="宋体" w:eastAsia="宋体" w:cs="宋体"/>
                <w:spacing w:val="6"/>
                <w:sz w:val="21"/>
                <w:szCs w:val="21"/>
              </w:rPr>
              <w:t>理，掌握施工现场用工、考勤、工资支付等情况，审核分包人编制的农民工工</w:t>
            </w:r>
            <w:r>
              <w:rPr>
                <w:rFonts w:hint="eastAsia" w:ascii="宋体" w:hAnsi="宋体" w:eastAsia="宋体" w:cs="宋体"/>
                <w:sz w:val="21"/>
                <w:szCs w:val="21"/>
              </w:rPr>
              <w:t xml:space="preserve"> </w:t>
            </w:r>
            <w:r>
              <w:rPr>
                <w:rFonts w:hint="eastAsia" w:ascii="宋体" w:hAnsi="宋体" w:eastAsia="宋体" w:cs="宋体"/>
                <w:spacing w:val="12"/>
                <w:sz w:val="21"/>
                <w:szCs w:val="21"/>
              </w:rPr>
              <w:t>资</w:t>
            </w:r>
            <w:r>
              <w:rPr>
                <w:rFonts w:hint="eastAsia" w:ascii="宋体" w:hAnsi="宋体" w:eastAsia="宋体" w:cs="宋体"/>
                <w:spacing w:val="9"/>
                <w:sz w:val="21"/>
                <w:szCs w:val="21"/>
              </w:rPr>
              <w:t>支</w:t>
            </w:r>
            <w:r>
              <w:rPr>
                <w:rFonts w:hint="eastAsia" w:ascii="宋体" w:hAnsi="宋体" w:eastAsia="宋体" w:cs="宋体"/>
                <w:spacing w:val="6"/>
                <w:sz w:val="21"/>
                <w:szCs w:val="21"/>
              </w:rPr>
              <w:t>付表。承包人应当建立用工管理台账，并保存至工程完工且工资全部结清后至</w:t>
            </w:r>
            <w:r>
              <w:rPr>
                <w:rFonts w:hint="eastAsia" w:ascii="宋体" w:hAnsi="宋体" w:eastAsia="宋体" w:cs="宋体"/>
                <w:sz w:val="21"/>
                <w:szCs w:val="21"/>
              </w:rPr>
              <w:t xml:space="preserve"> </w:t>
            </w:r>
            <w:r>
              <w:rPr>
                <w:rFonts w:hint="eastAsia" w:ascii="宋体" w:hAnsi="宋体" w:eastAsia="宋体" w:cs="宋体"/>
                <w:spacing w:val="-8"/>
                <w:sz w:val="21"/>
                <w:szCs w:val="21"/>
              </w:rPr>
              <w:t>少</w:t>
            </w:r>
            <w:r>
              <w:rPr>
                <w:rFonts w:hint="eastAsia" w:ascii="宋体" w:hAnsi="宋体" w:eastAsia="宋体" w:cs="宋体"/>
                <w:spacing w:val="-6"/>
                <w:sz w:val="21"/>
                <w:szCs w:val="21"/>
              </w:rPr>
              <w:t xml:space="preserve"> 3 年。</w:t>
            </w:r>
          </w:p>
          <w:p w14:paraId="389B0676">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position w:val="15"/>
                <w:sz w:val="21"/>
                <w:szCs w:val="21"/>
              </w:rPr>
              <w:t>g</w:t>
            </w:r>
            <w:r>
              <w:rPr>
                <w:rFonts w:hint="eastAsia" w:ascii="宋体" w:hAnsi="宋体" w:eastAsia="宋体" w:cs="宋体"/>
                <w:spacing w:val="6"/>
                <w:position w:val="15"/>
                <w:sz w:val="21"/>
                <w:szCs w:val="21"/>
              </w:rPr>
              <w:t>、分包人 (如有</w:t>
            </w:r>
            <w:r>
              <w:rPr>
                <w:rFonts w:hint="eastAsia" w:ascii="宋体" w:hAnsi="宋体" w:eastAsia="宋体" w:cs="宋体"/>
                <w:spacing w:val="3"/>
                <w:position w:val="15"/>
                <w:sz w:val="21"/>
                <w:szCs w:val="21"/>
              </w:rPr>
              <w:t>) 拖欠农民工工资的，由承包人先行清偿，再依法进行追偿。</w:t>
            </w:r>
          </w:p>
          <w:p w14:paraId="4ACC3999">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cs="宋体"/>
                <w:spacing w:val="10"/>
                <w:sz w:val="21"/>
                <w:szCs w:val="21"/>
                <w:lang w:val="en-US" w:eastAsia="zh-CN"/>
              </w:rPr>
              <w:t>因</w:t>
            </w:r>
            <w:r>
              <w:rPr>
                <w:rFonts w:hint="eastAsia" w:ascii="宋体" w:hAnsi="宋体" w:eastAsia="宋体" w:cs="宋体"/>
                <w:spacing w:val="10"/>
                <w:sz w:val="21"/>
                <w:szCs w:val="21"/>
              </w:rPr>
              <w:t>承包人转</w:t>
            </w:r>
            <w:r>
              <w:rPr>
                <w:rFonts w:hint="eastAsia" w:ascii="宋体" w:hAnsi="宋体" w:eastAsia="宋体" w:cs="宋体"/>
                <w:spacing w:val="7"/>
                <w:sz w:val="21"/>
                <w:szCs w:val="21"/>
              </w:rPr>
              <w:t>包</w:t>
            </w:r>
            <w:r>
              <w:rPr>
                <w:rFonts w:hint="eastAsia" w:ascii="宋体" w:hAnsi="宋体" w:eastAsia="宋体" w:cs="宋体"/>
                <w:spacing w:val="5"/>
                <w:sz w:val="21"/>
                <w:szCs w:val="21"/>
              </w:rPr>
              <w:t>导致拖欠农民工工资的，由承包人先行清偿，再依法进行追偿。</w:t>
            </w:r>
          </w:p>
          <w:p w14:paraId="2C8BD028">
            <w:pPr>
              <w:snapToGrid w:val="0"/>
              <w:spacing w:before="11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h</w:t>
            </w:r>
            <w:r>
              <w:rPr>
                <w:rFonts w:hint="eastAsia" w:ascii="宋体" w:hAnsi="宋体" w:eastAsia="宋体" w:cs="宋体"/>
                <w:spacing w:val="6"/>
                <w:sz w:val="21"/>
                <w:szCs w:val="21"/>
              </w:rPr>
              <w:t>、承包人应当</w:t>
            </w:r>
            <w:r>
              <w:rPr>
                <w:rFonts w:hint="eastAsia" w:ascii="宋体" w:hAnsi="宋体" w:eastAsia="宋体" w:cs="宋体"/>
                <w:spacing w:val="5"/>
                <w:sz w:val="21"/>
                <w:szCs w:val="21"/>
              </w:rPr>
              <w:t>按</w:t>
            </w:r>
            <w:r>
              <w:rPr>
                <w:rFonts w:hint="eastAsia" w:ascii="宋体" w:hAnsi="宋体" w:eastAsia="宋体" w:cs="宋体"/>
                <w:spacing w:val="3"/>
                <w:sz w:val="21"/>
                <w:szCs w:val="21"/>
              </w:rPr>
              <w:t>照项目所在省、市的人力资源社会保障行政部门、交通运输主管</w:t>
            </w:r>
            <w:r>
              <w:rPr>
                <w:rFonts w:hint="eastAsia" w:ascii="宋体" w:hAnsi="宋体" w:eastAsia="宋体" w:cs="宋体"/>
                <w:sz w:val="21"/>
                <w:szCs w:val="21"/>
              </w:rPr>
              <w:t xml:space="preserve"> </w:t>
            </w:r>
            <w:r>
              <w:rPr>
                <w:rFonts w:hint="eastAsia" w:ascii="宋体" w:hAnsi="宋体" w:eastAsia="宋体" w:cs="宋体"/>
                <w:spacing w:val="8"/>
                <w:sz w:val="21"/>
                <w:szCs w:val="21"/>
              </w:rPr>
              <w:t>部</w:t>
            </w:r>
            <w:r>
              <w:rPr>
                <w:rFonts w:hint="eastAsia" w:ascii="宋体" w:hAnsi="宋体" w:eastAsia="宋体" w:cs="宋体"/>
                <w:spacing w:val="5"/>
                <w:sz w:val="21"/>
                <w:szCs w:val="21"/>
              </w:rPr>
              <w:t>门等的有关规定存储工资保证金。</w:t>
            </w:r>
          </w:p>
          <w:p w14:paraId="7431BDC1">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z w:val="21"/>
                <w:szCs w:val="21"/>
              </w:rPr>
              <w:t>i</w:t>
            </w:r>
            <w:r>
              <w:rPr>
                <w:rFonts w:hint="eastAsia" w:ascii="宋体" w:hAnsi="宋体" w:eastAsia="宋体" w:cs="宋体"/>
                <w:spacing w:val="6"/>
                <w:sz w:val="21"/>
                <w:szCs w:val="21"/>
              </w:rPr>
              <w:t xml:space="preserve"> 、</w:t>
            </w:r>
            <w:r>
              <w:rPr>
                <w:rFonts w:hint="eastAsia" w:ascii="宋体" w:hAnsi="宋体" w:eastAsia="宋体" w:cs="宋体"/>
                <w:spacing w:val="3"/>
                <w:sz w:val="21"/>
                <w:szCs w:val="21"/>
              </w:rPr>
              <w:t>承包人应当在施工现场醒目位置设立维权信息告示牌，明示下列事项：①发包</w:t>
            </w:r>
            <w:r>
              <w:rPr>
                <w:rFonts w:hint="eastAsia" w:ascii="宋体" w:hAnsi="宋体" w:eastAsia="宋体" w:cs="宋体"/>
                <w:sz w:val="21"/>
                <w:szCs w:val="21"/>
              </w:rPr>
              <w:t xml:space="preserve"> </w:t>
            </w:r>
            <w:r>
              <w:rPr>
                <w:rFonts w:hint="eastAsia" w:ascii="宋体" w:hAnsi="宋体" w:eastAsia="宋体" w:cs="宋体"/>
                <w:spacing w:val="12"/>
                <w:sz w:val="21"/>
                <w:szCs w:val="21"/>
              </w:rPr>
              <w:t>人</w:t>
            </w:r>
            <w:r>
              <w:rPr>
                <w:rFonts w:hint="eastAsia" w:ascii="宋体" w:hAnsi="宋体" w:eastAsia="宋体" w:cs="宋体"/>
                <w:spacing w:val="6"/>
                <w:sz w:val="21"/>
                <w:szCs w:val="21"/>
              </w:rPr>
              <w:t>、承包人及所在项目部、分包单位、相关行业工程建设主管部门、劳资专管员等</w:t>
            </w:r>
          </w:p>
          <w:p w14:paraId="35E63D56">
            <w:pPr>
              <w:snapToGrid w:val="0"/>
              <w:spacing w:before="13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基</w:t>
            </w:r>
            <w:r>
              <w:rPr>
                <w:rFonts w:hint="eastAsia" w:ascii="宋体" w:hAnsi="宋体" w:eastAsia="宋体" w:cs="宋体"/>
                <w:spacing w:val="8"/>
                <w:sz w:val="21"/>
                <w:szCs w:val="21"/>
              </w:rPr>
              <w:t>本</w:t>
            </w:r>
            <w:r>
              <w:rPr>
                <w:rFonts w:hint="eastAsia" w:ascii="宋体" w:hAnsi="宋体" w:eastAsia="宋体" w:cs="宋体"/>
                <w:spacing w:val="6"/>
                <w:sz w:val="21"/>
                <w:szCs w:val="21"/>
              </w:rPr>
              <w:t>信息；②当地最低工资标准、工资支付日期等基本信息；③交通运输主管部门</w:t>
            </w:r>
            <w:r>
              <w:rPr>
                <w:rFonts w:hint="eastAsia" w:ascii="宋体" w:hAnsi="宋体" w:eastAsia="宋体" w:cs="宋体"/>
                <w:spacing w:val="10"/>
                <w:sz w:val="21"/>
                <w:szCs w:val="21"/>
              </w:rPr>
              <w:t>和</w:t>
            </w:r>
            <w:r>
              <w:rPr>
                <w:rFonts w:hint="eastAsia" w:ascii="宋体" w:hAnsi="宋体" w:eastAsia="宋体" w:cs="宋体"/>
                <w:spacing w:val="8"/>
                <w:sz w:val="21"/>
                <w:szCs w:val="21"/>
              </w:rPr>
              <w:t>劳</w:t>
            </w:r>
            <w:r>
              <w:rPr>
                <w:rFonts w:hint="eastAsia" w:ascii="宋体" w:hAnsi="宋体" w:eastAsia="宋体" w:cs="宋体"/>
                <w:spacing w:val="5"/>
                <w:sz w:val="21"/>
                <w:szCs w:val="21"/>
              </w:rPr>
              <w:t>动保障监察投诉举报电话、劳动争议调解仲裁申请渠道、法律援助申请渠道、</w:t>
            </w:r>
            <w:r>
              <w:rPr>
                <w:rFonts w:hint="eastAsia" w:ascii="宋体" w:hAnsi="宋体" w:eastAsia="宋体" w:cs="宋体"/>
                <w:sz w:val="21"/>
                <w:szCs w:val="21"/>
              </w:rPr>
              <w:t xml:space="preserve"> </w:t>
            </w:r>
            <w:r>
              <w:rPr>
                <w:rFonts w:hint="eastAsia" w:ascii="宋体" w:hAnsi="宋体" w:eastAsia="宋体" w:cs="宋体"/>
                <w:spacing w:val="8"/>
                <w:sz w:val="21"/>
                <w:szCs w:val="21"/>
              </w:rPr>
              <w:t>公</w:t>
            </w:r>
            <w:r>
              <w:rPr>
                <w:rFonts w:hint="eastAsia" w:ascii="宋体" w:hAnsi="宋体" w:eastAsia="宋体" w:cs="宋体"/>
                <w:spacing w:val="5"/>
                <w:sz w:val="21"/>
                <w:szCs w:val="21"/>
              </w:rPr>
              <w:t>共</w:t>
            </w:r>
            <w:r>
              <w:rPr>
                <w:rFonts w:hint="eastAsia" w:ascii="宋体" w:hAnsi="宋体" w:eastAsia="宋体" w:cs="宋体"/>
                <w:spacing w:val="4"/>
                <w:sz w:val="21"/>
                <w:szCs w:val="21"/>
              </w:rPr>
              <w:t>法律服务热线等信息。</w:t>
            </w:r>
          </w:p>
          <w:p w14:paraId="5642B3D9">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承</w:t>
            </w:r>
            <w:r>
              <w:rPr>
                <w:rFonts w:hint="eastAsia" w:ascii="宋体" w:hAnsi="宋体" w:eastAsia="宋体" w:cs="宋体"/>
                <w:spacing w:val="10"/>
                <w:sz w:val="21"/>
                <w:szCs w:val="21"/>
              </w:rPr>
              <w:t>包</w:t>
            </w:r>
            <w:r>
              <w:rPr>
                <w:rFonts w:hint="eastAsia" w:ascii="宋体" w:hAnsi="宋体" w:eastAsia="宋体" w:cs="宋体"/>
                <w:spacing w:val="6"/>
                <w:sz w:val="21"/>
                <w:szCs w:val="21"/>
              </w:rPr>
              <w:t>人在履行合同过程中出现拖欠或克扣农民工工资或与本工程有关的债务而导</w:t>
            </w:r>
            <w:r>
              <w:rPr>
                <w:rFonts w:hint="eastAsia" w:ascii="宋体" w:hAnsi="宋体" w:eastAsia="宋体" w:cs="宋体"/>
                <w:sz w:val="21"/>
                <w:szCs w:val="21"/>
              </w:rPr>
              <w:t xml:space="preserve"> </w:t>
            </w:r>
            <w:r>
              <w:rPr>
                <w:rFonts w:hint="eastAsia" w:ascii="宋体" w:hAnsi="宋体" w:eastAsia="宋体" w:cs="宋体"/>
                <w:spacing w:val="12"/>
                <w:sz w:val="21"/>
                <w:szCs w:val="21"/>
              </w:rPr>
              <w:t>致</w:t>
            </w:r>
            <w:r>
              <w:rPr>
                <w:rFonts w:hint="eastAsia" w:ascii="宋体" w:hAnsi="宋体" w:eastAsia="宋体" w:cs="宋体"/>
                <w:spacing w:val="8"/>
                <w:sz w:val="21"/>
                <w:szCs w:val="21"/>
              </w:rPr>
              <w:t>阻</w:t>
            </w:r>
            <w:r>
              <w:rPr>
                <w:rFonts w:hint="eastAsia" w:ascii="宋体" w:hAnsi="宋体" w:eastAsia="宋体" w:cs="宋体"/>
                <w:spacing w:val="6"/>
                <w:sz w:val="21"/>
                <w:szCs w:val="21"/>
              </w:rPr>
              <w:t>工、上访，经发包人、监理人及政府相关部门确认后，项目管理法人将停止对</w:t>
            </w:r>
            <w:r>
              <w:rPr>
                <w:rFonts w:hint="eastAsia" w:ascii="宋体" w:hAnsi="宋体" w:eastAsia="宋体" w:cs="宋体"/>
                <w:spacing w:val="9"/>
                <w:sz w:val="21"/>
                <w:szCs w:val="21"/>
              </w:rPr>
              <w:t>承</w:t>
            </w:r>
            <w:r>
              <w:rPr>
                <w:rFonts w:hint="eastAsia" w:ascii="宋体" w:hAnsi="宋体" w:eastAsia="宋体" w:cs="宋体"/>
                <w:spacing w:val="5"/>
                <w:sz w:val="21"/>
                <w:szCs w:val="21"/>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19D6080">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11"/>
                <w:sz w:val="21"/>
                <w:szCs w:val="21"/>
              </w:rPr>
              <w:t>1</w:t>
            </w:r>
            <w:r>
              <w:rPr>
                <w:rFonts w:hint="eastAsia" w:ascii="宋体" w:hAnsi="宋体" w:eastAsia="宋体" w:cs="宋体"/>
                <w:spacing w:val="-9"/>
                <w:sz w:val="21"/>
                <w:szCs w:val="21"/>
              </w:rPr>
              <w:t>1</w:t>
            </w:r>
          </w:p>
        </w:tc>
        <w:tc>
          <w:tcPr>
            <w:tcW w:w="936" w:type="dxa"/>
            <w:vAlign w:val="center"/>
          </w:tcPr>
          <w:p w14:paraId="1F6436BE">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3"/>
                <w:sz w:val="21"/>
                <w:szCs w:val="21"/>
                <w:highlight w:val="red"/>
              </w:rPr>
              <w:t>4.2</w:t>
            </w:r>
          </w:p>
        </w:tc>
        <w:tc>
          <w:tcPr>
            <w:tcW w:w="7226" w:type="dxa"/>
            <w:tcBorders>
              <w:right w:val="single" w:color="000000" w:sz="6" w:space="0"/>
            </w:tcBorders>
            <w:vAlign w:val="center"/>
          </w:tcPr>
          <w:p w14:paraId="02B84BD0">
            <w:pPr>
              <w:snapToGrid w:val="0"/>
              <w:spacing w:before="10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6"/>
                <w:sz w:val="21"/>
                <w:szCs w:val="21"/>
                <w:highlight w:val="yellow"/>
              </w:rPr>
              <w:t>履约保证金</w:t>
            </w:r>
            <w:r>
              <w:rPr>
                <w:rFonts w:hint="eastAsia" w:ascii="宋体" w:hAnsi="宋体" w:eastAsia="宋体" w:cs="宋体"/>
                <w:spacing w:val="4"/>
                <w:sz w:val="21"/>
                <w:szCs w:val="21"/>
                <w:highlight w:val="yellow"/>
              </w:rPr>
              <w:t>额</w:t>
            </w:r>
            <w:r>
              <w:rPr>
                <w:rFonts w:hint="eastAsia" w:ascii="宋体" w:hAnsi="宋体" w:eastAsia="宋体" w:cs="宋体"/>
                <w:spacing w:val="3"/>
                <w:sz w:val="21"/>
                <w:szCs w:val="21"/>
                <w:highlight w:val="yellow"/>
              </w:rPr>
              <w:t>度为</w:t>
            </w:r>
            <w:r>
              <w:rPr>
                <w:rFonts w:hint="eastAsia" w:ascii="宋体" w:hAnsi="宋体" w:eastAsia="宋体" w:cs="宋体"/>
                <w:spacing w:val="3"/>
                <w:sz w:val="21"/>
                <w:szCs w:val="21"/>
                <w:highlight w:val="yellow"/>
                <w:u w:val="single" w:color="auto"/>
              </w:rPr>
              <w:t xml:space="preserve">  签约合同价的 5% </w:t>
            </w:r>
            <w:r>
              <w:rPr>
                <w:rFonts w:hint="eastAsia" w:ascii="宋体" w:hAnsi="宋体" w:eastAsia="宋体" w:cs="宋体"/>
                <w:spacing w:val="3"/>
                <w:sz w:val="21"/>
                <w:szCs w:val="21"/>
                <w:u w:val="single" w:color="auto"/>
              </w:rPr>
              <w:t xml:space="preserve">  </w:t>
            </w:r>
            <w:r>
              <w:rPr>
                <w:rFonts w:hint="eastAsia" w:ascii="宋体" w:hAnsi="宋体" w:eastAsia="宋体" w:cs="宋体"/>
                <w:spacing w:val="3"/>
                <w:sz w:val="21"/>
                <w:szCs w:val="21"/>
              </w:rPr>
              <w:t>。</w:t>
            </w:r>
          </w:p>
          <w:p w14:paraId="10AD4EF1">
            <w:pPr>
              <w:snapToGrid w:val="0"/>
              <w:spacing w:before="12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承</w:t>
            </w:r>
            <w:r>
              <w:rPr>
                <w:rFonts w:hint="eastAsia" w:ascii="宋体" w:hAnsi="宋体" w:eastAsia="宋体" w:cs="宋体"/>
                <w:spacing w:val="10"/>
                <w:sz w:val="21"/>
                <w:szCs w:val="21"/>
              </w:rPr>
              <w:t>包</w:t>
            </w:r>
            <w:r>
              <w:rPr>
                <w:rFonts w:hint="eastAsia" w:ascii="宋体" w:hAnsi="宋体" w:eastAsia="宋体" w:cs="宋体"/>
                <w:spacing w:val="6"/>
                <w:sz w:val="21"/>
                <w:szCs w:val="21"/>
              </w:rPr>
              <w:t>人应保证其履约保证金在发包人签发工程交工验收证书且承包人按照合同约</w:t>
            </w:r>
            <w:r>
              <w:rPr>
                <w:rFonts w:hint="eastAsia" w:ascii="宋体" w:hAnsi="宋体" w:eastAsia="宋体" w:cs="宋体"/>
                <w:sz w:val="21"/>
                <w:szCs w:val="21"/>
              </w:rPr>
              <w:t xml:space="preserve"> </w:t>
            </w:r>
            <w:r>
              <w:rPr>
                <w:rFonts w:hint="eastAsia" w:ascii="宋体" w:hAnsi="宋体" w:eastAsia="宋体" w:cs="宋体"/>
                <w:spacing w:val="2"/>
                <w:sz w:val="21"/>
                <w:szCs w:val="21"/>
              </w:rPr>
              <w:t>定缴纳质量保证金前一直有效。发包人应在收到承包人缴纳的质量保证金后 28 天</w:t>
            </w:r>
            <w:r>
              <w:rPr>
                <w:rFonts w:hint="eastAsia" w:ascii="宋体" w:hAnsi="宋体" w:eastAsia="宋体" w:cs="宋体"/>
                <w:sz w:val="21"/>
                <w:szCs w:val="21"/>
              </w:rPr>
              <w:t xml:space="preserve">内 </w:t>
            </w:r>
            <w:r>
              <w:rPr>
                <w:rFonts w:hint="eastAsia" w:ascii="宋体" w:hAnsi="宋体" w:eastAsia="宋体" w:cs="宋体"/>
                <w:spacing w:val="8"/>
                <w:sz w:val="21"/>
                <w:szCs w:val="21"/>
              </w:rPr>
              <w:t>将</w:t>
            </w:r>
            <w:r>
              <w:rPr>
                <w:rFonts w:hint="eastAsia" w:ascii="宋体" w:hAnsi="宋体" w:eastAsia="宋体" w:cs="宋体"/>
                <w:spacing w:val="5"/>
                <w:sz w:val="21"/>
                <w:szCs w:val="21"/>
              </w:rPr>
              <w:t>履约保证金退还给承包人。</w:t>
            </w:r>
          </w:p>
          <w:p w14:paraId="14745049">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承</w:t>
            </w:r>
            <w:r>
              <w:rPr>
                <w:rFonts w:hint="eastAsia" w:ascii="宋体" w:hAnsi="宋体" w:eastAsia="宋体" w:cs="宋体"/>
                <w:spacing w:val="10"/>
                <w:sz w:val="21"/>
                <w:szCs w:val="21"/>
              </w:rPr>
              <w:t>包</w:t>
            </w:r>
            <w:r>
              <w:rPr>
                <w:rFonts w:hint="eastAsia" w:ascii="宋体" w:hAnsi="宋体" w:eastAsia="宋体" w:cs="宋体"/>
                <w:spacing w:val="6"/>
                <w:sz w:val="21"/>
                <w:szCs w:val="21"/>
              </w:rPr>
              <w:t>人拒绝按照本合同约定缴纳质量保证金的，发包人有权从应付工程款中扣留</w:t>
            </w:r>
            <w:r>
              <w:rPr>
                <w:rFonts w:hint="eastAsia" w:ascii="宋体" w:hAnsi="宋体" w:eastAsia="宋体" w:cs="宋体"/>
                <w:sz w:val="21"/>
                <w:szCs w:val="21"/>
              </w:rPr>
              <w:t xml:space="preserve"> </w:t>
            </w:r>
            <w:r>
              <w:rPr>
                <w:rFonts w:hint="eastAsia" w:ascii="宋体" w:hAnsi="宋体" w:eastAsia="宋体" w:cs="宋体"/>
                <w:spacing w:val="12"/>
                <w:sz w:val="21"/>
                <w:szCs w:val="21"/>
              </w:rPr>
              <w:t>相</w:t>
            </w:r>
            <w:r>
              <w:rPr>
                <w:rFonts w:hint="eastAsia" w:ascii="宋体" w:hAnsi="宋体" w:eastAsia="宋体" w:cs="宋体"/>
                <w:spacing w:val="8"/>
                <w:sz w:val="21"/>
                <w:szCs w:val="21"/>
              </w:rPr>
              <w:t>应</w:t>
            </w:r>
            <w:r>
              <w:rPr>
                <w:rFonts w:hint="eastAsia" w:ascii="宋体" w:hAnsi="宋体" w:eastAsia="宋体" w:cs="宋体"/>
                <w:spacing w:val="6"/>
                <w:sz w:val="21"/>
                <w:szCs w:val="21"/>
              </w:rPr>
              <w:t>金额作为质量保证金，或者直接将履约保证金金额用于保证承包人在缺陷责任</w:t>
            </w:r>
          </w:p>
          <w:p w14:paraId="5AF38A2F">
            <w:pPr>
              <w:snapToGrid w:val="0"/>
              <w:spacing w:line="240" w:lineRule="auto"/>
              <w:ind w:left="0" w:leftChars="0" w:right="0" w:rightChars="0" w:firstLine="0" w:firstLineChars="0"/>
              <w:jc w:val="left"/>
              <w:rPr>
                <w:rFonts w:hint="eastAsia" w:ascii="宋体" w:hAnsi="宋体" w:eastAsia="宋体" w:cs="宋体"/>
                <w:spacing w:val="9"/>
                <w:sz w:val="21"/>
                <w:szCs w:val="21"/>
              </w:rPr>
            </w:pPr>
            <w:r>
              <w:rPr>
                <w:rFonts w:hint="eastAsia" w:ascii="宋体" w:hAnsi="宋体" w:eastAsia="宋体" w:cs="宋体"/>
                <w:spacing w:val="8"/>
                <w:sz w:val="21"/>
                <w:szCs w:val="21"/>
              </w:rPr>
              <w:t>期</w:t>
            </w:r>
            <w:r>
              <w:rPr>
                <w:rFonts w:hint="eastAsia" w:ascii="宋体" w:hAnsi="宋体" w:eastAsia="宋体" w:cs="宋体"/>
                <w:spacing w:val="7"/>
                <w:sz w:val="21"/>
                <w:szCs w:val="21"/>
              </w:rPr>
              <w:t>内</w:t>
            </w:r>
            <w:r>
              <w:rPr>
                <w:rFonts w:hint="eastAsia" w:ascii="宋体" w:hAnsi="宋体" w:eastAsia="宋体" w:cs="宋体"/>
                <w:spacing w:val="4"/>
                <w:sz w:val="21"/>
                <w:szCs w:val="21"/>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42079BC">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2</w:t>
            </w:r>
          </w:p>
        </w:tc>
        <w:tc>
          <w:tcPr>
            <w:tcW w:w="936" w:type="dxa"/>
            <w:vAlign w:val="center"/>
          </w:tcPr>
          <w:p w14:paraId="2AB78202">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3"/>
                <w:sz w:val="21"/>
                <w:szCs w:val="21"/>
                <w:highlight w:val="red"/>
              </w:rPr>
              <w:t>4.3.4</w:t>
            </w:r>
          </w:p>
        </w:tc>
        <w:tc>
          <w:tcPr>
            <w:tcW w:w="7226" w:type="dxa"/>
            <w:tcBorders>
              <w:right w:val="single" w:color="000000" w:sz="6" w:space="0"/>
            </w:tcBorders>
            <w:vAlign w:val="center"/>
          </w:tcPr>
          <w:p w14:paraId="099E8EDA">
            <w:pPr>
              <w:snapToGrid w:val="0"/>
              <w:spacing w:before="14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3"/>
                <w:sz w:val="21"/>
                <w:szCs w:val="21"/>
              </w:rPr>
              <w:t>4.3.4  劳务分</w:t>
            </w:r>
            <w:r>
              <w:rPr>
                <w:rFonts w:hint="eastAsia" w:ascii="宋体" w:hAnsi="宋体" w:eastAsia="宋体" w:cs="宋体"/>
                <w:spacing w:val="1"/>
                <w:sz w:val="21"/>
                <w:szCs w:val="21"/>
              </w:rPr>
              <w:t>包</w:t>
            </w:r>
          </w:p>
          <w:p w14:paraId="712DBF63">
            <w:pPr>
              <w:snapToGrid w:val="0"/>
              <w:spacing w:before="15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4"/>
                <w:sz w:val="21"/>
                <w:szCs w:val="21"/>
              </w:rPr>
              <w:t>本</w:t>
            </w:r>
            <w:r>
              <w:rPr>
                <w:rFonts w:hint="eastAsia" w:ascii="宋体" w:hAnsi="宋体" w:eastAsia="宋体" w:cs="宋体"/>
                <w:spacing w:val="3"/>
                <w:sz w:val="21"/>
                <w:szCs w:val="21"/>
              </w:rPr>
              <w:t>项补充：</w:t>
            </w:r>
          </w:p>
          <w:p w14:paraId="440C31DE">
            <w:pPr>
              <w:snapToGrid w:val="0"/>
              <w:spacing w:before="15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0"/>
                <w:sz w:val="21"/>
                <w:szCs w:val="21"/>
              </w:rPr>
              <w:t xml:space="preserve">(5) </w:t>
            </w:r>
            <w:r>
              <w:rPr>
                <w:rFonts w:hint="eastAsia" w:ascii="宋体" w:hAnsi="宋体" w:eastAsia="宋体" w:cs="宋体"/>
                <w:spacing w:val="8"/>
                <w:sz w:val="21"/>
                <w:szCs w:val="21"/>
              </w:rPr>
              <w:t>劳</w:t>
            </w:r>
            <w:r>
              <w:rPr>
                <w:rFonts w:hint="eastAsia" w:ascii="宋体" w:hAnsi="宋体" w:eastAsia="宋体" w:cs="宋体"/>
                <w:spacing w:val="5"/>
                <w:sz w:val="21"/>
                <w:szCs w:val="21"/>
              </w:rPr>
              <w:t>务分包合同应当包括以下内容：劳务合同期限、工作内容和工作时间、劳</w:t>
            </w:r>
            <w:r>
              <w:rPr>
                <w:rFonts w:hint="eastAsia" w:ascii="宋体" w:hAnsi="宋体" w:eastAsia="宋体" w:cs="宋体"/>
                <w:sz w:val="21"/>
                <w:szCs w:val="21"/>
              </w:rPr>
              <w:t xml:space="preserve"> </w:t>
            </w:r>
            <w:r>
              <w:rPr>
                <w:rFonts w:hint="eastAsia" w:ascii="宋体" w:hAnsi="宋体" w:eastAsia="宋体" w:cs="宋体"/>
                <w:spacing w:val="9"/>
                <w:sz w:val="21"/>
                <w:szCs w:val="21"/>
              </w:rPr>
              <w:t>动</w:t>
            </w:r>
            <w:r>
              <w:rPr>
                <w:rFonts w:hint="eastAsia" w:ascii="宋体" w:hAnsi="宋体" w:eastAsia="宋体" w:cs="宋体"/>
                <w:spacing w:val="6"/>
                <w:sz w:val="21"/>
                <w:szCs w:val="21"/>
              </w:rPr>
              <w:t>保护和劳动条件、劳务报酬 (在劳动合同中要明确工资以货币形式按月支付，并</w:t>
            </w:r>
            <w:r>
              <w:rPr>
                <w:rFonts w:hint="eastAsia" w:ascii="宋体" w:hAnsi="宋体" w:eastAsia="宋体" w:cs="宋体"/>
                <w:sz w:val="21"/>
                <w:szCs w:val="21"/>
              </w:rPr>
              <w:t xml:space="preserve"> </w:t>
            </w:r>
            <w:r>
              <w:rPr>
                <w:rFonts w:hint="eastAsia" w:ascii="宋体" w:hAnsi="宋体" w:eastAsia="宋体" w:cs="宋体"/>
                <w:spacing w:val="6"/>
                <w:sz w:val="21"/>
                <w:szCs w:val="21"/>
              </w:rPr>
              <w:t>约定支付的时间、标准和支付方式) 、劳动纪律 (在劳动合同中明确要求农民工</w:t>
            </w:r>
            <w:r>
              <w:rPr>
                <w:rFonts w:hint="eastAsia" w:ascii="宋体" w:hAnsi="宋体" w:eastAsia="宋体" w:cs="宋体"/>
                <w:spacing w:val="3"/>
                <w:sz w:val="21"/>
                <w:szCs w:val="21"/>
              </w:rPr>
              <w:t>遵</w:t>
            </w:r>
            <w:r>
              <w:rPr>
                <w:rFonts w:hint="eastAsia" w:ascii="宋体" w:hAnsi="宋体" w:eastAsia="宋体" w:cs="宋体"/>
                <w:sz w:val="21"/>
                <w:szCs w:val="21"/>
              </w:rPr>
              <w:t xml:space="preserve"> </w:t>
            </w:r>
            <w:r>
              <w:rPr>
                <w:rFonts w:hint="eastAsia" w:ascii="宋体" w:hAnsi="宋体" w:eastAsia="宋体" w:cs="宋体"/>
                <w:spacing w:val="12"/>
                <w:sz w:val="21"/>
                <w:szCs w:val="21"/>
              </w:rPr>
              <w:t>守</w:t>
            </w:r>
            <w:r>
              <w:rPr>
                <w:rFonts w:hint="eastAsia" w:ascii="宋体" w:hAnsi="宋体" w:eastAsia="宋体" w:cs="宋体"/>
                <w:spacing w:val="9"/>
                <w:sz w:val="21"/>
                <w:szCs w:val="21"/>
              </w:rPr>
              <w:t>的</w:t>
            </w:r>
            <w:r>
              <w:rPr>
                <w:rFonts w:hint="eastAsia" w:ascii="宋体" w:hAnsi="宋体" w:eastAsia="宋体" w:cs="宋体"/>
                <w:spacing w:val="6"/>
                <w:sz w:val="21"/>
                <w:szCs w:val="21"/>
              </w:rPr>
              <w:t>用人单位依法制定的有关规章制度，用人单位应当在签订劳动合同前告知农民</w:t>
            </w:r>
            <w:r>
              <w:rPr>
                <w:rFonts w:hint="eastAsia" w:ascii="宋体" w:hAnsi="宋体" w:eastAsia="宋体" w:cs="宋体"/>
                <w:sz w:val="21"/>
                <w:szCs w:val="21"/>
              </w:rPr>
              <w:t xml:space="preserve"> </w:t>
            </w:r>
            <w:r>
              <w:rPr>
                <w:rFonts w:hint="eastAsia" w:ascii="宋体" w:hAnsi="宋体" w:eastAsia="宋体" w:cs="宋体"/>
                <w:spacing w:val="6"/>
                <w:sz w:val="21"/>
                <w:szCs w:val="21"/>
              </w:rPr>
              <w:t>工) 、违反劳务合同的责任 (劳务合同中应当约定违约责任，一方违反劳务合同</w:t>
            </w:r>
            <w:r>
              <w:rPr>
                <w:rFonts w:hint="eastAsia" w:ascii="宋体" w:hAnsi="宋体" w:eastAsia="宋体" w:cs="宋体"/>
                <w:spacing w:val="3"/>
                <w:sz w:val="21"/>
                <w:szCs w:val="21"/>
              </w:rPr>
              <w:t>给</w:t>
            </w:r>
            <w:r>
              <w:rPr>
                <w:rFonts w:hint="eastAsia" w:ascii="宋体" w:hAnsi="宋体" w:eastAsia="宋体" w:cs="宋体"/>
                <w:sz w:val="21"/>
                <w:szCs w:val="21"/>
              </w:rPr>
              <w:t xml:space="preserve"> </w:t>
            </w:r>
            <w:r>
              <w:rPr>
                <w:rFonts w:hint="eastAsia" w:ascii="宋体" w:hAnsi="宋体" w:eastAsia="宋体" w:cs="宋体"/>
                <w:spacing w:val="10"/>
                <w:sz w:val="21"/>
                <w:szCs w:val="21"/>
              </w:rPr>
              <w:t>对方造</w:t>
            </w:r>
            <w:r>
              <w:rPr>
                <w:rFonts w:hint="eastAsia" w:ascii="宋体" w:hAnsi="宋体" w:eastAsia="宋体" w:cs="宋体"/>
                <w:spacing w:val="5"/>
                <w:sz w:val="21"/>
                <w:szCs w:val="21"/>
              </w:rPr>
              <w:t>成经济损失的，要按《劳动法》等有关法律规定承担赔偿责任) 。</w:t>
            </w:r>
          </w:p>
          <w:p w14:paraId="77C85A24">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0"/>
                <w:position w:val="15"/>
                <w:sz w:val="21"/>
                <w:szCs w:val="21"/>
              </w:rPr>
              <w:t>(6) 发</w:t>
            </w:r>
            <w:r>
              <w:rPr>
                <w:rFonts w:hint="eastAsia" w:ascii="宋体" w:hAnsi="宋体" w:eastAsia="宋体" w:cs="宋体"/>
                <w:spacing w:val="5"/>
                <w:position w:val="15"/>
                <w:sz w:val="21"/>
                <w:szCs w:val="21"/>
              </w:rPr>
              <w:t>包人批准的劳务分包并不免除本合同规定的承包人的任何责任或义</w:t>
            </w:r>
          </w:p>
          <w:p w14:paraId="16EA4D20">
            <w:pPr>
              <w:snapToGrid w:val="0"/>
              <w:spacing w:line="240" w:lineRule="auto"/>
              <w:ind w:left="0" w:leftChars="0" w:right="0" w:rightChars="0" w:firstLine="0" w:firstLineChars="0"/>
              <w:jc w:val="left"/>
              <w:rPr>
                <w:rFonts w:hint="eastAsia" w:ascii="宋体" w:hAnsi="宋体" w:eastAsia="宋体" w:cs="宋体"/>
                <w:spacing w:val="9"/>
                <w:sz w:val="21"/>
                <w:szCs w:val="21"/>
              </w:rPr>
            </w:pPr>
            <w:r>
              <w:rPr>
                <w:rFonts w:hint="eastAsia" w:ascii="宋体" w:hAnsi="宋体" w:cs="宋体"/>
                <w:spacing w:val="10"/>
                <w:sz w:val="21"/>
                <w:szCs w:val="21"/>
                <w:lang w:val="en-US" w:eastAsia="zh-CN"/>
              </w:rPr>
              <w:t>务，发</w:t>
            </w:r>
            <w:r>
              <w:rPr>
                <w:rFonts w:hint="eastAsia" w:ascii="宋体" w:hAnsi="宋体" w:eastAsia="宋体" w:cs="宋体"/>
                <w:spacing w:val="10"/>
                <w:sz w:val="21"/>
                <w:szCs w:val="21"/>
              </w:rPr>
              <w:t>包人对承</w:t>
            </w:r>
            <w:r>
              <w:rPr>
                <w:rFonts w:hint="eastAsia" w:ascii="宋体" w:hAnsi="宋体" w:eastAsia="宋体" w:cs="宋体"/>
                <w:spacing w:val="7"/>
                <w:sz w:val="21"/>
                <w:szCs w:val="21"/>
              </w:rPr>
              <w:t>包</w:t>
            </w:r>
            <w:r>
              <w:rPr>
                <w:rFonts w:hint="eastAsia" w:ascii="宋体" w:hAnsi="宋体" w:eastAsia="宋体" w:cs="宋体"/>
                <w:spacing w:val="5"/>
                <w:sz w:val="21"/>
                <w:szCs w:val="21"/>
              </w:rPr>
              <w:t>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D296BCC">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3</w:t>
            </w:r>
          </w:p>
        </w:tc>
        <w:tc>
          <w:tcPr>
            <w:tcW w:w="936" w:type="dxa"/>
            <w:vAlign w:val="center"/>
          </w:tcPr>
          <w:p w14:paraId="31A8741C">
            <w:pPr>
              <w:snapToGrid w:val="0"/>
              <w:spacing w:before="57"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5"/>
                <w:sz w:val="21"/>
                <w:szCs w:val="21"/>
                <w:highlight w:val="red"/>
              </w:rPr>
              <w:t>4</w:t>
            </w:r>
            <w:r>
              <w:rPr>
                <w:rFonts w:hint="eastAsia" w:ascii="宋体" w:hAnsi="宋体" w:eastAsia="宋体" w:cs="宋体"/>
                <w:spacing w:val="3"/>
                <w:sz w:val="21"/>
                <w:szCs w:val="21"/>
                <w:highlight w:val="red"/>
              </w:rPr>
              <w:t>.3</w:t>
            </w:r>
          </w:p>
        </w:tc>
        <w:tc>
          <w:tcPr>
            <w:tcW w:w="7226" w:type="dxa"/>
            <w:tcBorders>
              <w:right w:val="single" w:color="000000" w:sz="6" w:space="0"/>
            </w:tcBorders>
            <w:vAlign w:val="center"/>
          </w:tcPr>
          <w:p w14:paraId="0A8A4781">
            <w:pPr>
              <w:snapToGrid w:val="0"/>
              <w:spacing w:before="14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4"/>
                <w:sz w:val="21"/>
                <w:szCs w:val="21"/>
              </w:rPr>
              <w:t>本</w:t>
            </w:r>
            <w:r>
              <w:rPr>
                <w:rFonts w:hint="eastAsia" w:ascii="宋体" w:hAnsi="宋体" w:eastAsia="宋体" w:cs="宋体"/>
                <w:spacing w:val="3"/>
                <w:sz w:val="21"/>
                <w:szCs w:val="21"/>
              </w:rPr>
              <w:t>款补充：</w:t>
            </w:r>
          </w:p>
          <w:p w14:paraId="20CCCB93">
            <w:pPr>
              <w:snapToGrid w:val="0"/>
              <w:spacing w:before="153"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6"/>
                <w:sz w:val="21"/>
                <w:szCs w:val="21"/>
              </w:rPr>
              <w:t>4</w:t>
            </w:r>
            <w:r>
              <w:rPr>
                <w:rFonts w:hint="eastAsia" w:ascii="宋体" w:hAnsi="宋体" w:eastAsia="宋体" w:cs="宋体"/>
                <w:spacing w:val="3"/>
                <w:sz w:val="21"/>
                <w:szCs w:val="21"/>
              </w:rPr>
              <w:t>.3.8  本项目的分包合同及劳动合同应按照发包人的要求，按照住房和城乡建设部</w:t>
            </w:r>
            <w:r>
              <w:rPr>
                <w:rFonts w:hint="eastAsia" w:ascii="宋体" w:hAnsi="宋体" w:eastAsia="宋体" w:cs="宋体"/>
                <w:sz w:val="21"/>
                <w:szCs w:val="21"/>
              </w:rPr>
              <w:t xml:space="preserve"> </w:t>
            </w:r>
            <w:r>
              <w:rPr>
                <w:rFonts w:hint="eastAsia" w:ascii="宋体" w:hAnsi="宋体" w:eastAsia="宋体" w:cs="宋体"/>
                <w:spacing w:val="12"/>
                <w:sz w:val="21"/>
                <w:szCs w:val="21"/>
              </w:rPr>
              <w:t>和</w:t>
            </w:r>
            <w:r>
              <w:rPr>
                <w:rFonts w:hint="eastAsia" w:ascii="宋体" w:hAnsi="宋体" w:eastAsia="宋体" w:cs="宋体"/>
                <w:spacing w:val="7"/>
                <w:sz w:val="21"/>
                <w:szCs w:val="21"/>
              </w:rPr>
              <w:t>劳</w:t>
            </w:r>
            <w:r>
              <w:rPr>
                <w:rFonts w:hint="eastAsia" w:ascii="宋体" w:hAnsi="宋体" w:eastAsia="宋体" w:cs="宋体"/>
                <w:spacing w:val="6"/>
                <w:sz w:val="21"/>
                <w:szCs w:val="21"/>
              </w:rPr>
              <w:t>动社会保障部的示范合同文本，或交通运输主管部门颁发的示范合同文本编制</w:t>
            </w:r>
            <w:r>
              <w:rPr>
                <w:rFonts w:hint="eastAsia" w:ascii="宋体" w:hAnsi="宋体" w:eastAsia="宋体" w:cs="宋体"/>
                <w:sz w:val="21"/>
                <w:szCs w:val="21"/>
              </w:rPr>
              <w:t xml:space="preserve"> </w:t>
            </w:r>
            <w:r>
              <w:rPr>
                <w:rFonts w:hint="eastAsia" w:ascii="宋体" w:hAnsi="宋体" w:eastAsia="宋体" w:cs="宋体"/>
                <w:spacing w:val="3"/>
                <w:sz w:val="21"/>
                <w:szCs w:val="21"/>
              </w:rPr>
              <w:t>并签订。</w:t>
            </w:r>
          </w:p>
          <w:p w14:paraId="2577715B">
            <w:pPr>
              <w:snapToGrid w:val="0"/>
              <w:spacing w:line="240" w:lineRule="auto"/>
              <w:ind w:left="0" w:leftChars="0" w:right="0" w:rightChars="0" w:firstLine="0" w:firstLineChars="0"/>
              <w:jc w:val="left"/>
              <w:rPr>
                <w:rFonts w:hint="eastAsia" w:ascii="宋体" w:hAnsi="宋体" w:eastAsia="宋体" w:cs="宋体"/>
                <w:spacing w:val="9"/>
                <w:sz w:val="21"/>
                <w:szCs w:val="21"/>
              </w:rPr>
            </w:pPr>
            <w:r>
              <w:rPr>
                <w:rFonts w:hint="eastAsia" w:ascii="宋体" w:hAnsi="宋体" w:eastAsia="宋体" w:cs="宋体"/>
                <w:spacing w:val="4"/>
                <w:position w:val="14"/>
                <w:sz w:val="21"/>
                <w:szCs w:val="21"/>
              </w:rPr>
              <w:t>4.3.9  承包人的分包应符合本项目招标文件第二章“投标人须知”第 1. 11 款的</w:t>
            </w:r>
            <w:r>
              <w:rPr>
                <w:rFonts w:hint="eastAsia" w:ascii="宋体" w:hAnsi="宋体" w:eastAsia="宋体" w:cs="宋体"/>
                <w:spacing w:val="1"/>
                <w:position w:val="14"/>
                <w:sz w:val="21"/>
                <w:szCs w:val="21"/>
              </w:rPr>
              <w:t>规</w:t>
            </w:r>
            <w:r>
              <w:rPr>
                <w:rFonts w:hint="eastAsia" w:ascii="宋体" w:hAnsi="宋体" w:cs="宋体"/>
                <w:spacing w:val="1"/>
                <w:position w:val="14"/>
                <w:sz w:val="21"/>
                <w:szCs w:val="21"/>
                <w:lang w:val="en-US" w:eastAsia="zh-CN"/>
              </w:rPr>
              <w:t>定。</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64B6866">
            <w:pPr>
              <w:snapToGrid w:val="0"/>
              <w:spacing w:before="58"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4</w:t>
            </w:r>
          </w:p>
        </w:tc>
        <w:tc>
          <w:tcPr>
            <w:tcW w:w="936" w:type="dxa"/>
            <w:vAlign w:val="center"/>
          </w:tcPr>
          <w:p w14:paraId="1D4CF663">
            <w:pPr>
              <w:snapToGrid w:val="0"/>
              <w:spacing w:before="58" w:line="240" w:lineRule="auto"/>
              <w:ind w:left="0" w:leftChars="0" w:right="0" w:rightChars="0" w:firstLine="0" w:firstLineChars="0"/>
              <w:jc w:val="center"/>
              <w:rPr>
                <w:rFonts w:hint="eastAsia" w:ascii="宋体" w:hAnsi="宋体" w:eastAsia="宋体" w:cs="宋体"/>
                <w:spacing w:val="5"/>
                <w:sz w:val="21"/>
                <w:szCs w:val="21"/>
                <w:highlight w:val="red"/>
              </w:rPr>
            </w:pPr>
            <w:r>
              <w:rPr>
                <w:rFonts w:hint="eastAsia" w:ascii="宋体" w:hAnsi="宋体" w:eastAsia="宋体" w:cs="宋体"/>
                <w:spacing w:val="5"/>
                <w:sz w:val="21"/>
                <w:szCs w:val="21"/>
                <w:highlight w:val="red"/>
              </w:rPr>
              <w:t>4</w:t>
            </w:r>
            <w:r>
              <w:rPr>
                <w:rFonts w:hint="eastAsia" w:ascii="宋体" w:hAnsi="宋体" w:eastAsia="宋体" w:cs="宋体"/>
                <w:spacing w:val="4"/>
                <w:sz w:val="21"/>
                <w:szCs w:val="21"/>
                <w:highlight w:val="red"/>
              </w:rPr>
              <w:t>.9</w:t>
            </w:r>
          </w:p>
        </w:tc>
        <w:tc>
          <w:tcPr>
            <w:tcW w:w="7226" w:type="dxa"/>
            <w:tcBorders>
              <w:right w:val="single" w:color="000000" w:sz="6" w:space="0"/>
            </w:tcBorders>
            <w:vAlign w:val="center"/>
          </w:tcPr>
          <w:p w14:paraId="6A1DE2C6">
            <w:pPr>
              <w:snapToGrid w:val="0"/>
              <w:spacing w:before="142" w:line="240" w:lineRule="auto"/>
              <w:ind w:left="0" w:leftChars="0" w:right="0" w:rightChars="0" w:firstLine="0" w:firstLineChars="0"/>
              <w:jc w:val="left"/>
              <w:rPr>
                <w:rFonts w:hint="eastAsia" w:ascii="宋体" w:hAnsi="宋体" w:eastAsia="宋体" w:cs="宋体"/>
                <w:spacing w:val="-3"/>
                <w:sz w:val="21"/>
                <w:szCs w:val="21"/>
              </w:rPr>
            </w:pPr>
            <w:r>
              <w:rPr>
                <w:rFonts w:hint="eastAsia" w:ascii="宋体" w:hAnsi="宋体" w:eastAsia="宋体" w:cs="宋体"/>
                <w:spacing w:val="12"/>
                <w:sz w:val="21"/>
                <w:szCs w:val="21"/>
              </w:rPr>
              <w:t>工</w:t>
            </w:r>
            <w:r>
              <w:rPr>
                <w:rFonts w:hint="eastAsia" w:ascii="宋体" w:hAnsi="宋体" w:eastAsia="宋体" w:cs="宋体"/>
                <w:spacing w:val="8"/>
                <w:sz w:val="21"/>
                <w:szCs w:val="21"/>
              </w:rPr>
              <w:t>程</w:t>
            </w:r>
            <w:r>
              <w:rPr>
                <w:rFonts w:hint="eastAsia" w:ascii="宋体" w:hAnsi="宋体" w:eastAsia="宋体" w:cs="宋体"/>
                <w:spacing w:val="6"/>
                <w:sz w:val="21"/>
                <w:szCs w:val="21"/>
              </w:rPr>
              <w:t>价款应专款专用：经发包人提出申请后，发包人按合同约定支付给承包人的</w:t>
            </w:r>
            <w:r>
              <w:rPr>
                <w:rFonts w:hint="eastAsia" w:ascii="宋体" w:hAnsi="宋体" w:eastAsia="宋体" w:cs="宋体"/>
                <w:sz w:val="21"/>
                <w:szCs w:val="21"/>
              </w:rPr>
              <w:t xml:space="preserve"> </w:t>
            </w:r>
            <w:r>
              <w:rPr>
                <w:rFonts w:hint="eastAsia" w:ascii="宋体" w:hAnsi="宋体" w:eastAsia="宋体" w:cs="宋体"/>
                <w:spacing w:val="4"/>
                <w:sz w:val="21"/>
                <w:szCs w:val="21"/>
              </w:rPr>
              <w:t>各</w:t>
            </w:r>
            <w:r>
              <w:rPr>
                <w:rFonts w:hint="eastAsia" w:ascii="宋体" w:hAnsi="宋体" w:eastAsia="宋体" w:cs="宋体"/>
                <w:spacing w:val="2"/>
                <w:sz w:val="21"/>
                <w:szCs w:val="21"/>
              </w:rPr>
              <w:t>项价款应专用于合同工程。发包人支付的工程进度款应为本工程的专款专用资金，</w:t>
            </w:r>
            <w:r>
              <w:rPr>
                <w:rFonts w:hint="eastAsia" w:ascii="宋体" w:hAnsi="宋体" w:eastAsia="宋体" w:cs="宋体"/>
                <w:sz w:val="21"/>
                <w:szCs w:val="21"/>
              </w:rPr>
              <w:t xml:space="preserve"> </w:t>
            </w:r>
            <w:r>
              <w:rPr>
                <w:rFonts w:hint="eastAsia" w:ascii="宋体" w:hAnsi="宋体" w:eastAsia="宋体" w:cs="宋体"/>
                <w:spacing w:val="12"/>
                <w:sz w:val="21"/>
                <w:szCs w:val="21"/>
              </w:rPr>
              <w:t>不</w:t>
            </w:r>
            <w:r>
              <w:rPr>
                <w:rFonts w:hint="eastAsia" w:ascii="宋体" w:hAnsi="宋体" w:eastAsia="宋体" w:cs="宋体"/>
                <w:spacing w:val="7"/>
                <w:sz w:val="21"/>
                <w:szCs w:val="21"/>
              </w:rPr>
              <w:t>得</w:t>
            </w:r>
            <w:r>
              <w:rPr>
                <w:rFonts w:hint="eastAsia" w:ascii="宋体" w:hAnsi="宋体" w:eastAsia="宋体" w:cs="宋体"/>
                <w:spacing w:val="6"/>
                <w:sz w:val="21"/>
                <w:szCs w:val="21"/>
              </w:rPr>
              <w:t>转移或用于其他工程。发包人及其派出机构有权不定期对承包人工程资金使用</w:t>
            </w:r>
            <w:r>
              <w:rPr>
                <w:rFonts w:hint="eastAsia" w:ascii="宋体" w:hAnsi="宋体" w:eastAsia="宋体" w:cs="宋体"/>
                <w:sz w:val="21"/>
                <w:szCs w:val="21"/>
              </w:rPr>
              <w:t xml:space="preserve"> </w:t>
            </w:r>
            <w:r>
              <w:rPr>
                <w:rFonts w:hint="eastAsia" w:ascii="宋体" w:hAnsi="宋体" w:eastAsia="宋体" w:cs="宋体"/>
                <w:spacing w:val="12"/>
                <w:sz w:val="21"/>
                <w:szCs w:val="21"/>
              </w:rPr>
              <w:t>情</w:t>
            </w:r>
            <w:r>
              <w:rPr>
                <w:rFonts w:hint="eastAsia" w:ascii="宋体" w:hAnsi="宋体" w:eastAsia="宋体" w:cs="宋体"/>
                <w:spacing w:val="7"/>
                <w:sz w:val="21"/>
                <w:szCs w:val="21"/>
              </w:rPr>
              <w:t>况</w:t>
            </w:r>
            <w:r>
              <w:rPr>
                <w:rFonts w:hint="eastAsia" w:ascii="宋体" w:hAnsi="宋体" w:eastAsia="宋体" w:cs="宋体"/>
                <w:spacing w:val="6"/>
                <w:sz w:val="21"/>
                <w:szCs w:val="21"/>
              </w:rPr>
              <w:t>进行检查，发现问题及时责令承包人限期改正，否则，将终止支付，直至承包</w:t>
            </w:r>
            <w:r>
              <w:rPr>
                <w:rFonts w:hint="eastAsia" w:ascii="宋体" w:hAnsi="宋体" w:cs="宋体"/>
                <w:spacing w:val="6"/>
                <w:sz w:val="21"/>
                <w:szCs w:val="21"/>
                <w:lang w:val="en-US" w:eastAsia="zh-CN"/>
              </w:rPr>
              <w:t>人改正为止。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F7AC450">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5</w:t>
            </w:r>
          </w:p>
        </w:tc>
        <w:tc>
          <w:tcPr>
            <w:tcW w:w="936" w:type="dxa"/>
            <w:vAlign w:val="center"/>
          </w:tcPr>
          <w:p w14:paraId="69BD1B5E">
            <w:pPr>
              <w:snapToGrid w:val="0"/>
              <w:spacing w:before="57" w:line="240" w:lineRule="auto"/>
              <w:ind w:left="0" w:leftChars="0" w:right="0" w:rightChars="0" w:firstLine="0" w:firstLineChars="0"/>
              <w:jc w:val="center"/>
              <w:rPr>
                <w:rFonts w:hint="eastAsia" w:ascii="宋体" w:hAnsi="宋体" w:eastAsia="宋体" w:cs="宋体"/>
                <w:spacing w:val="5"/>
                <w:sz w:val="21"/>
                <w:szCs w:val="21"/>
                <w:highlight w:val="red"/>
              </w:rPr>
            </w:pPr>
            <w:r>
              <w:rPr>
                <w:rFonts w:hint="eastAsia" w:ascii="宋体" w:hAnsi="宋体" w:eastAsia="宋体" w:cs="宋体"/>
                <w:spacing w:val="-10"/>
                <w:sz w:val="21"/>
                <w:szCs w:val="21"/>
                <w:highlight w:val="red"/>
              </w:rPr>
              <w:t>4</w:t>
            </w:r>
            <w:r>
              <w:rPr>
                <w:rFonts w:hint="eastAsia" w:ascii="宋体" w:hAnsi="宋体" w:eastAsia="宋体" w:cs="宋体"/>
                <w:spacing w:val="-7"/>
                <w:sz w:val="21"/>
                <w:szCs w:val="21"/>
                <w:highlight w:val="red"/>
              </w:rPr>
              <w:t>. 13</w:t>
            </w:r>
          </w:p>
        </w:tc>
        <w:tc>
          <w:tcPr>
            <w:tcW w:w="7226" w:type="dxa"/>
            <w:tcBorders>
              <w:right w:val="single" w:color="000000" w:sz="6" w:space="0"/>
            </w:tcBorders>
            <w:vAlign w:val="center"/>
          </w:tcPr>
          <w:p w14:paraId="1D31B5B8">
            <w:pPr>
              <w:snapToGrid w:val="0"/>
              <w:spacing w:before="15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sz w:val="21"/>
                <w:szCs w:val="21"/>
              </w:rPr>
              <w:t>承</w:t>
            </w:r>
            <w:r>
              <w:rPr>
                <w:rFonts w:hint="eastAsia" w:ascii="宋体" w:hAnsi="宋体" w:eastAsia="宋体" w:cs="宋体"/>
                <w:spacing w:val="12"/>
                <w:sz w:val="21"/>
                <w:szCs w:val="21"/>
              </w:rPr>
              <w:t>包人为国有控股或参股企业的，承包人应按规定在项目现场设立基层党组</w:t>
            </w:r>
            <w:r>
              <w:rPr>
                <w:rFonts w:hint="eastAsia" w:ascii="宋体" w:hAnsi="宋体" w:eastAsia="宋体" w:cs="宋体"/>
                <w:sz w:val="21"/>
                <w:szCs w:val="21"/>
              </w:rPr>
              <w:t xml:space="preserve"> </w:t>
            </w:r>
            <w:r>
              <w:rPr>
                <w:rFonts w:hint="eastAsia" w:ascii="宋体" w:hAnsi="宋体" w:eastAsia="宋体" w:cs="宋体"/>
                <w:spacing w:val="14"/>
                <w:sz w:val="21"/>
                <w:szCs w:val="21"/>
              </w:rPr>
              <w:t>织</w:t>
            </w:r>
            <w:r>
              <w:rPr>
                <w:rFonts w:hint="eastAsia" w:ascii="宋体" w:hAnsi="宋体" w:eastAsia="宋体" w:cs="宋体"/>
                <w:spacing w:val="12"/>
                <w:sz w:val="21"/>
                <w:szCs w:val="21"/>
              </w:rPr>
              <w:t>。承包人为非国有控股或参股企业的，承包人应创造条件使党员能够参加党组</w:t>
            </w:r>
            <w:r>
              <w:rPr>
                <w:rFonts w:hint="eastAsia" w:ascii="宋体" w:hAnsi="宋体" w:eastAsia="宋体" w:cs="宋体"/>
                <w:sz w:val="21"/>
                <w:szCs w:val="21"/>
              </w:rPr>
              <w:t xml:space="preserve"> </w:t>
            </w:r>
            <w:r>
              <w:rPr>
                <w:rFonts w:hint="eastAsia" w:ascii="宋体" w:hAnsi="宋体" w:eastAsia="宋体" w:cs="宋体"/>
                <w:spacing w:val="14"/>
                <w:sz w:val="21"/>
                <w:szCs w:val="21"/>
              </w:rPr>
              <w:t>织</w:t>
            </w:r>
            <w:r>
              <w:rPr>
                <w:rFonts w:hint="eastAsia" w:ascii="宋体" w:hAnsi="宋体" w:eastAsia="宋体" w:cs="宋体"/>
                <w:spacing w:val="12"/>
                <w:sz w:val="21"/>
                <w:szCs w:val="21"/>
              </w:rPr>
              <w:t>生活并接受相应管理。承包人应在项目现场设立基层党组织，积极组织党员学</w:t>
            </w:r>
            <w:r>
              <w:rPr>
                <w:rFonts w:hint="eastAsia" w:ascii="宋体" w:hAnsi="宋体" w:eastAsia="宋体" w:cs="宋体"/>
                <w:sz w:val="21"/>
                <w:szCs w:val="21"/>
              </w:rPr>
              <w:t xml:space="preserve"> </w:t>
            </w:r>
            <w:r>
              <w:rPr>
                <w:rFonts w:hint="eastAsia" w:ascii="宋体" w:hAnsi="宋体" w:eastAsia="宋体" w:cs="宋体"/>
                <w:spacing w:val="22"/>
                <w:sz w:val="21"/>
                <w:szCs w:val="21"/>
              </w:rPr>
              <w:t>习</w:t>
            </w:r>
            <w:r>
              <w:rPr>
                <w:rFonts w:hint="eastAsia" w:ascii="宋体" w:hAnsi="宋体" w:eastAsia="宋体" w:cs="宋体"/>
                <w:spacing w:val="13"/>
                <w:sz w:val="21"/>
                <w:szCs w:val="21"/>
              </w:rPr>
              <w:t>，</w:t>
            </w:r>
            <w:r>
              <w:rPr>
                <w:rFonts w:hint="eastAsia" w:ascii="宋体" w:hAnsi="宋体" w:eastAsia="宋体" w:cs="宋体"/>
                <w:spacing w:val="11"/>
                <w:sz w:val="21"/>
                <w:szCs w:val="21"/>
              </w:rPr>
              <w:t>承办党建工作室 (党员之家) ，建立党建工作制度、明确“两学一做”常态</w:t>
            </w:r>
            <w:r>
              <w:rPr>
                <w:rFonts w:hint="eastAsia" w:ascii="宋体" w:hAnsi="宋体" w:eastAsia="宋体" w:cs="宋体"/>
                <w:sz w:val="21"/>
                <w:szCs w:val="21"/>
              </w:rPr>
              <w:t xml:space="preserve"> </w:t>
            </w:r>
            <w:r>
              <w:rPr>
                <w:rFonts w:hint="eastAsia" w:ascii="宋体" w:hAnsi="宋体" w:eastAsia="宋体" w:cs="宋体"/>
                <w:spacing w:val="14"/>
                <w:sz w:val="21"/>
                <w:szCs w:val="21"/>
              </w:rPr>
              <w:t>化</w:t>
            </w:r>
            <w:r>
              <w:rPr>
                <w:rFonts w:hint="eastAsia" w:ascii="宋体" w:hAnsi="宋体" w:eastAsia="宋体" w:cs="宋体"/>
                <w:spacing w:val="12"/>
                <w:sz w:val="21"/>
                <w:szCs w:val="21"/>
              </w:rPr>
              <w:t>制度化建设目标和任务、明确党组织机构设置、党组织负责人及党务工作人员</w:t>
            </w:r>
            <w:r>
              <w:rPr>
                <w:rFonts w:hint="eastAsia" w:ascii="宋体" w:hAnsi="宋体" w:eastAsia="宋体" w:cs="宋体"/>
                <w:sz w:val="21"/>
                <w:szCs w:val="21"/>
              </w:rPr>
              <w:t xml:space="preserve"> </w:t>
            </w:r>
            <w:r>
              <w:rPr>
                <w:rFonts w:hint="eastAsia" w:ascii="宋体" w:hAnsi="宋体" w:eastAsia="宋体" w:cs="宋体"/>
                <w:spacing w:val="14"/>
                <w:sz w:val="21"/>
                <w:szCs w:val="21"/>
              </w:rPr>
              <w:t>配</w:t>
            </w:r>
            <w:r>
              <w:rPr>
                <w:rFonts w:hint="eastAsia" w:ascii="宋体" w:hAnsi="宋体" w:eastAsia="宋体" w:cs="宋体"/>
                <w:spacing w:val="12"/>
                <w:sz w:val="21"/>
                <w:szCs w:val="21"/>
              </w:rPr>
              <w:t>备情况，编制党务工作开展预案，并按照预案要求在项目实施过程中同步开展</w:t>
            </w:r>
          </w:p>
          <w:p w14:paraId="7BFAF6DE">
            <w:pPr>
              <w:snapToGrid w:val="0"/>
              <w:spacing w:line="240" w:lineRule="auto"/>
              <w:ind w:left="0" w:leftChars="0" w:right="0" w:rightChars="0" w:firstLine="0" w:firstLineChars="0"/>
              <w:jc w:val="left"/>
              <w:rPr>
                <w:rFonts w:hint="eastAsia" w:ascii="宋体" w:hAnsi="宋体" w:eastAsia="宋体" w:cs="宋体"/>
                <w:spacing w:val="-3"/>
                <w:sz w:val="21"/>
                <w:szCs w:val="21"/>
              </w:rPr>
            </w:pPr>
            <w:r>
              <w:rPr>
                <w:rFonts w:hint="eastAsia" w:ascii="宋体" w:hAnsi="宋体" w:eastAsia="宋体" w:cs="宋体"/>
                <w:spacing w:val="12"/>
                <w:sz w:val="21"/>
                <w:szCs w:val="21"/>
              </w:rPr>
              <w:t>党</w:t>
            </w:r>
            <w:r>
              <w:rPr>
                <w:rFonts w:hint="eastAsia" w:ascii="宋体" w:hAnsi="宋体" w:eastAsia="宋体" w:cs="宋体"/>
                <w:spacing w:val="9"/>
                <w:sz w:val="21"/>
                <w:szCs w:val="21"/>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1452875">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6</w:t>
            </w:r>
          </w:p>
        </w:tc>
        <w:tc>
          <w:tcPr>
            <w:tcW w:w="936" w:type="dxa"/>
            <w:vAlign w:val="center"/>
          </w:tcPr>
          <w:p w14:paraId="2505E04A">
            <w:pPr>
              <w:snapToGrid w:val="0"/>
              <w:spacing w:before="58" w:line="240" w:lineRule="auto"/>
              <w:ind w:left="0" w:leftChars="0" w:right="0" w:rightChars="0" w:firstLine="0" w:firstLineChars="0"/>
              <w:jc w:val="center"/>
              <w:rPr>
                <w:rFonts w:hint="eastAsia" w:ascii="宋体" w:hAnsi="宋体" w:eastAsia="宋体" w:cs="宋体"/>
                <w:spacing w:val="5"/>
                <w:sz w:val="21"/>
                <w:szCs w:val="21"/>
                <w:highlight w:val="red"/>
              </w:rPr>
            </w:pPr>
            <w:r>
              <w:rPr>
                <w:rFonts w:hint="eastAsia" w:ascii="宋体" w:hAnsi="宋体" w:eastAsia="宋体" w:cs="宋体"/>
                <w:spacing w:val="-7"/>
                <w:sz w:val="21"/>
                <w:szCs w:val="21"/>
                <w:highlight w:val="red"/>
              </w:rPr>
              <w:t>5. 1.2</w:t>
            </w:r>
          </w:p>
        </w:tc>
        <w:tc>
          <w:tcPr>
            <w:tcW w:w="7226" w:type="dxa"/>
            <w:tcBorders>
              <w:right w:val="single" w:color="000000" w:sz="6" w:space="0"/>
            </w:tcBorders>
            <w:vAlign w:val="center"/>
          </w:tcPr>
          <w:p w14:paraId="69714F4B">
            <w:pPr>
              <w:snapToGrid w:val="0"/>
              <w:spacing w:before="14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3"/>
                <w:sz w:val="21"/>
                <w:szCs w:val="21"/>
              </w:rPr>
              <w:t>1、为确保本合同工程的施工质量，在合同履行过程中，发包人将结合国</w:t>
            </w:r>
            <w:r>
              <w:rPr>
                <w:rFonts w:hint="eastAsia" w:ascii="宋体" w:hAnsi="宋体" w:eastAsia="宋体" w:cs="宋体"/>
                <w:spacing w:val="2"/>
                <w:sz w:val="21"/>
                <w:szCs w:val="21"/>
              </w:rPr>
              <w:t>内</w:t>
            </w:r>
            <w:r>
              <w:rPr>
                <w:rFonts w:hint="eastAsia" w:ascii="宋体" w:hAnsi="宋体" w:eastAsia="宋体" w:cs="宋体"/>
                <w:sz w:val="21"/>
                <w:szCs w:val="21"/>
              </w:rPr>
              <w:t xml:space="preserve">工程 </w:t>
            </w:r>
            <w:r>
              <w:rPr>
                <w:rFonts w:hint="eastAsia" w:ascii="宋体" w:hAnsi="宋体" w:eastAsia="宋体" w:cs="宋体"/>
                <w:spacing w:val="12"/>
                <w:sz w:val="21"/>
                <w:szCs w:val="21"/>
              </w:rPr>
              <w:t>施</w:t>
            </w:r>
            <w:r>
              <w:rPr>
                <w:rFonts w:hint="eastAsia" w:ascii="宋体" w:hAnsi="宋体" w:eastAsia="宋体" w:cs="宋体"/>
                <w:spacing w:val="9"/>
                <w:sz w:val="21"/>
                <w:szCs w:val="21"/>
              </w:rPr>
              <w:t>工</w:t>
            </w:r>
            <w:r>
              <w:rPr>
                <w:rFonts w:hint="eastAsia" w:ascii="宋体" w:hAnsi="宋体" w:eastAsia="宋体" w:cs="宋体"/>
                <w:spacing w:val="6"/>
                <w:sz w:val="21"/>
                <w:szCs w:val="21"/>
              </w:rPr>
              <w:t>现状，以及工程实际需要，对部分施工流程或工艺等提出特殊的设备要求，承</w:t>
            </w:r>
            <w:r>
              <w:rPr>
                <w:rFonts w:hint="eastAsia" w:ascii="宋体" w:hAnsi="宋体" w:eastAsia="宋体" w:cs="宋体"/>
                <w:sz w:val="21"/>
                <w:szCs w:val="21"/>
              </w:rPr>
              <w:t xml:space="preserve"> </w:t>
            </w:r>
            <w:r>
              <w:rPr>
                <w:rFonts w:hint="eastAsia" w:ascii="宋体" w:hAnsi="宋体" w:eastAsia="宋体" w:cs="宋体"/>
                <w:spacing w:val="6"/>
                <w:sz w:val="21"/>
                <w:szCs w:val="21"/>
              </w:rPr>
              <w:t>包人应予实施，由此所增加的设备购置费或租赁费用 (合同另有约定除外) 发包</w:t>
            </w:r>
            <w:r>
              <w:rPr>
                <w:rFonts w:hint="eastAsia" w:ascii="宋体" w:hAnsi="宋体" w:eastAsia="宋体" w:cs="宋体"/>
                <w:spacing w:val="3"/>
                <w:sz w:val="21"/>
                <w:szCs w:val="21"/>
              </w:rPr>
              <w:t>人</w:t>
            </w:r>
            <w:r>
              <w:rPr>
                <w:rFonts w:hint="eastAsia" w:ascii="宋体" w:hAnsi="宋体" w:eastAsia="宋体" w:cs="宋体"/>
                <w:sz w:val="21"/>
                <w:szCs w:val="21"/>
              </w:rPr>
              <w:t xml:space="preserve"> </w:t>
            </w:r>
            <w:r>
              <w:rPr>
                <w:rFonts w:hint="eastAsia" w:ascii="宋体" w:hAnsi="宋体" w:eastAsia="宋体" w:cs="宋体"/>
                <w:spacing w:val="4"/>
                <w:sz w:val="21"/>
                <w:szCs w:val="21"/>
              </w:rPr>
              <w:t>不另行支付。</w:t>
            </w:r>
          </w:p>
          <w:p w14:paraId="64EEDC82">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6"/>
                <w:sz w:val="21"/>
                <w:szCs w:val="21"/>
              </w:rPr>
              <w:t>2、为保</w:t>
            </w:r>
            <w:r>
              <w:rPr>
                <w:rFonts w:hint="eastAsia" w:ascii="宋体" w:hAnsi="宋体" w:eastAsia="宋体" w:cs="宋体"/>
                <w:spacing w:val="4"/>
                <w:sz w:val="21"/>
                <w:szCs w:val="21"/>
              </w:rPr>
              <w:t>证</w:t>
            </w:r>
            <w:r>
              <w:rPr>
                <w:rFonts w:hint="eastAsia" w:ascii="宋体" w:hAnsi="宋体" w:eastAsia="宋体" w:cs="宋体"/>
                <w:spacing w:val="3"/>
                <w:sz w:val="21"/>
                <w:szCs w:val="21"/>
              </w:rPr>
              <w:t>工程质量，对于本项目所需的主要工程材料，承包人应选择信誉良好</w:t>
            </w:r>
            <w:r>
              <w:rPr>
                <w:rFonts w:hint="eastAsia" w:ascii="宋体" w:hAnsi="宋体" w:eastAsia="宋体" w:cs="宋体"/>
                <w:sz w:val="21"/>
                <w:szCs w:val="21"/>
              </w:rPr>
              <w:t xml:space="preserve"> </w:t>
            </w:r>
            <w:r>
              <w:rPr>
                <w:rFonts w:hint="eastAsia" w:ascii="宋体" w:hAnsi="宋体" w:eastAsia="宋体" w:cs="宋体"/>
                <w:spacing w:val="12"/>
                <w:sz w:val="21"/>
                <w:szCs w:val="21"/>
              </w:rPr>
              <w:t>的</w:t>
            </w:r>
            <w:r>
              <w:rPr>
                <w:rFonts w:hint="eastAsia" w:ascii="宋体" w:hAnsi="宋体" w:eastAsia="宋体" w:cs="宋体"/>
                <w:spacing w:val="8"/>
                <w:sz w:val="21"/>
                <w:szCs w:val="21"/>
              </w:rPr>
              <w:t>材</w:t>
            </w:r>
            <w:r>
              <w:rPr>
                <w:rFonts w:hint="eastAsia" w:ascii="宋体" w:hAnsi="宋体" w:eastAsia="宋体" w:cs="宋体"/>
                <w:spacing w:val="6"/>
                <w:sz w:val="21"/>
                <w:szCs w:val="21"/>
              </w:rPr>
              <w:t>料供应商或制造商或加工生产商。在与主要工程材料供应商或制造商或加工生</w:t>
            </w:r>
            <w:r>
              <w:rPr>
                <w:rFonts w:hint="eastAsia" w:ascii="宋体" w:hAnsi="宋体" w:eastAsia="宋体" w:cs="宋体"/>
                <w:sz w:val="21"/>
                <w:szCs w:val="21"/>
              </w:rPr>
              <w:t xml:space="preserve"> </w:t>
            </w:r>
            <w:r>
              <w:rPr>
                <w:rFonts w:hint="eastAsia" w:ascii="宋体" w:hAnsi="宋体" w:eastAsia="宋体" w:cs="宋体"/>
                <w:spacing w:val="12"/>
                <w:sz w:val="21"/>
                <w:szCs w:val="21"/>
              </w:rPr>
              <w:t>产</w:t>
            </w:r>
            <w:r>
              <w:rPr>
                <w:rFonts w:hint="eastAsia" w:ascii="宋体" w:hAnsi="宋体" w:eastAsia="宋体" w:cs="宋体"/>
                <w:spacing w:val="8"/>
                <w:sz w:val="21"/>
                <w:szCs w:val="21"/>
              </w:rPr>
              <w:t>商</w:t>
            </w:r>
            <w:r>
              <w:rPr>
                <w:rFonts w:hint="eastAsia" w:ascii="宋体" w:hAnsi="宋体" w:eastAsia="宋体" w:cs="宋体"/>
                <w:spacing w:val="6"/>
                <w:sz w:val="21"/>
                <w:szCs w:val="21"/>
              </w:rPr>
              <w:t>签订供货合同前，承包人必须将供应商或制造商或加工生产商的名单、相应资</w:t>
            </w:r>
            <w:r>
              <w:rPr>
                <w:rFonts w:hint="eastAsia" w:ascii="宋体" w:hAnsi="宋体" w:eastAsia="宋体" w:cs="宋体"/>
                <w:sz w:val="21"/>
                <w:szCs w:val="21"/>
              </w:rPr>
              <w:t xml:space="preserve"> </w:t>
            </w:r>
            <w:r>
              <w:rPr>
                <w:rFonts w:hint="eastAsia" w:ascii="宋体" w:hAnsi="宋体" w:eastAsia="宋体" w:cs="宋体"/>
                <w:spacing w:val="12"/>
                <w:sz w:val="21"/>
                <w:szCs w:val="21"/>
              </w:rPr>
              <w:t>格</w:t>
            </w:r>
            <w:r>
              <w:rPr>
                <w:rFonts w:hint="eastAsia" w:ascii="宋体" w:hAnsi="宋体" w:eastAsia="宋体" w:cs="宋体"/>
                <w:spacing w:val="8"/>
                <w:sz w:val="21"/>
                <w:szCs w:val="21"/>
              </w:rPr>
              <w:t>、</w:t>
            </w:r>
            <w:r>
              <w:rPr>
                <w:rFonts w:hint="eastAsia" w:ascii="宋体" w:hAnsi="宋体" w:eastAsia="宋体" w:cs="宋体"/>
                <w:spacing w:val="6"/>
                <w:sz w:val="21"/>
                <w:szCs w:val="21"/>
              </w:rPr>
              <w:t>材料品质报告等送发包人审查批准后，方可将主要工程材料用于实体工程，否</w:t>
            </w:r>
            <w:r>
              <w:rPr>
                <w:rFonts w:hint="eastAsia" w:ascii="宋体" w:hAnsi="宋体" w:eastAsia="宋体" w:cs="宋体"/>
                <w:sz w:val="21"/>
                <w:szCs w:val="21"/>
              </w:rPr>
              <w:t xml:space="preserve"> </w:t>
            </w:r>
            <w:r>
              <w:rPr>
                <w:rFonts w:hint="eastAsia" w:ascii="宋体" w:hAnsi="宋体" w:eastAsia="宋体" w:cs="宋体"/>
                <w:spacing w:val="12"/>
                <w:sz w:val="21"/>
                <w:szCs w:val="21"/>
              </w:rPr>
              <w:t>则</w:t>
            </w:r>
            <w:r>
              <w:rPr>
                <w:rFonts w:hint="eastAsia" w:ascii="宋体" w:hAnsi="宋体" w:eastAsia="宋体" w:cs="宋体"/>
                <w:spacing w:val="8"/>
                <w:sz w:val="21"/>
                <w:szCs w:val="21"/>
              </w:rPr>
              <w:t>发</w:t>
            </w:r>
            <w:r>
              <w:rPr>
                <w:rFonts w:hint="eastAsia" w:ascii="宋体" w:hAnsi="宋体" w:eastAsia="宋体" w:cs="宋体"/>
                <w:spacing w:val="6"/>
                <w:sz w:val="21"/>
                <w:szCs w:val="21"/>
              </w:rPr>
              <w:t>包人将视其为不合格工程并要求承包人返工重作或进行补救处理，由此造成的</w:t>
            </w:r>
            <w:r>
              <w:rPr>
                <w:rFonts w:hint="eastAsia" w:ascii="宋体" w:hAnsi="宋体" w:eastAsia="宋体" w:cs="宋体"/>
                <w:sz w:val="21"/>
                <w:szCs w:val="21"/>
              </w:rPr>
              <w:t xml:space="preserve"> </w:t>
            </w:r>
            <w:r>
              <w:rPr>
                <w:rFonts w:hint="eastAsia" w:ascii="宋体" w:hAnsi="宋体" w:eastAsia="宋体" w:cs="宋体"/>
                <w:spacing w:val="5"/>
                <w:sz w:val="21"/>
                <w:szCs w:val="21"/>
              </w:rPr>
              <w:t>费用增加和 (或) 工期延误由承包人承担</w:t>
            </w:r>
            <w:r>
              <w:rPr>
                <w:rFonts w:hint="eastAsia" w:ascii="宋体" w:hAnsi="宋体" w:eastAsia="宋体" w:cs="宋体"/>
                <w:spacing w:val="2"/>
                <w:sz w:val="21"/>
                <w:szCs w:val="21"/>
              </w:rPr>
              <w:t>。</w:t>
            </w:r>
          </w:p>
          <w:p w14:paraId="5DB88539">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承包人应与供</w:t>
            </w:r>
            <w:r>
              <w:rPr>
                <w:rFonts w:hint="eastAsia" w:ascii="宋体" w:hAnsi="宋体" w:eastAsia="宋体" w:cs="宋体"/>
                <w:spacing w:val="7"/>
                <w:sz w:val="21"/>
                <w:szCs w:val="21"/>
              </w:rPr>
              <w:t>应</w:t>
            </w:r>
            <w:r>
              <w:rPr>
                <w:rFonts w:hint="eastAsia" w:ascii="宋体" w:hAnsi="宋体" w:eastAsia="宋体" w:cs="宋体"/>
                <w:spacing w:val="4"/>
                <w:sz w:val="21"/>
                <w:szCs w:val="21"/>
              </w:rPr>
              <w:t>商或制造商或加工生产商签订供货合同，明确双方的责权利，</w:t>
            </w:r>
            <w:r>
              <w:rPr>
                <w:rFonts w:hint="eastAsia" w:ascii="宋体" w:hAnsi="宋体" w:eastAsia="宋体" w:cs="宋体"/>
                <w:sz w:val="21"/>
                <w:szCs w:val="21"/>
              </w:rPr>
              <w:t xml:space="preserve"> </w:t>
            </w:r>
            <w:r>
              <w:rPr>
                <w:rFonts w:hint="eastAsia" w:ascii="宋体" w:hAnsi="宋体" w:eastAsia="宋体" w:cs="宋体"/>
                <w:spacing w:val="8"/>
                <w:sz w:val="21"/>
                <w:szCs w:val="21"/>
              </w:rPr>
              <w:t>以及供</w:t>
            </w:r>
            <w:r>
              <w:rPr>
                <w:rFonts w:hint="eastAsia" w:ascii="宋体" w:hAnsi="宋体" w:eastAsia="宋体" w:cs="宋体"/>
                <w:spacing w:val="4"/>
                <w:sz w:val="21"/>
                <w:szCs w:val="21"/>
              </w:rPr>
              <w:t>货方的供货时间与供货质量的保证措施和要求。</w:t>
            </w:r>
          </w:p>
          <w:p w14:paraId="663D2244">
            <w:pPr>
              <w:snapToGrid w:val="0"/>
              <w:spacing w:before="1" w:line="240" w:lineRule="auto"/>
              <w:ind w:left="0" w:leftChars="0" w:right="0" w:rightChars="0" w:firstLine="0" w:firstLineChars="0"/>
              <w:jc w:val="left"/>
              <w:rPr>
                <w:rFonts w:hint="eastAsia" w:ascii="宋体" w:hAnsi="宋体" w:eastAsia="宋体" w:cs="宋体"/>
                <w:spacing w:val="-3"/>
                <w:sz w:val="21"/>
                <w:szCs w:val="21"/>
              </w:rPr>
            </w:pPr>
            <w:r>
              <w:rPr>
                <w:rFonts w:hint="eastAsia" w:ascii="宋体" w:hAnsi="宋体" w:eastAsia="宋体" w:cs="宋体"/>
                <w:spacing w:val="6"/>
                <w:position w:val="15"/>
                <w:sz w:val="21"/>
                <w:szCs w:val="21"/>
              </w:rPr>
              <w:t>3、</w:t>
            </w:r>
            <w:r>
              <w:rPr>
                <w:rFonts w:hint="eastAsia" w:ascii="宋体" w:hAnsi="宋体" w:eastAsia="宋体" w:cs="宋体"/>
                <w:spacing w:val="5"/>
                <w:position w:val="15"/>
                <w:sz w:val="21"/>
                <w:szCs w:val="21"/>
              </w:rPr>
              <w:t>经</w:t>
            </w:r>
            <w:r>
              <w:rPr>
                <w:rFonts w:hint="eastAsia" w:ascii="宋体" w:hAnsi="宋体" w:eastAsia="宋体" w:cs="宋体"/>
                <w:spacing w:val="3"/>
                <w:position w:val="15"/>
                <w:sz w:val="21"/>
                <w:szCs w:val="21"/>
              </w:rPr>
              <w:t>监理人鉴定质量不合格并令其清除出场的材料，其费用均应由承包人自</w:t>
            </w:r>
            <w:r>
              <w:rPr>
                <w:rFonts w:hint="eastAsia" w:ascii="宋体" w:hAnsi="宋体" w:cs="宋体"/>
                <w:spacing w:val="3"/>
                <w:position w:val="15"/>
                <w:sz w:val="21"/>
                <w:szCs w:val="21"/>
                <w:lang w:val="en-US" w:eastAsia="zh-CN"/>
              </w:rPr>
              <w:t>行负责。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4E5B983">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7</w:t>
            </w:r>
          </w:p>
        </w:tc>
        <w:tc>
          <w:tcPr>
            <w:tcW w:w="936" w:type="dxa"/>
            <w:vAlign w:val="center"/>
          </w:tcPr>
          <w:p w14:paraId="5EC8B1CA">
            <w:pPr>
              <w:snapToGrid w:val="0"/>
              <w:spacing w:before="57" w:line="240" w:lineRule="auto"/>
              <w:ind w:left="0" w:leftChars="0" w:right="0" w:rightChars="0" w:firstLine="0" w:firstLineChars="0"/>
              <w:jc w:val="center"/>
              <w:rPr>
                <w:rFonts w:hint="eastAsia" w:ascii="宋体" w:hAnsi="宋体" w:eastAsia="宋体" w:cs="宋体"/>
                <w:spacing w:val="5"/>
                <w:sz w:val="21"/>
                <w:szCs w:val="21"/>
              </w:rPr>
            </w:pPr>
            <w:r>
              <w:rPr>
                <w:rFonts w:hint="eastAsia" w:ascii="宋体" w:hAnsi="宋体" w:eastAsia="宋体" w:cs="宋体"/>
                <w:spacing w:val="-6"/>
                <w:sz w:val="21"/>
                <w:szCs w:val="21"/>
              </w:rPr>
              <w:t>5</w:t>
            </w:r>
            <w:r>
              <w:rPr>
                <w:rFonts w:hint="eastAsia" w:ascii="宋体" w:hAnsi="宋体" w:eastAsia="宋体" w:cs="宋体"/>
                <w:spacing w:val="-4"/>
                <w:sz w:val="21"/>
                <w:szCs w:val="21"/>
              </w:rPr>
              <w:t>.</w:t>
            </w:r>
            <w:r>
              <w:rPr>
                <w:rFonts w:hint="eastAsia" w:ascii="宋体" w:hAnsi="宋体" w:eastAsia="宋体" w:cs="宋体"/>
                <w:spacing w:val="-3"/>
                <w:sz w:val="21"/>
                <w:szCs w:val="21"/>
              </w:rPr>
              <w:t>2. 1</w:t>
            </w:r>
          </w:p>
        </w:tc>
        <w:tc>
          <w:tcPr>
            <w:tcW w:w="7226" w:type="dxa"/>
            <w:tcBorders>
              <w:right w:val="single" w:color="000000" w:sz="6" w:space="0"/>
            </w:tcBorders>
            <w:vAlign w:val="center"/>
          </w:tcPr>
          <w:p w14:paraId="1CA938F0">
            <w:pPr>
              <w:snapToGrid w:val="0"/>
              <w:spacing w:before="14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发</w:t>
            </w:r>
            <w:r>
              <w:rPr>
                <w:rFonts w:hint="eastAsia" w:ascii="宋体" w:hAnsi="宋体" w:eastAsia="宋体" w:cs="宋体"/>
                <w:spacing w:val="13"/>
                <w:sz w:val="21"/>
                <w:szCs w:val="21"/>
              </w:rPr>
              <w:t>包</w:t>
            </w:r>
            <w:r>
              <w:rPr>
                <w:rFonts w:hint="eastAsia" w:ascii="宋体" w:hAnsi="宋体" w:eastAsia="宋体" w:cs="宋体"/>
                <w:spacing w:val="8"/>
                <w:sz w:val="21"/>
                <w:szCs w:val="21"/>
              </w:rPr>
              <w:t>人是否提供材料或工程设备：</w:t>
            </w:r>
            <w:r>
              <w:rPr>
                <w:rFonts w:hint="eastAsia" w:ascii="宋体" w:hAnsi="宋体" w:eastAsia="宋体" w:cs="宋体"/>
                <w:spacing w:val="8"/>
                <w:sz w:val="21"/>
                <w:szCs w:val="21"/>
                <w:u w:val="single" w:color="auto"/>
              </w:rPr>
              <w:t xml:space="preserve">  否</w:t>
            </w:r>
            <w:r>
              <w:rPr>
                <w:rFonts w:hint="eastAsia" w:ascii="宋体" w:hAnsi="宋体" w:eastAsia="宋体" w:cs="宋体"/>
                <w:sz w:val="21"/>
                <w:szCs w:val="21"/>
                <w:u w:val="single" w:color="auto"/>
              </w:rPr>
              <w:t xml:space="preserve">  </w:t>
            </w:r>
          </w:p>
          <w:p w14:paraId="5FFA8584">
            <w:pPr>
              <w:snapToGrid w:val="0"/>
              <w:spacing w:before="117" w:line="240" w:lineRule="auto"/>
              <w:ind w:left="0" w:leftChars="0" w:right="0" w:rightChars="0" w:firstLine="0" w:firstLineChars="0"/>
              <w:jc w:val="left"/>
              <w:rPr>
                <w:rFonts w:hint="eastAsia" w:ascii="宋体" w:hAnsi="宋体" w:eastAsia="宋体" w:cs="宋体"/>
                <w:spacing w:val="-3"/>
                <w:sz w:val="21"/>
                <w:szCs w:val="21"/>
              </w:rPr>
            </w:pPr>
            <w:r>
              <w:rPr>
                <w:rFonts w:hint="eastAsia" w:ascii="宋体" w:hAnsi="宋体" w:eastAsia="宋体" w:cs="宋体"/>
                <w:spacing w:val="10"/>
                <w:position w:val="1"/>
                <w:sz w:val="21"/>
                <w:szCs w:val="21"/>
              </w:rPr>
              <w:t>如</w:t>
            </w:r>
            <w:r>
              <w:rPr>
                <w:rFonts w:hint="eastAsia" w:ascii="宋体" w:hAnsi="宋体" w:eastAsia="宋体" w:cs="宋体"/>
                <w:spacing w:val="8"/>
                <w:position w:val="1"/>
                <w:sz w:val="21"/>
                <w:szCs w:val="21"/>
              </w:rPr>
              <w:t>发</w:t>
            </w:r>
            <w:r>
              <w:rPr>
                <w:rFonts w:hint="eastAsia" w:ascii="宋体" w:hAnsi="宋体" w:eastAsia="宋体" w:cs="宋体"/>
                <w:spacing w:val="5"/>
                <w:position w:val="1"/>
                <w:sz w:val="21"/>
                <w:szCs w:val="21"/>
              </w:rPr>
              <w:t>包人负责提供部分材料或工程设备，相关规定如下：  /</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0CCFDDC">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8</w:t>
            </w:r>
          </w:p>
        </w:tc>
        <w:tc>
          <w:tcPr>
            <w:tcW w:w="936" w:type="dxa"/>
            <w:vAlign w:val="center"/>
          </w:tcPr>
          <w:p w14:paraId="0263D7E4">
            <w:pPr>
              <w:snapToGrid w:val="0"/>
              <w:spacing w:before="58"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1"/>
                <w:sz w:val="21"/>
                <w:szCs w:val="21"/>
              </w:rPr>
              <w:t>6.2</w:t>
            </w:r>
          </w:p>
        </w:tc>
        <w:tc>
          <w:tcPr>
            <w:tcW w:w="7226" w:type="dxa"/>
            <w:tcBorders>
              <w:right w:val="single" w:color="000000" w:sz="6" w:space="0"/>
            </w:tcBorders>
            <w:vAlign w:val="center"/>
          </w:tcPr>
          <w:p w14:paraId="02C162B9">
            <w:pPr>
              <w:snapToGrid w:val="0"/>
              <w:spacing w:before="15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9"/>
                <w:sz w:val="21"/>
                <w:szCs w:val="21"/>
              </w:rPr>
              <w:t>发包人是否提供施工设备和临时设施：</w:t>
            </w:r>
            <w:r>
              <w:rPr>
                <w:rFonts w:hint="eastAsia" w:ascii="宋体" w:hAnsi="宋体" w:eastAsia="宋体" w:cs="宋体"/>
                <w:spacing w:val="9"/>
                <w:sz w:val="21"/>
                <w:szCs w:val="21"/>
                <w:u w:val="single" w:color="auto"/>
              </w:rPr>
              <w:t xml:space="preserve">  </w:t>
            </w:r>
            <w:r>
              <w:rPr>
                <w:rFonts w:hint="eastAsia" w:ascii="宋体" w:hAnsi="宋体" w:eastAsia="宋体" w:cs="宋体"/>
                <w:spacing w:val="6"/>
                <w:sz w:val="21"/>
                <w:szCs w:val="21"/>
                <w:u w:val="single" w:color="auto"/>
              </w:rPr>
              <w:t>否</w:t>
            </w:r>
            <w:r>
              <w:rPr>
                <w:rFonts w:hint="eastAsia" w:ascii="宋体" w:hAnsi="宋体" w:eastAsia="宋体" w:cs="宋体"/>
                <w:sz w:val="21"/>
                <w:szCs w:val="21"/>
                <w:u w:val="single" w:color="auto"/>
              </w:rPr>
              <w:t xml:space="preserve">  </w:t>
            </w:r>
          </w:p>
          <w:p w14:paraId="64D8F05D">
            <w:pPr>
              <w:snapToGrid w:val="0"/>
              <w:spacing w:before="117"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6"/>
                <w:sz w:val="21"/>
                <w:szCs w:val="21"/>
              </w:rPr>
              <w:t>如</w:t>
            </w:r>
            <w:r>
              <w:rPr>
                <w:rFonts w:hint="eastAsia" w:ascii="宋体" w:hAnsi="宋体" w:eastAsia="宋体" w:cs="宋体"/>
                <w:spacing w:val="15"/>
                <w:sz w:val="21"/>
                <w:szCs w:val="21"/>
              </w:rPr>
              <w:t>发</w:t>
            </w:r>
            <w:r>
              <w:rPr>
                <w:rFonts w:hint="eastAsia" w:ascii="宋体" w:hAnsi="宋体" w:eastAsia="宋体" w:cs="宋体"/>
                <w:spacing w:val="8"/>
                <w:sz w:val="21"/>
                <w:szCs w:val="21"/>
              </w:rPr>
              <w:t>包人负责提供部分施工设备和临时设施，相关规定如下：</w:t>
            </w:r>
            <w:r>
              <w:rPr>
                <w:rFonts w:hint="eastAsia" w:ascii="宋体" w:hAnsi="宋体" w:eastAsia="宋体" w:cs="宋体"/>
                <w:spacing w:val="8"/>
                <w:sz w:val="21"/>
                <w:szCs w:val="21"/>
                <w:u w:val="single" w:color="auto"/>
              </w:rPr>
              <w:t xml:space="preserve">    /</w:t>
            </w:r>
            <w:r>
              <w:rPr>
                <w:rFonts w:hint="eastAsia" w:ascii="宋体" w:hAnsi="宋体" w:eastAsia="宋体" w:cs="宋体"/>
                <w:sz w:val="21"/>
                <w:szCs w:val="21"/>
                <w:u w:val="single" w:color="auto"/>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5B3708D">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8"/>
                <w:sz w:val="21"/>
                <w:szCs w:val="21"/>
              </w:rPr>
              <w:t>1</w:t>
            </w:r>
            <w:r>
              <w:rPr>
                <w:rFonts w:hint="eastAsia" w:ascii="宋体" w:hAnsi="宋体" w:eastAsia="宋体" w:cs="宋体"/>
                <w:spacing w:val="-7"/>
                <w:sz w:val="21"/>
                <w:szCs w:val="21"/>
              </w:rPr>
              <w:t>9</w:t>
            </w:r>
          </w:p>
        </w:tc>
        <w:tc>
          <w:tcPr>
            <w:tcW w:w="936" w:type="dxa"/>
            <w:vAlign w:val="center"/>
          </w:tcPr>
          <w:p w14:paraId="0F241314">
            <w:pPr>
              <w:snapToGrid w:val="0"/>
              <w:spacing w:before="58"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6"/>
                <w:sz w:val="21"/>
                <w:szCs w:val="21"/>
              </w:rPr>
              <w:t>8</w:t>
            </w:r>
            <w:r>
              <w:rPr>
                <w:rFonts w:hint="eastAsia" w:ascii="宋体" w:hAnsi="宋体" w:eastAsia="宋体" w:cs="宋体"/>
                <w:spacing w:val="5"/>
                <w:sz w:val="21"/>
                <w:szCs w:val="21"/>
              </w:rPr>
              <w:t>.1.1</w:t>
            </w:r>
          </w:p>
        </w:tc>
        <w:tc>
          <w:tcPr>
            <w:tcW w:w="7226" w:type="dxa"/>
            <w:tcBorders>
              <w:right w:val="single" w:color="000000" w:sz="6" w:space="0"/>
            </w:tcBorders>
            <w:vAlign w:val="center"/>
          </w:tcPr>
          <w:p w14:paraId="4F10CAB6">
            <w:pPr>
              <w:snapToGrid w:val="0"/>
              <w:spacing w:before="104"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8"/>
                <w:sz w:val="21"/>
                <w:szCs w:val="21"/>
              </w:rPr>
              <w:t>发包人提供测量基准点、基准线和水准点及其书面资料的期限：</w:t>
            </w:r>
            <w:r>
              <w:rPr>
                <w:rFonts w:hint="eastAsia" w:ascii="宋体" w:hAnsi="宋体" w:eastAsia="宋体" w:cs="宋体"/>
                <w:spacing w:val="8"/>
                <w:sz w:val="21"/>
                <w:szCs w:val="21"/>
                <w:u w:val="single" w:color="auto"/>
              </w:rPr>
              <w:t xml:space="preserve">    /   </w:t>
            </w:r>
            <w:r>
              <w:rPr>
                <w:rFonts w:hint="eastAsia" w:ascii="宋体" w:hAnsi="宋体" w:eastAsia="宋体" w:cs="宋体"/>
                <w:spacing w:val="1"/>
                <w:sz w:val="21"/>
                <w:szCs w:val="21"/>
                <w:u w:val="single" w:color="auto"/>
              </w:rPr>
              <w:t xml:space="preserve"> </w:t>
            </w:r>
            <w:r>
              <w:rPr>
                <w:rFonts w:hint="eastAsia" w:ascii="宋体" w:hAnsi="宋体" w:eastAsia="宋体" w:cs="宋体"/>
                <w:sz w:val="21"/>
                <w:szCs w:val="21"/>
              </w:rPr>
              <w:t xml:space="preserve"> </w:t>
            </w:r>
            <w:r>
              <w:rPr>
                <w:rFonts w:hint="eastAsia" w:ascii="宋体" w:hAnsi="宋体" w:eastAsia="宋体" w:cs="宋体"/>
                <w:spacing w:val="16"/>
                <w:sz w:val="21"/>
                <w:szCs w:val="21"/>
              </w:rPr>
              <w:t>承</w:t>
            </w:r>
            <w:r>
              <w:rPr>
                <w:rFonts w:hint="eastAsia" w:ascii="宋体" w:hAnsi="宋体" w:eastAsia="宋体" w:cs="宋体"/>
                <w:spacing w:val="10"/>
                <w:sz w:val="21"/>
                <w:szCs w:val="21"/>
              </w:rPr>
              <w:t>包</w:t>
            </w:r>
            <w:r>
              <w:rPr>
                <w:rFonts w:hint="eastAsia" w:ascii="宋体" w:hAnsi="宋体" w:eastAsia="宋体" w:cs="宋体"/>
                <w:spacing w:val="8"/>
                <w:sz w:val="21"/>
                <w:szCs w:val="21"/>
              </w:rPr>
              <w:t>人将施工控制网资料报送监理人审批的期限：</w:t>
            </w:r>
            <w:r>
              <w:rPr>
                <w:rFonts w:hint="eastAsia" w:ascii="宋体" w:hAnsi="宋体" w:eastAsia="宋体" w:cs="宋体"/>
                <w:spacing w:val="8"/>
                <w:sz w:val="21"/>
                <w:szCs w:val="21"/>
                <w:u w:val="single" w:color="auto"/>
              </w:rPr>
              <w:t xml:space="preserve">    /</w:t>
            </w:r>
            <w:r>
              <w:rPr>
                <w:rFonts w:hint="eastAsia" w:ascii="宋体" w:hAnsi="宋体" w:eastAsia="宋体" w:cs="宋体"/>
                <w:sz w:val="21"/>
                <w:szCs w:val="21"/>
                <w:u w:val="single" w:color="auto"/>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FD361EF">
            <w:pPr>
              <w:snapToGrid w:val="0"/>
              <w:spacing w:before="132"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0</w:t>
            </w:r>
          </w:p>
        </w:tc>
        <w:tc>
          <w:tcPr>
            <w:tcW w:w="936" w:type="dxa"/>
            <w:vAlign w:val="center"/>
          </w:tcPr>
          <w:p w14:paraId="6BFB490F">
            <w:pPr>
              <w:snapToGrid w:val="0"/>
              <w:spacing w:before="95"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1"/>
                <w:sz w:val="21"/>
                <w:szCs w:val="21"/>
              </w:rPr>
              <w:t>11</w:t>
            </w:r>
            <w:r>
              <w:rPr>
                <w:rFonts w:hint="eastAsia" w:ascii="宋体" w:hAnsi="宋体" w:eastAsia="宋体" w:cs="宋体"/>
                <w:sz w:val="21"/>
                <w:szCs w:val="21"/>
              </w:rPr>
              <w:t>.5  (3)</w:t>
            </w:r>
          </w:p>
        </w:tc>
        <w:tc>
          <w:tcPr>
            <w:tcW w:w="7226" w:type="dxa"/>
            <w:tcBorders>
              <w:right w:val="single" w:color="000000" w:sz="6" w:space="0"/>
            </w:tcBorders>
            <w:vAlign w:val="center"/>
          </w:tcPr>
          <w:p w14:paraId="68F0117F">
            <w:pPr>
              <w:snapToGrid w:val="0"/>
              <w:spacing w:before="104"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2"/>
                <w:sz w:val="21"/>
                <w:szCs w:val="21"/>
              </w:rPr>
              <w:t>逾期</w:t>
            </w:r>
            <w:r>
              <w:rPr>
                <w:rFonts w:hint="eastAsia" w:ascii="宋体" w:hAnsi="宋体" w:eastAsia="宋体" w:cs="宋体"/>
                <w:spacing w:val="7"/>
                <w:sz w:val="21"/>
                <w:szCs w:val="21"/>
              </w:rPr>
              <w:t>交</w:t>
            </w:r>
            <w:r>
              <w:rPr>
                <w:rFonts w:hint="eastAsia" w:ascii="宋体" w:hAnsi="宋体" w:eastAsia="宋体" w:cs="宋体"/>
                <w:spacing w:val="6"/>
                <w:sz w:val="21"/>
                <w:szCs w:val="21"/>
              </w:rPr>
              <w:t>工违约金：</w:t>
            </w:r>
            <w:r>
              <w:rPr>
                <w:rFonts w:hint="eastAsia" w:ascii="宋体" w:hAnsi="宋体" w:eastAsia="宋体" w:cs="宋体"/>
                <w:spacing w:val="6"/>
                <w:sz w:val="21"/>
                <w:szCs w:val="21"/>
                <w:u w:val="single" w:color="auto"/>
              </w:rPr>
              <w:t xml:space="preserve">    2 万 </w:t>
            </w:r>
            <w:r>
              <w:rPr>
                <w:rFonts w:hint="eastAsia" w:ascii="宋体" w:hAnsi="宋体" w:eastAsia="宋体" w:cs="宋体"/>
                <w:spacing w:val="6"/>
                <w:sz w:val="21"/>
                <w:szCs w:val="21"/>
              </w:rPr>
              <w:t>元/天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3E3CCA2D">
            <w:pPr>
              <w:snapToGrid w:val="0"/>
              <w:spacing w:before="133"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1</w:t>
            </w:r>
          </w:p>
        </w:tc>
        <w:tc>
          <w:tcPr>
            <w:tcW w:w="936" w:type="dxa"/>
            <w:vAlign w:val="center"/>
          </w:tcPr>
          <w:p w14:paraId="2D04DAB0">
            <w:pPr>
              <w:snapToGrid w:val="0"/>
              <w:spacing w:before="96"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1"/>
                <w:sz w:val="21"/>
                <w:szCs w:val="21"/>
              </w:rPr>
              <w:t>11</w:t>
            </w:r>
            <w:r>
              <w:rPr>
                <w:rFonts w:hint="eastAsia" w:ascii="宋体" w:hAnsi="宋体" w:eastAsia="宋体" w:cs="宋体"/>
                <w:sz w:val="21"/>
                <w:szCs w:val="21"/>
              </w:rPr>
              <w:t>.5  (3)</w:t>
            </w:r>
          </w:p>
        </w:tc>
        <w:tc>
          <w:tcPr>
            <w:tcW w:w="7226" w:type="dxa"/>
            <w:tcBorders>
              <w:right w:val="single" w:color="000000" w:sz="6" w:space="0"/>
            </w:tcBorders>
            <w:vAlign w:val="center"/>
          </w:tcPr>
          <w:p w14:paraId="44FE3CB5">
            <w:pPr>
              <w:snapToGrid w:val="0"/>
              <w:spacing w:before="105"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8"/>
                <w:sz w:val="21"/>
                <w:szCs w:val="21"/>
              </w:rPr>
              <w:t>逾期交工违约金限额：</w:t>
            </w:r>
            <w:r>
              <w:rPr>
                <w:rFonts w:hint="eastAsia" w:ascii="宋体" w:hAnsi="宋体" w:eastAsia="宋体" w:cs="宋体"/>
                <w:spacing w:val="8"/>
                <w:sz w:val="21"/>
                <w:szCs w:val="21"/>
                <w:u w:val="single" w:color="auto"/>
              </w:rPr>
              <w:t xml:space="preserve">  10 </w:t>
            </w:r>
            <w:r>
              <w:rPr>
                <w:rFonts w:hint="eastAsia" w:ascii="宋体" w:hAnsi="宋体" w:eastAsia="宋体" w:cs="宋体"/>
                <w:spacing w:val="8"/>
                <w:sz w:val="21"/>
                <w:szCs w:val="21"/>
                <w:u w:val="single" w:color="auto"/>
                <w:lang w:val="en-US" w:eastAsia="zh-CN"/>
              </w:rPr>
              <w:t xml:space="preserve">  </w:t>
            </w:r>
            <w:r>
              <w:rPr>
                <w:rFonts w:hint="eastAsia" w:ascii="宋体" w:hAnsi="宋体" w:eastAsia="宋体" w:cs="宋体"/>
                <w:spacing w:val="8"/>
                <w:sz w:val="21"/>
                <w:szCs w:val="21"/>
              </w:rPr>
              <w:t>%</w:t>
            </w:r>
            <w:r>
              <w:rPr>
                <w:rFonts w:hint="eastAsia" w:ascii="宋体" w:hAnsi="宋体" w:eastAsia="宋体" w:cs="宋体"/>
                <w:spacing w:val="8"/>
                <w:sz w:val="21"/>
                <w:szCs w:val="21"/>
                <w:lang w:val="en-US" w:eastAsia="zh-CN"/>
              </w:rPr>
              <w:t xml:space="preserve">  </w:t>
            </w:r>
            <w:r>
              <w:rPr>
                <w:rFonts w:hint="eastAsia" w:ascii="宋体" w:hAnsi="宋体" w:eastAsia="宋体" w:cs="宋体"/>
                <w:color w:val="auto"/>
                <w:sz w:val="21"/>
                <w:szCs w:val="21"/>
                <w:highlight w:val="none"/>
              </w:rPr>
              <w:t>签约合同价</w:t>
            </w:r>
            <w:r>
              <w:rPr>
                <w:rStyle w:val="47"/>
                <w:rFonts w:hint="eastAsia" w:ascii="宋体" w:hAnsi="宋体" w:eastAsia="宋体" w:cs="宋体"/>
                <w:color w:val="auto"/>
                <w:sz w:val="21"/>
                <w:szCs w:val="21"/>
                <w:highlight w:val="none"/>
              </w:rPr>
              <w:footnoteReference w:id="41"/>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1E56F9D">
            <w:pPr>
              <w:snapToGrid w:val="0"/>
              <w:spacing w:before="133"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2</w:t>
            </w:r>
          </w:p>
        </w:tc>
        <w:tc>
          <w:tcPr>
            <w:tcW w:w="936" w:type="dxa"/>
            <w:vAlign w:val="center"/>
          </w:tcPr>
          <w:p w14:paraId="76F9AB1B">
            <w:pPr>
              <w:snapToGrid w:val="0"/>
              <w:spacing w:before="133"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3"/>
                <w:sz w:val="21"/>
                <w:szCs w:val="21"/>
              </w:rPr>
              <w:t>1</w:t>
            </w:r>
            <w:r>
              <w:rPr>
                <w:rFonts w:hint="eastAsia" w:ascii="宋体" w:hAnsi="宋体" w:eastAsia="宋体" w:cs="宋体"/>
                <w:spacing w:val="-2"/>
                <w:sz w:val="21"/>
                <w:szCs w:val="21"/>
              </w:rPr>
              <w:t>1.6</w:t>
            </w:r>
          </w:p>
        </w:tc>
        <w:tc>
          <w:tcPr>
            <w:tcW w:w="7226" w:type="dxa"/>
            <w:tcBorders>
              <w:right w:val="single" w:color="000000" w:sz="6" w:space="0"/>
            </w:tcBorders>
            <w:vAlign w:val="center"/>
          </w:tcPr>
          <w:p w14:paraId="32F29881">
            <w:pPr>
              <w:snapToGrid w:val="0"/>
              <w:spacing w:before="105"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4"/>
                <w:position w:val="1"/>
                <w:sz w:val="21"/>
                <w:szCs w:val="21"/>
              </w:rPr>
              <w:t>提前完工</w:t>
            </w:r>
            <w:r>
              <w:rPr>
                <w:rFonts w:hint="eastAsia" w:ascii="宋体" w:hAnsi="宋体" w:eastAsia="宋体" w:cs="宋体"/>
                <w:spacing w:val="3"/>
                <w:position w:val="1"/>
                <w:sz w:val="21"/>
                <w:szCs w:val="21"/>
              </w:rPr>
              <w:t>的</w:t>
            </w:r>
            <w:r>
              <w:rPr>
                <w:rFonts w:hint="eastAsia" w:ascii="宋体" w:hAnsi="宋体" w:eastAsia="宋体" w:cs="宋体"/>
                <w:spacing w:val="2"/>
                <w:position w:val="1"/>
                <w:sz w:val="21"/>
                <w:szCs w:val="21"/>
              </w:rPr>
              <w:t>奖金，规定为：   /    元/天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D1DD4CD">
            <w:pPr>
              <w:snapToGrid w:val="0"/>
              <w:spacing w:before="153"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3</w:t>
            </w:r>
          </w:p>
        </w:tc>
        <w:tc>
          <w:tcPr>
            <w:tcW w:w="936" w:type="dxa"/>
            <w:vAlign w:val="center"/>
          </w:tcPr>
          <w:p w14:paraId="735B5F20">
            <w:pPr>
              <w:snapToGrid w:val="0"/>
              <w:spacing w:before="153"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3"/>
                <w:sz w:val="21"/>
                <w:szCs w:val="21"/>
              </w:rPr>
              <w:t>1</w:t>
            </w:r>
            <w:r>
              <w:rPr>
                <w:rFonts w:hint="eastAsia" w:ascii="宋体" w:hAnsi="宋体" w:eastAsia="宋体" w:cs="宋体"/>
                <w:spacing w:val="-2"/>
                <w:sz w:val="21"/>
                <w:szCs w:val="21"/>
              </w:rPr>
              <w:t>1.6</w:t>
            </w:r>
          </w:p>
        </w:tc>
        <w:tc>
          <w:tcPr>
            <w:tcW w:w="7226" w:type="dxa"/>
            <w:tcBorders>
              <w:right w:val="single" w:color="000000" w:sz="6" w:space="0"/>
            </w:tcBorders>
            <w:vAlign w:val="center"/>
          </w:tcPr>
          <w:p w14:paraId="09064676">
            <w:pPr>
              <w:snapToGrid w:val="0"/>
              <w:spacing w:before="122"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4"/>
                <w:position w:val="1"/>
                <w:sz w:val="21"/>
                <w:szCs w:val="21"/>
              </w:rPr>
              <w:t>提前完工的奖金限额，规定为：   /    %签约合同</w:t>
            </w:r>
            <w:r>
              <w:rPr>
                <w:rFonts w:hint="eastAsia" w:ascii="宋体" w:hAnsi="宋体" w:eastAsia="宋体" w:cs="宋体"/>
                <w:spacing w:val="2"/>
                <w:position w:val="1"/>
                <w:sz w:val="21"/>
                <w:szCs w:val="21"/>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BE8CBA9">
            <w:pPr>
              <w:snapToGrid w:val="0"/>
              <w:spacing w:before="58"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4</w:t>
            </w:r>
          </w:p>
        </w:tc>
        <w:tc>
          <w:tcPr>
            <w:tcW w:w="936" w:type="dxa"/>
            <w:vAlign w:val="center"/>
          </w:tcPr>
          <w:p w14:paraId="596ACA97">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1"/>
                <w:sz w:val="21"/>
                <w:szCs w:val="21"/>
                <w:highlight w:val="red"/>
              </w:rPr>
              <w:t>14.6</w:t>
            </w:r>
          </w:p>
        </w:tc>
        <w:tc>
          <w:tcPr>
            <w:tcW w:w="7226" w:type="dxa"/>
            <w:tcBorders>
              <w:right w:val="single" w:color="000000" w:sz="6" w:space="0"/>
            </w:tcBorders>
            <w:vAlign w:val="center"/>
          </w:tcPr>
          <w:p w14:paraId="01915B9A">
            <w:pPr>
              <w:snapToGrid w:val="0"/>
              <w:spacing w:before="161"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4"/>
                <w:position w:val="15"/>
                <w:sz w:val="21"/>
                <w:szCs w:val="21"/>
              </w:rPr>
              <w:t>承</w:t>
            </w:r>
            <w:r>
              <w:rPr>
                <w:rFonts w:hint="eastAsia" w:ascii="宋体" w:hAnsi="宋体" w:eastAsia="宋体" w:cs="宋体"/>
                <w:spacing w:val="12"/>
                <w:position w:val="15"/>
                <w:sz w:val="21"/>
                <w:szCs w:val="21"/>
              </w:rPr>
              <w:t xml:space="preserve">包人设立试验室的相关要求：必须满足《辽宁省公路水运工程建设项目工地试验室备案管理标准》  (辽交工监市发〔2013〕133 号) </w:t>
            </w:r>
            <w:r>
              <w:rPr>
                <w:rFonts w:hint="eastAsia" w:ascii="宋体" w:hAnsi="宋体" w:eastAsia="宋体" w:cs="宋体"/>
                <w:spacing w:val="4"/>
                <w:sz w:val="21"/>
                <w:szCs w:val="21"/>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4B45929">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5</w:t>
            </w:r>
          </w:p>
        </w:tc>
        <w:tc>
          <w:tcPr>
            <w:tcW w:w="936" w:type="dxa"/>
            <w:vAlign w:val="center"/>
          </w:tcPr>
          <w:p w14:paraId="5F049AB4">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3"/>
                <w:sz w:val="21"/>
                <w:szCs w:val="21"/>
                <w:highlight w:val="red"/>
              </w:rPr>
              <w:t>1</w:t>
            </w:r>
            <w:r>
              <w:rPr>
                <w:rFonts w:hint="eastAsia" w:ascii="宋体" w:hAnsi="宋体" w:eastAsia="宋体" w:cs="宋体"/>
                <w:spacing w:val="-2"/>
                <w:sz w:val="21"/>
                <w:szCs w:val="21"/>
                <w:highlight w:val="red"/>
              </w:rPr>
              <w:t>5.2</w:t>
            </w:r>
          </w:p>
        </w:tc>
        <w:tc>
          <w:tcPr>
            <w:tcW w:w="7226" w:type="dxa"/>
            <w:tcBorders>
              <w:right w:val="single" w:color="000000" w:sz="6" w:space="0"/>
            </w:tcBorders>
            <w:vAlign w:val="center"/>
          </w:tcPr>
          <w:p w14:paraId="2A5831BB">
            <w:pPr>
              <w:snapToGrid w:val="0"/>
              <w:spacing w:before="13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2"/>
                <w:sz w:val="21"/>
                <w:szCs w:val="21"/>
              </w:rPr>
              <w:t>出</w:t>
            </w:r>
            <w:r>
              <w:rPr>
                <w:rFonts w:hint="eastAsia" w:ascii="宋体" w:hAnsi="宋体" w:eastAsia="宋体" w:cs="宋体"/>
                <w:spacing w:val="18"/>
                <w:sz w:val="21"/>
                <w:szCs w:val="21"/>
              </w:rPr>
              <w:t>现</w:t>
            </w:r>
            <w:r>
              <w:rPr>
                <w:rFonts w:hint="eastAsia" w:ascii="宋体" w:hAnsi="宋体" w:eastAsia="宋体" w:cs="宋体"/>
                <w:spacing w:val="11"/>
                <w:sz w:val="21"/>
                <w:szCs w:val="21"/>
              </w:rPr>
              <w:t>施工图设计文件本身存在错误和缺陷，导致施工图设计文件必须修改和补</w:t>
            </w:r>
            <w:r>
              <w:rPr>
                <w:rFonts w:hint="eastAsia" w:ascii="宋体" w:hAnsi="宋体" w:eastAsia="宋体" w:cs="宋体"/>
                <w:sz w:val="21"/>
                <w:szCs w:val="21"/>
              </w:rPr>
              <w:t xml:space="preserve"> </w:t>
            </w:r>
            <w:r>
              <w:rPr>
                <w:rFonts w:hint="eastAsia" w:ascii="宋体" w:hAnsi="宋体" w:eastAsia="宋体" w:cs="宋体"/>
                <w:spacing w:val="12"/>
                <w:sz w:val="21"/>
                <w:szCs w:val="21"/>
              </w:rPr>
              <w:t>充所导致的变更，仅当发包人对上述变更批准同意后，方可作为本合同工程的</w:t>
            </w:r>
            <w:r>
              <w:rPr>
                <w:rFonts w:hint="eastAsia" w:ascii="宋体" w:hAnsi="宋体" w:eastAsia="宋体" w:cs="宋体"/>
                <w:spacing w:val="11"/>
                <w:sz w:val="21"/>
                <w:szCs w:val="21"/>
              </w:rPr>
              <w:t>变</w:t>
            </w:r>
            <w:r>
              <w:rPr>
                <w:rFonts w:hint="eastAsia" w:ascii="宋体" w:hAnsi="宋体" w:eastAsia="宋体" w:cs="宋体"/>
                <w:sz w:val="21"/>
                <w:szCs w:val="21"/>
              </w:rPr>
              <w:t xml:space="preserve"> </w:t>
            </w:r>
            <w:r>
              <w:rPr>
                <w:rFonts w:hint="eastAsia" w:ascii="宋体" w:hAnsi="宋体" w:eastAsia="宋体" w:cs="宋体"/>
                <w:spacing w:val="6"/>
                <w:sz w:val="21"/>
                <w:szCs w:val="21"/>
              </w:rPr>
              <w:t>更</w:t>
            </w:r>
            <w:r>
              <w:rPr>
                <w:rFonts w:hint="eastAsia" w:ascii="宋体" w:hAnsi="宋体" w:eastAsia="宋体" w:cs="宋体"/>
                <w:spacing w:val="4"/>
                <w:sz w:val="21"/>
                <w:szCs w:val="21"/>
              </w:rPr>
              <w:t>情形。</w:t>
            </w:r>
          </w:p>
          <w:p w14:paraId="7911E231">
            <w:pPr>
              <w:snapToGrid w:val="0"/>
              <w:spacing w:before="1"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5"/>
                <w:sz w:val="21"/>
                <w:szCs w:val="21"/>
              </w:rPr>
              <w:t>在</w:t>
            </w:r>
            <w:r>
              <w:rPr>
                <w:rFonts w:hint="eastAsia" w:ascii="宋体" w:hAnsi="宋体" w:eastAsia="宋体" w:cs="宋体"/>
                <w:spacing w:val="8"/>
                <w:sz w:val="21"/>
                <w:szCs w:val="21"/>
              </w:rPr>
              <w:t>履行合同过程中，经发包人同意，监理人可按第 15.3 款约定的变更程序向承</w:t>
            </w:r>
            <w:r>
              <w:rPr>
                <w:rFonts w:hint="eastAsia" w:ascii="宋体" w:hAnsi="宋体" w:eastAsia="宋体" w:cs="宋体"/>
                <w:sz w:val="21"/>
                <w:szCs w:val="21"/>
              </w:rPr>
              <w:t xml:space="preserve"> </w:t>
            </w:r>
            <w:r>
              <w:rPr>
                <w:rFonts w:hint="eastAsia" w:ascii="宋体" w:hAnsi="宋体" w:eastAsia="宋体" w:cs="宋体"/>
                <w:spacing w:val="14"/>
                <w:sz w:val="21"/>
                <w:szCs w:val="21"/>
              </w:rPr>
              <w:t>包</w:t>
            </w:r>
            <w:r>
              <w:rPr>
                <w:rFonts w:hint="eastAsia" w:ascii="宋体" w:hAnsi="宋体" w:eastAsia="宋体" w:cs="宋体"/>
                <w:spacing w:val="12"/>
                <w:sz w:val="21"/>
                <w:szCs w:val="21"/>
              </w:rPr>
              <w:t>人作出变更指示，承包人应遵照执行。没有监理人的变更指示，承包人不得擅</w:t>
            </w:r>
            <w:r>
              <w:rPr>
                <w:rFonts w:hint="eastAsia" w:ascii="宋体" w:hAnsi="宋体" w:eastAsia="宋体" w:cs="宋体"/>
                <w:spacing w:val="-5"/>
                <w:sz w:val="21"/>
                <w:szCs w:val="21"/>
              </w:rPr>
              <w:t>自</w:t>
            </w:r>
            <w:r>
              <w:rPr>
                <w:rFonts w:hint="eastAsia" w:ascii="宋体" w:hAnsi="宋体" w:eastAsia="宋体" w:cs="宋体"/>
                <w:spacing w:val="-3"/>
                <w:sz w:val="21"/>
                <w:szCs w:val="21"/>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DF828C6">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6</w:t>
            </w:r>
          </w:p>
        </w:tc>
        <w:tc>
          <w:tcPr>
            <w:tcW w:w="936" w:type="dxa"/>
            <w:vAlign w:val="center"/>
          </w:tcPr>
          <w:p w14:paraId="60F850C0">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z w:val="21"/>
                <w:szCs w:val="21"/>
                <w:highlight w:val="red"/>
              </w:rPr>
              <w:t>15.3.4</w:t>
            </w:r>
          </w:p>
        </w:tc>
        <w:tc>
          <w:tcPr>
            <w:tcW w:w="7226" w:type="dxa"/>
            <w:tcBorders>
              <w:right w:val="single" w:color="000000" w:sz="6" w:space="0"/>
            </w:tcBorders>
            <w:vAlign w:val="center"/>
          </w:tcPr>
          <w:p w14:paraId="55630A09">
            <w:pPr>
              <w:snapToGrid w:val="0"/>
              <w:spacing w:before="13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position w:val="14"/>
                <w:sz w:val="21"/>
                <w:szCs w:val="21"/>
              </w:rPr>
              <w:t>本</w:t>
            </w:r>
            <w:r>
              <w:rPr>
                <w:rFonts w:hint="eastAsia" w:ascii="宋体" w:hAnsi="宋体" w:eastAsia="宋体" w:cs="宋体"/>
                <w:spacing w:val="11"/>
                <w:position w:val="14"/>
                <w:sz w:val="21"/>
                <w:szCs w:val="21"/>
              </w:rPr>
              <w:t>项</w:t>
            </w:r>
            <w:r>
              <w:rPr>
                <w:rFonts w:hint="eastAsia" w:ascii="宋体" w:hAnsi="宋体" w:eastAsia="宋体" w:cs="宋体"/>
                <w:spacing w:val="9"/>
                <w:position w:val="14"/>
                <w:sz w:val="21"/>
                <w:szCs w:val="21"/>
              </w:rPr>
              <w:t>目设计变更的程序按行业主管部门、项目管理法人制定的规定执行。</w:t>
            </w:r>
          </w:p>
          <w:p w14:paraId="6B9A0938">
            <w:pPr>
              <w:snapToGrid w:val="0"/>
              <w:spacing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9"/>
                <w:sz w:val="21"/>
                <w:szCs w:val="21"/>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38315C4">
            <w:pPr>
              <w:snapToGrid w:val="0"/>
              <w:spacing w:before="58"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7</w:t>
            </w:r>
          </w:p>
        </w:tc>
        <w:tc>
          <w:tcPr>
            <w:tcW w:w="936" w:type="dxa"/>
            <w:vAlign w:val="center"/>
          </w:tcPr>
          <w:p w14:paraId="01DE3935">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3"/>
                <w:sz w:val="21"/>
                <w:szCs w:val="21"/>
                <w:highlight w:val="red"/>
              </w:rPr>
              <w:t>1</w:t>
            </w:r>
            <w:r>
              <w:rPr>
                <w:rFonts w:hint="eastAsia" w:ascii="宋体" w:hAnsi="宋体" w:eastAsia="宋体" w:cs="宋体"/>
                <w:spacing w:val="-2"/>
                <w:sz w:val="21"/>
                <w:szCs w:val="21"/>
                <w:highlight w:val="red"/>
              </w:rPr>
              <w:t>5.4</w:t>
            </w:r>
          </w:p>
        </w:tc>
        <w:tc>
          <w:tcPr>
            <w:tcW w:w="7226" w:type="dxa"/>
            <w:tcBorders>
              <w:right w:val="single" w:color="000000" w:sz="6" w:space="0"/>
            </w:tcBorders>
            <w:vAlign w:val="center"/>
          </w:tcPr>
          <w:p w14:paraId="09C5C616">
            <w:pPr>
              <w:snapToGrid w:val="0"/>
              <w:spacing w:before="13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5"/>
                <w:sz w:val="21"/>
                <w:szCs w:val="21"/>
              </w:rPr>
              <w:t>5.4  变更的估价原则</w:t>
            </w:r>
          </w:p>
          <w:p w14:paraId="1C526CF3">
            <w:pPr>
              <w:snapToGrid w:val="0"/>
              <w:spacing w:before="155"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9"/>
                <w:sz w:val="21"/>
                <w:szCs w:val="21"/>
              </w:rPr>
              <w:t>本</w:t>
            </w:r>
            <w:r>
              <w:rPr>
                <w:rFonts w:hint="eastAsia" w:ascii="宋体" w:hAnsi="宋体" w:eastAsia="宋体" w:cs="宋体"/>
                <w:spacing w:val="6"/>
                <w:sz w:val="21"/>
                <w:szCs w:val="21"/>
              </w:rPr>
              <w:t>款细化为：</w:t>
            </w:r>
          </w:p>
          <w:p w14:paraId="30D46B6A">
            <w:pPr>
              <w:snapToGrid w:val="0"/>
              <w:spacing w:before="15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0"/>
                <w:sz w:val="21"/>
                <w:szCs w:val="21"/>
              </w:rPr>
              <w:t>15</w:t>
            </w:r>
            <w:r>
              <w:rPr>
                <w:rFonts w:hint="eastAsia" w:ascii="宋体" w:hAnsi="宋体" w:eastAsia="宋体" w:cs="宋体"/>
                <w:spacing w:val="9"/>
                <w:sz w:val="21"/>
                <w:szCs w:val="21"/>
              </w:rPr>
              <w:t>.</w:t>
            </w:r>
            <w:r>
              <w:rPr>
                <w:rFonts w:hint="eastAsia" w:ascii="宋体" w:hAnsi="宋体" w:eastAsia="宋体" w:cs="宋体"/>
                <w:spacing w:val="5"/>
                <w:sz w:val="21"/>
                <w:szCs w:val="21"/>
              </w:rPr>
              <w:t>4. 1  如果取消某项工作，则该项工作的总额价不予支付。</w:t>
            </w:r>
          </w:p>
          <w:p w14:paraId="68A4817D">
            <w:pPr>
              <w:snapToGrid w:val="0"/>
              <w:spacing w:before="15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15.4.2  已标价工程量清单中有适用于变更工作的子目的，采用该子目的单价</w:t>
            </w:r>
            <w:r>
              <w:rPr>
                <w:rFonts w:hint="eastAsia" w:ascii="宋体" w:hAnsi="宋体" w:eastAsia="宋体" w:cs="宋体"/>
                <w:sz w:val="21"/>
                <w:szCs w:val="21"/>
              </w:rPr>
              <w:t>。</w:t>
            </w:r>
          </w:p>
          <w:p w14:paraId="7D7D91F1">
            <w:pPr>
              <w:snapToGrid w:val="0"/>
              <w:spacing w:before="156"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sz w:val="21"/>
                <w:szCs w:val="21"/>
              </w:rPr>
              <w:t>1</w:t>
            </w:r>
            <w:r>
              <w:rPr>
                <w:rFonts w:hint="eastAsia" w:ascii="宋体" w:hAnsi="宋体" w:eastAsia="宋体" w:cs="宋体"/>
                <w:spacing w:val="14"/>
                <w:sz w:val="21"/>
                <w:szCs w:val="21"/>
              </w:rPr>
              <w:t>5</w:t>
            </w:r>
            <w:r>
              <w:rPr>
                <w:rFonts w:hint="eastAsia" w:ascii="宋体" w:hAnsi="宋体" w:eastAsia="宋体" w:cs="宋体"/>
                <w:spacing w:val="9"/>
                <w:sz w:val="21"/>
                <w:szCs w:val="21"/>
              </w:rPr>
              <w:t>.4.3  已标价工程量清单中无适用于变更工作的子目，但有类似子目的，可在</w:t>
            </w:r>
            <w:r>
              <w:rPr>
                <w:rFonts w:hint="eastAsia" w:ascii="宋体" w:hAnsi="宋体" w:eastAsia="宋体" w:cs="宋体"/>
                <w:sz w:val="21"/>
                <w:szCs w:val="21"/>
              </w:rPr>
              <w:t xml:space="preserve"> </w:t>
            </w:r>
            <w:r>
              <w:rPr>
                <w:rFonts w:hint="eastAsia" w:ascii="宋体" w:hAnsi="宋体" w:eastAsia="宋体" w:cs="宋体"/>
                <w:spacing w:val="15"/>
                <w:sz w:val="21"/>
                <w:szCs w:val="21"/>
              </w:rPr>
              <w:t>合</w:t>
            </w:r>
            <w:r>
              <w:rPr>
                <w:rFonts w:hint="eastAsia" w:ascii="宋体" w:hAnsi="宋体" w:eastAsia="宋体" w:cs="宋体"/>
                <w:spacing w:val="8"/>
                <w:sz w:val="21"/>
                <w:szCs w:val="21"/>
              </w:rPr>
              <w:t>理范围内参照类似子目的单价， 由监理人按第 3.5 款商定或确定变更工作的单</w:t>
            </w:r>
            <w:r>
              <w:rPr>
                <w:rFonts w:hint="eastAsia" w:ascii="宋体" w:hAnsi="宋体" w:eastAsia="宋体" w:cs="宋体"/>
                <w:sz w:val="21"/>
                <w:szCs w:val="21"/>
              </w:rPr>
              <w:t xml:space="preserve"> 价。</w:t>
            </w:r>
          </w:p>
          <w:p w14:paraId="0870E032">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sz w:val="21"/>
                <w:szCs w:val="21"/>
              </w:rPr>
              <w:t>1</w:t>
            </w:r>
            <w:r>
              <w:rPr>
                <w:rFonts w:hint="eastAsia" w:ascii="宋体" w:hAnsi="宋体" w:eastAsia="宋体" w:cs="宋体"/>
                <w:spacing w:val="14"/>
                <w:sz w:val="21"/>
                <w:szCs w:val="21"/>
              </w:rPr>
              <w:t>5</w:t>
            </w:r>
            <w:r>
              <w:rPr>
                <w:rFonts w:hint="eastAsia" w:ascii="宋体" w:hAnsi="宋体" w:eastAsia="宋体" w:cs="宋体"/>
                <w:spacing w:val="9"/>
                <w:sz w:val="21"/>
                <w:szCs w:val="21"/>
              </w:rPr>
              <w:t>.4.4  已标价工程量清单中无适用或类似子目的单价，可在综合考虑承包人在</w:t>
            </w:r>
            <w:r>
              <w:rPr>
                <w:rFonts w:hint="eastAsia" w:ascii="宋体" w:hAnsi="宋体" w:eastAsia="宋体" w:cs="宋体"/>
                <w:sz w:val="21"/>
                <w:szCs w:val="21"/>
              </w:rPr>
              <w:t xml:space="preserve"> </w:t>
            </w:r>
            <w:r>
              <w:rPr>
                <w:rFonts w:hint="eastAsia" w:ascii="宋体" w:hAnsi="宋体" w:eastAsia="宋体" w:cs="宋体"/>
                <w:spacing w:val="13"/>
                <w:sz w:val="21"/>
                <w:szCs w:val="21"/>
              </w:rPr>
              <w:t>投</w:t>
            </w:r>
            <w:r>
              <w:rPr>
                <w:rFonts w:hint="eastAsia" w:ascii="宋体" w:hAnsi="宋体" w:eastAsia="宋体" w:cs="宋体"/>
                <w:spacing w:val="12"/>
                <w:sz w:val="21"/>
                <w:szCs w:val="21"/>
              </w:rPr>
              <w:t>标时所提供的单价分析表的基础上，参照《公路工程建设项目概算预算编制办</w:t>
            </w:r>
            <w:r>
              <w:rPr>
                <w:rFonts w:hint="eastAsia" w:ascii="宋体" w:hAnsi="宋体" w:eastAsia="宋体" w:cs="宋体"/>
                <w:sz w:val="21"/>
                <w:szCs w:val="21"/>
              </w:rPr>
              <w:t xml:space="preserve"> </w:t>
            </w:r>
            <w:r>
              <w:rPr>
                <w:rFonts w:hint="eastAsia" w:ascii="宋体" w:hAnsi="宋体" w:eastAsia="宋体" w:cs="宋体"/>
                <w:spacing w:val="10"/>
                <w:sz w:val="21"/>
                <w:szCs w:val="21"/>
              </w:rPr>
              <w:t>法》和《</w:t>
            </w:r>
            <w:r>
              <w:rPr>
                <w:rFonts w:hint="eastAsia" w:ascii="宋体" w:hAnsi="宋体" w:eastAsia="宋体" w:cs="宋体"/>
                <w:spacing w:val="9"/>
                <w:sz w:val="21"/>
                <w:szCs w:val="21"/>
              </w:rPr>
              <w:t>公</w:t>
            </w:r>
            <w:r>
              <w:rPr>
                <w:rFonts w:hint="eastAsia" w:ascii="宋体" w:hAnsi="宋体" w:eastAsia="宋体" w:cs="宋体"/>
                <w:spacing w:val="5"/>
                <w:sz w:val="21"/>
                <w:szCs w:val="21"/>
              </w:rPr>
              <w:t>路工程预算定额》进行计算，由监理人按第 3.5 款商定或确定变更工作</w:t>
            </w:r>
            <w:r>
              <w:rPr>
                <w:rFonts w:hint="eastAsia" w:ascii="宋体" w:hAnsi="宋体" w:eastAsia="宋体" w:cs="宋体"/>
                <w:sz w:val="21"/>
                <w:szCs w:val="21"/>
              </w:rPr>
              <w:t xml:space="preserve"> </w:t>
            </w:r>
            <w:r>
              <w:rPr>
                <w:rFonts w:hint="eastAsia" w:ascii="宋体" w:hAnsi="宋体" w:eastAsia="宋体" w:cs="宋体"/>
                <w:spacing w:val="15"/>
                <w:sz w:val="21"/>
                <w:szCs w:val="21"/>
              </w:rPr>
              <w:t>的</w:t>
            </w:r>
            <w:r>
              <w:rPr>
                <w:rFonts w:hint="eastAsia" w:ascii="宋体" w:hAnsi="宋体" w:eastAsia="宋体" w:cs="宋体"/>
                <w:spacing w:val="8"/>
                <w:sz w:val="21"/>
                <w:szCs w:val="21"/>
              </w:rPr>
              <w:t>单价，变更单价不计取利润。</w:t>
            </w:r>
          </w:p>
          <w:p w14:paraId="5FEC3E38">
            <w:pPr>
              <w:snapToGrid w:val="0"/>
              <w:spacing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8"/>
                <w:position w:val="14"/>
                <w:sz w:val="21"/>
                <w:szCs w:val="21"/>
              </w:rPr>
              <w:t>1</w:t>
            </w:r>
            <w:r>
              <w:rPr>
                <w:rFonts w:hint="eastAsia" w:ascii="宋体" w:hAnsi="宋体" w:eastAsia="宋体" w:cs="宋体"/>
                <w:spacing w:val="14"/>
                <w:position w:val="14"/>
                <w:sz w:val="21"/>
                <w:szCs w:val="21"/>
              </w:rPr>
              <w:t>5</w:t>
            </w:r>
            <w:r>
              <w:rPr>
                <w:rFonts w:hint="eastAsia" w:ascii="宋体" w:hAnsi="宋体" w:eastAsia="宋体" w:cs="宋体"/>
                <w:spacing w:val="9"/>
                <w:position w:val="14"/>
                <w:sz w:val="21"/>
                <w:szCs w:val="21"/>
              </w:rPr>
              <w:t>.4.5  如果本工程的变更指示是因承包人过错、承包人违反合同或承包人责任造成的，则这种违约引起的任何额外费用应由承包人承担</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2F2057EC">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8</w:t>
            </w:r>
          </w:p>
        </w:tc>
        <w:tc>
          <w:tcPr>
            <w:tcW w:w="936" w:type="dxa"/>
            <w:vAlign w:val="center"/>
          </w:tcPr>
          <w:p w14:paraId="3422C59B">
            <w:pPr>
              <w:snapToGrid w:val="0"/>
              <w:spacing w:before="58"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z w:val="21"/>
                <w:szCs w:val="21"/>
              </w:rPr>
              <w:t>15.5.2</w:t>
            </w:r>
          </w:p>
        </w:tc>
        <w:tc>
          <w:tcPr>
            <w:tcW w:w="7226" w:type="dxa"/>
            <w:tcBorders>
              <w:right w:val="single" w:color="000000" w:sz="6" w:space="0"/>
            </w:tcBorders>
            <w:vAlign w:val="center"/>
          </w:tcPr>
          <w:p w14:paraId="1F53DD10">
            <w:pPr>
              <w:snapToGrid w:val="0"/>
              <w:spacing w:before="141"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4"/>
                <w:sz w:val="21"/>
                <w:szCs w:val="21"/>
              </w:rPr>
              <w:t>承</w:t>
            </w:r>
            <w:r>
              <w:rPr>
                <w:rFonts w:hint="eastAsia" w:ascii="宋体" w:hAnsi="宋体" w:eastAsia="宋体" w:cs="宋体"/>
                <w:spacing w:val="12"/>
                <w:sz w:val="21"/>
                <w:szCs w:val="21"/>
              </w:rPr>
              <w:t>包人提出的合理化建议降低了合同价格或者提高了工程经济效益的，发包人</w:t>
            </w:r>
            <w:r>
              <w:rPr>
                <w:rFonts w:hint="eastAsia" w:ascii="宋体" w:hAnsi="宋体" w:eastAsia="宋体" w:cs="宋体"/>
                <w:sz w:val="21"/>
                <w:szCs w:val="21"/>
              </w:rPr>
              <w:t xml:space="preserve"> </w:t>
            </w:r>
            <w:r>
              <w:rPr>
                <w:rFonts w:hint="eastAsia" w:ascii="宋体" w:hAnsi="宋体" w:eastAsia="宋体" w:cs="宋体"/>
                <w:spacing w:val="12"/>
                <w:sz w:val="21"/>
                <w:szCs w:val="21"/>
              </w:rPr>
              <w:t>按所节</w:t>
            </w:r>
            <w:r>
              <w:rPr>
                <w:rFonts w:hint="eastAsia" w:ascii="宋体" w:hAnsi="宋体" w:eastAsia="宋体" w:cs="宋体"/>
                <w:spacing w:val="8"/>
                <w:sz w:val="21"/>
                <w:szCs w:val="21"/>
              </w:rPr>
              <w:t>约</w:t>
            </w:r>
            <w:r>
              <w:rPr>
                <w:rFonts w:hint="eastAsia" w:ascii="宋体" w:hAnsi="宋体" w:eastAsia="宋体" w:cs="宋体"/>
                <w:spacing w:val="6"/>
                <w:sz w:val="21"/>
                <w:szCs w:val="21"/>
              </w:rPr>
              <w:t>成本的  /    %或增加收益的  /    %给予奖励</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DD947B1">
            <w:pPr>
              <w:snapToGrid w:val="0"/>
              <w:spacing w:before="57"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9</w:t>
            </w:r>
          </w:p>
        </w:tc>
        <w:tc>
          <w:tcPr>
            <w:tcW w:w="936" w:type="dxa"/>
            <w:vAlign w:val="center"/>
          </w:tcPr>
          <w:p w14:paraId="2C3ACEFF">
            <w:pPr>
              <w:snapToGrid w:val="0"/>
              <w:spacing w:before="57" w:line="240" w:lineRule="auto"/>
              <w:ind w:left="0" w:leftChars="0" w:right="0" w:rightChars="0" w:firstLine="0" w:firstLineChars="0"/>
              <w:jc w:val="center"/>
              <w:rPr>
                <w:rFonts w:hint="eastAsia" w:ascii="宋体" w:hAnsi="宋体" w:eastAsia="宋体" w:cs="宋体"/>
                <w:spacing w:val="-6"/>
                <w:sz w:val="21"/>
                <w:szCs w:val="21"/>
              </w:rPr>
            </w:pPr>
            <w:r>
              <w:rPr>
                <w:rFonts w:hint="eastAsia" w:ascii="宋体" w:hAnsi="宋体" w:eastAsia="宋体" w:cs="宋体"/>
                <w:spacing w:val="-11"/>
                <w:sz w:val="21"/>
                <w:szCs w:val="21"/>
              </w:rPr>
              <w:t>1</w:t>
            </w:r>
            <w:r>
              <w:rPr>
                <w:rFonts w:hint="eastAsia" w:ascii="宋体" w:hAnsi="宋体" w:eastAsia="宋体" w:cs="宋体"/>
                <w:spacing w:val="-7"/>
                <w:sz w:val="21"/>
                <w:szCs w:val="21"/>
              </w:rPr>
              <w:t>6. 1</w:t>
            </w:r>
          </w:p>
        </w:tc>
        <w:tc>
          <w:tcPr>
            <w:tcW w:w="7226" w:type="dxa"/>
            <w:tcBorders>
              <w:right w:val="single" w:color="000000" w:sz="6" w:space="0"/>
            </w:tcBorders>
            <w:vAlign w:val="center"/>
          </w:tcPr>
          <w:p w14:paraId="01F3035F">
            <w:pPr>
              <w:snapToGrid w:val="0"/>
              <w:spacing w:before="12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1"/>
                <w:sz w:val="21"/>
                <w:szCs w:val="21"/>
                <w:u w:val="none" w:color="auto"/>
              </w:rPr>
              <w:sym w:font="Wingdings 2" w:char="00A3"/>
            </w:r>
            <w:r>
              <w:rPr>
                <w:rFonts w:hint="eastAsia" w:ascii="宋体" w:hAnsi="宋体" w:eastAsia="宋体" w:cs="宋体"/>
                <w:spacing w:val="7"/>
                <w:sz w:val="21"/>
                <w:szCs w:val="21"/>
              </w:rPr>
              <w:t>因物价波动引起的价格调整按照</w:t>
            </w:r>
            <w:r>
              <w:rPr>
                <w:rFonts w:hint="eastAsia" w:ascii="宋体" w:hAnsi="宋体" w:eastAsia="宋体" w:cs="宋体"/>
                <w:spacing w:val="7"/>
                <w:sz w:val="21"/>
                <w:szCs w:val="21"/>
                <w:u w:val="single" w:color="auto"/>
              </w:rPr>
              <w:t xml:space="preserve">    /  </w:t>
            </w:r>
            <w:r>
              <w:rPr>
                <w:rFonts w:hint="eastAsia" w:ascii="宋体" w:hAnsi="宋体" w:eastAsia="宋体" w:cs="宋体"/>
                <w:spacing w:val="7"/>
                <w:sz w:val="21"/>
                <w:szCs w:val="21"/>
              </w:rPr>
              <w:t>约定的原则处理</w:t>
            </w:r>
          </w:p>
          <w:p w14:paraId="2646DAEF">
            <w:pPr>
              <w:snapToGrid w:val="0"/>
              <w:spacing w:before="79"/>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11"/>
                <w:sz w:val="21"/>
                <w:szCs w:val="21"/>
                <w:u w:val="none" w:color="auto"/>
              </w:rPr>
              <w:sym w:font="Wingdings 2" w:char="0052"/>
            </w:r>
            <w:r>
              <w:rPr>
                <w:rFonts w:hint="eastAsia" w:ascii="宋体" w:hAnsi="宋体" w:eastAsia="宋体" w:cs="宋体"/>
                <w:color w:val="auto"/>
                <w:sz w:val="21"/>
                <w:szCs w:val="21"/>
                <w:highlight w:val="none"/>
              </w:rPr>
              <w:t>合同期内不调价</w:t>
            </w:r>
            <w:r>
              <w:rPr>
                <w:rStyle w:val="47"/>
                <w:rFonts w:hint="eastAsia" w:ascii="宋体" w:hAnsi="宋体" w:eastAsia="宋体" w:cs="宋体"/>
                <w:color w:val="auto"/>
                <w:sz w:val="21"/>
                <w:szCs w:val="21"/>
                <w:highlight w:val="none"/>
              </w:rPr>
              <w:footnoteReference w:id="42"/>
            </w:r>
            <w:r>
              <w:rPr>
                <w:rStyle w:val="47"/>
                <w:rFonts w:hint="eastAsia" w:ascii="宋体" w:hAnsi="宋体" w:eastAsia="宋体" w:cs="宋体"/>
                <w:color w:val="auto"/>
                <w:sz w:val="21"/>
                <w:szCs w:val="21"/>
                <w:highlight w:val="none"/>
              </w:rPr>
              <w:t xml:space="preserve"> </w:t>
            </w:r>
            <w:r>
              <w:rPr>
                <w:rFonts w:hint="eastAsia" w:ascii="宋体" w:hAnsi="宋体" w:eastAsia="宋体" w:cs="宋体"/>
                <w:spacing w:val="9"/>
                <w:sz w:val="21"/>
                <w:szCs w:val="21"/>
              </w:rPr>
              <w:t>，因物价波动引起的价格调整本合同不予考虑。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2E18350E">
            <w:pPr>
              <w:snapToGrid w:val="0"/>
              <w:spacing w:before="58" w:line="240" w:lineRule="auto"/>
              <w:ind w:left="0" w:leftChars="0" w:right="0" w:rightChars="0" w:firstLine="0" w:firstLineChars="0"/>
              <w:jc w:val="center"/>
              <w:rPr>
                <w:rFonts w:hint="eastAsia" w:ascii="宋体" w:hAnsi="宋体" w:eastAsia="宋体" w:cs="宋体"/>
                <w:spacing w:val="-8"/>
                <w:sz w:val="21"/>
                <w:szCs w:val="21"/>
              </w:rPr>
            </w:pPr>
            <w:r>
              <w:rPr>
                <w:rFonts w:hint="eastAsia" w:ascii="宋体" w:hAnsi="宋体" w:eastAsia="宋体" w:cs="宋体"/>
                <w:spacing w:val="1"/>
                <w:sz w:val="21"/>
                <w:szCs w:val="21"/>
              </w:rPr>
              <w:t>3</w:t>
            </w:r>
            <w:r>
              <w:rPr>
                <w:rFonts w:hint="eastAsia" w:ascii="宋体" w:hAnsi="宋体" w:eastAsia="宋体" w:cs="宋体"/>
                <w:sz w:val="21"/>
                <w:szCs w:val="21"/>
              </w:rPr>
              <w:t>0</w:t>
            </w:r>
          </w:p>
        </w:tc>
        <w:tc>
          <w:tcPr>
            <w:tcW w:w="936" w:type="dxa"/>
            <w:vAlign w:val="center"/>
          </w:tcPr>
          <w:p w14:paraId="5191ADEA">
            <w:pPr>
              <w:snapToGrid w:val="0"/>
              <w:spacing w:before="58" w:line="240" w:lineRule="auto"/>
              <w:ind w:left="0" w:leftChars="0" w:right="0" w:rightChars="0" w:firstLine="0" w:firstLineChars="0"/>
              <w:jc w:val="center"/>
              <w:rPr>
                <w:rFonts w:hint="eastAsia" w:ascii="宋体" w:hAnsi="宋体" w:eastAsia="宋体" w:cs="宋体"/>
                <w:spacing w:val="-6"/>
                <w:sz w:val="21"/>
                <w:szCs w:val="21"/>
                <w:highlight w:val="red"/>
              </w:rPr>
            </w:pPr>
            <w:r>
              <w:rPr>
                <w:rFonts w:hint="eastAsia" w:ascii="宋体" w:hAnsi="宋体" w:eastAsia="宋体" w:cs="宋体"/>
                <w:spacing w:val="-3"/>
                <w:sz w:val="21"/>
                <w:szCs w:val="21"/>
                <w:highlight w:val="red"/>
              </w:rPr>
              <w:t>1</w:t>
            </w:r>
            <w:r>
              <w:rPr>
                <w:rFonts w:hint="eastAsia" w:ascii="宋体" w:hAnsi="宋体" w:eastAsia="宋体" w:cs="宋体"/>
                <w:spacing w:val="-2"/>
                <w:sz w:val="21"/>
                <w:szCs w:val="21"/>
                <w:highlight w:val="red"/>
              </w:rPr>
              <w:t>6.3</w:t>
            </w:r>
          </w:p>
        </w:tc>
        <w:tc>
          <w:tcPr>
            <w:tcW w:w="7226" w:type="dxa"/>
            <w:tcBorders>
              <w:right w:val="single" w:color="000000" w:sz="6" w:space="0"/>
            </w:tcBorders>
            <w:vAlign w:val="center"/>
          </w:tcPr>
          <w:p w14:paraId="3BF2F735">
            <w:pPr>
              <w:snapToGrid w:val="0"/>
              <w:spacing w:before="148" w:line="240" w:lineRule="auto"/>
              <w:ind w:left="0" w:leftChars="0" w:right="0" w:rightChars="0" w:firstLine="0" w:firstLineChars="0"/>
              <w:jc w:val="left"/>
              <w:rPr>
                <w:rFonts w:hint="eastAsia" w:ascii="宋体" w:hAnsi="宋体" w:eastAsia="宋体" w:cs="宋体"/>
                <w:spacing w:val="10"/>
                <w:position w:val="1"/>
                <w:sz w:val="21"/>
                <w:szCs w:val="21"/>
              </w:rPr>
            </w:pPr>
            <w:r>
              <w:rPr>
                <w:rFonts w:hint="eastAsia" w:ascii="宋体" w:hAnsi="宋体" w:eastAsia="宋体" w:cs="宋体"/>
                <w:spacing w:val="22"/>
                <w:sz w:val="21"/>
                <w:szCs w:val="21"/>
              </w:rPr>
              <w:t>除非</w:t>
            </w:r>
            <w:r>
              <w:rPr>
                <w:rFonts w:hint="eastAsia" w:ascii="宋体" w:hAnsi="宋体" w:eastAsia="宋体" w:cs="宋体"/>
                <w:spacing w:val="13"/>
                <w:sz w:val="21"/>
                <w:szCs w:val="21"/>
              </w:rPr>
              <w:t>发</w:t>
            </w:r>
            <w:r>
              <w:rPr>
                <w:rFonts w:hint="eastAsia" w:ascii="宋体" w:hAnsi="宋体" w:eastAsia="宋体" w:cs="宋体"/>
                <w:spacing w:val="11"/>
                <w:sz w:val="21"/>
                <w:szCs w:val="21"/>
              </w:rPr>
              <w:t>包人和监理人专门批准，如果本工程技术规范和图纸标准低于国家和行</w:t>
            </w:r>
            <w:r>
              <w:rPr>
                <w:rFonts w:hint="eastAsia" w:ascii="宋体" w:hAnsi="宋体" w:eastAsia="宋体" w:cs="宋体"/>
                <w:sz w:val="21"/>
                <w:szCs w:val="21"/>
              </w:rPr>
              <w:t xml:space="preserve"> </w:t>
            </w:r>
            <w:r>
              <w:rPr>
                <w:rFonts w:hint="eastAsia" w:ascii="宋体" w:hAnsi="宋体" w:eastAsia="宋体" w:cs="宋体"/>
                <w:spacing w:val="14"/>
                <w:sz w:val="21"/>
                <w:szCs w:val="21"/>
              </w:rPr>
              <w:t>业</w:t>
            </w:r>
            <w:r>
              <w:rPr>
                <w:rFonts w:hint="eastAsia" w:ascii="宋体" w:hAnsi="宋体" w:eastAsia="宋体" w:cs="宋体"/>
                <w:spacing w:val="12"/>
                <w:sz w:val="21"/>
                <w:szCs w:val="21"/>
              </w:rPr>
              <w:t>标准，则应按国家和行业标准执行，承包人由此增加的费用，发包人不另行计</w:t>
            </w:r>
            <w:r>
              <w:rPr>
                <w:rFonts w:hint="eastAsia" w:ascii="宋体" w:hAnsi="宋体" w:eastAsia="宋体" w:cs="宋体"/>
                <w:spacing w:val="5"/>
                <w:sz w:val="21"/>
                <w:szCs w:val="21"/>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582FD90">
            <w:pPr>
              <w:snapToGrid w:val="0"/>
              <w:spacing w:before="58"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rPr>
              <w:t>3</w:t>
            </w:r>
            <w:r>
              <w:rPr>
                <w:rFonts w:hint="eastAsia" w:ascii="宋体" w:hAnsi="宋体" w:eastAsia="宋体" w:cs="宋体"/>
                <w:spacing w:val="1"/>
                <w:sz w:val="21"/>
                <w:szCs w:val="21"/>
                <w:lang w:val="en-US" w:eastAsia="zh-CN"/>
              </w:rPr>
              <w:t>1</w:t>
            </w:r>
          </w:p>
        </w:tc>
        <w:tc>
          <w:tcPr>
            <w:tcW w:w="936" w:type="dxa"/>
            <w:vAlign w:val="center"/>
          </w:tcPr>
          <w:p w14:paraId="59643150">
            <w:pPr>
              <w:snapToGrid w:val="0"/>
              <w:spacing w:before="58" w:line="240" w:lineRule="auto"/>
              <w:ind w:left="0" w:leftChars="0" w:right="0" w:rightChars="0" w:firstLine="0" w:firstLineChars="0"/>
              <w:jc w:val="center"/>
              <w:rPr>
                <w:rFonts w:hint="eastAsia" w:ascii="宋体" w:hAnsi="宋体" w:eastAsia="宋体" w:cs="宋体"/>
                <w:spacing w:val="-3"/>
                <w:sz w:val="21"/>
                <w:szCs w:val="21"/>
                <w:highlight w:val="red"/>
              </w:rPr>
            </w:pPr>
            <w:r>
              <w:rPr>
                <w:rFonts w:hint="eastAsia" w:ascii="宋体" w:hAnsi="宋体" w:eastAsia="宋体" w:cs="宋体"/>
                <w:spacing w:val="-8"/>
                <w:sz w:val="21"/>
                <w:szCs w:val="21"/>
                <w:highlight w:val="red"/>
              </w:rPr>
              <w:t>1</w:t>
            </w:r>
            <w:r>
              <w:rPr>
                <w:rFonts w:hint="eastAsia" w:ascii="宋体" w:hAnsi="宋体" w:eastAsia="宋体" w:cs="宋体"/>
                <w:spacing w:val="-7"/>
                <w:sz w:val="21"/>
                <w:szCs w:val="21"/>
                <w:highlight w:val="red"/>
              </w:rPr>
              <w:t>7. 1.3</w:t>
            </w:r>
          </w:p>
        </w:tc>
        <w:tc>
          <w:tcPr>
            <w:tcW w:w="7226" w:type="dxa"/>
            <w:tcBorders>
              <w:right w:val="single" w:color="000000" w:sz="6" w:space="0"/>
            </w:tcBorders>
            <w:vAlign w:val="center"/>
          </w:tcPr>
          <w:p w14:paraId="7D3794B5">
            <w:pPr>
              <w:snapToGrid w:val="0"/>
              <w:spacing w:before="139" w:line="240" w:lineRule="auto"/>
              <w:ind w:left="0" w:leftChars="0" w:right="0" w:rightChars="0" w:firstLine="0" w:firstLineChars="0"/>
              <w:jc w:val="left"/>
              <w:rPr>
                <w:rFonts w:hint="eastAsia" w:ascii="宋体" w:hAnsi="宋体" w:eastAsia="宋体" w:cs="宋体"/>
                <w:spacing w:val="22"/>
                <w:sz w:val="21"/>
                <w:szCs w:val="21"/>
              </w:rPr>
            </w:pPr>
            <w:r>
              <w:rPr>
                <w:rFonts w:hint="eastAsia" w:ascii="宋体" w:hAnsi="宋体" w:eastAsia="宋体" w:cs="宋体"/>
                <w:spacing w:val="14"/>
                <w:position w:val="14"/>
                <w:sz w:val="21"/>
                <w:szCs w:val="21"/>
              </w:rPr>
              <w:t>单</w:t>
            </w:r>
            <w:r>
              <w:rPr>
                <w:rFonts w:hint="eastAsia" w:ascii="宋体" w:hAnsi="宋体" w:eastAsia="宋体" w:cs="宋体"/>
                <w:spacing w:val="11"/>
                <w:position w:val="14"/>
                <w:sz w:val="21"/>
                <w:szCs w:val="21"/>
              </w:rPr>
              <w:t>价</w:t>
            </w:r>
            <w:r>
              <w:rPr>
                <w:rFonts w:hint="eastAsia" w:ascii="宋体" w:hAnsi="宋体" w:eastAsia="宋体" w:cs="宋体"/>
                <w:spacing w:val="7"/>
                <w:position w:val="14"/>
                <w:sz w:val="21"/>
                <w:szCs w:val="21"/>
              </w:rPr>
              <w:t>子目已完成工程量按月计量，总价子目按第 17. 1.5 项 (总价子目的计量)计量后，汇入当月计量。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050F2F5">
            <w:pPr>
              <w:snapToGrid w:val="0"/>
              <w:spacing w:before="57"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rPr>
              <w:t>3</w:t>
            </w:r>
            <w:r>
              <w:rPr>
                <w:rFonts w:hint="eastAsia" w:ascii="宋体" w:hAnsi="宋体" w:eastAsia="宋体" w:cs="宋体"/>
                <w:sz w:val="21"/>
                <w:szCs w:val="21"/>
                <w:lang w:val="en-US" w:eastAsia="zh-CN"/>
              </w:rPr>
              <w:t>2</w:t>
            </w:r>
          </w:p>
        </w:tc>
        <w:tc>
          <w:tcPr>
            <w:tcW w:w="936" w:type="dxa"/>
            <w:vAlign w:val="center"/>
          </w:tcPr>
          <w:p w14:paraId="33675F78">
            <w:pPr>
              <w:snapToGrid w:val="0"/>
              <w:spacing w:before="57" w:line="240" w:lineRule="auto"/>
              <w:ind w:left="0" w:leftChars="0" w:right="0" w:rightChars="0" w:firstLine="0" w:firstLineChars="0"/>
              <w:jc w:val="center"/>
              <w:rPr>
                <w:rFonts w:hint="eastAsia" w:ascii="宋体" w:hAnsi="宋体" w:eastAsia="宋体" w:cs="宋体"/>
                <w:spacing w:val="-3"/>
                <w:sz w:val="21"/>
                <w:szCs w:val="21"/>
                <w:highlight w:val="red"/>
              </w:rPr>
            </w:pPr>
            <w:r>
              <w:rPr>
                <w:rFonts w:hint="eastAsia" w:ascii="宋体" w:hAnsi="宋体" w:eastAsia="宋体" w:cs="宋体"/>
                <w:spacing w:val="-8"/>
                <w:sz w:val="21"/>
                <w:szCs w:val="21"/>
                <w:highlight w:val="red"/>
              </w:rPr>
              <w:t>1</w:t>
            </w:r>
            <w:r>
              <w:rPr>
                <w:rFonts w:hint="eastAsia" w:ascii="宋体" w:hAnsi="宋体" w:eastAsia="宋体" w:cs="宋体"/>
                <w:spacing w:val="-7"/>
                <w:sz w:val="21"/>
                <w:szCs w:val="21"/>
                <w:highlight w:val="red"/>
              </w:rPr>
              <w:t>7. 1.4</w:t>
            </w:r>
          </w:p>
        </w:tc>
        <w:tc>
          <w:tcPr>
            <w:tcW w:w="7226" w:type="dxa"/>
            <w:tcBorders>
              <w:right w:val="single" w:color="000000" w:sz="6" w:space="0"/>
            </w:tcBorders>
            <w:vAlign w:val="center"/>
          </w:tcPr>
          <w:p w14:paraId="2604CA63">
            <w:pPr>
              <w:snapToGrid w:val="0"/>
              <w:spacing w:before="14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
                <w:sz w:val="21"/>
                <w:szCs w:val="21"/>
              </w:rPr>
              <w:t xml:space="preserve">17. 1.4  </w:t>
            </w:r>
            <w:r>
              <w:rPr>
                <w:rFonts w:hint="eastAsia" w:ascii="宋体" w:hAnsi="宋体" w:eastAsia="宋体" w:cs="宋体"/>
                <w:spacing w:val="1"/>
                <w:sz w:val="21"/>
                <w:szCs w:val="21"/>
              </w:rPr>
              <w:t>单价子目的计量</w:t>
            </w:r>
            <w:r>
              <w:rPr>
                <w:rFonts w:hint="eastAsia" w:ascii="宋体" w:hAnsi="宋体" w:eastAsia="宋体" w:cs="宋体"/>
                <w:sz w:val="21"/>
                <w:szCs w:val="21"/>
              </w:rPr>
              <w:t xml:space="preserve"> </w:t>
            </w:r>
            <w:r>
              <w:rPr>
                <w:rFonts w:hint="eastAsia" w:ascii="宋体" w:hAnsi="宋体" w:eastAsia="宋体" w:cs="宋体"/>
                <w:spacing w:val="9"/>
                <w:sz w:val="21"/>
                <w:szCs w:val="21"/>
              </w:rPr>
              <w:t>本</w:t>
            </w:r>
            <w:r>
              <w:rPr>
                <w:rFonts w:hint="eastAsia" w:ascii="宋体" w:hAnsi="宋体" w:eastAsia="宋体" w:cs="宋体"/>
                <w:spacing w:val="6"/>
                <w:sz w:val="21"/>
                <w:szCs w:val="21"/>
              </w:rPr>
              <w:t>项约定为：</w:t>
            </w:r>
          </w:p>
          <w:p w14:paraId="73085F40">
            <w:pPr>
              <w:snapToGrid w:val="0"/>
              <w:spacing w:before="154"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1) 已标价工程量清单中的单价子目工程量为估算工程量。结算工程量是承包</w:t>
            </w:r>
            <w:r>
              <w:rPr>
                <w:rFonts w:hint="eastAsia" w:ascii="宋体" w:hAnsi="宋体" w:eastAsia="宋体" w:cs="宋体"/>
                <w:sz w:val="21"/>
                <w:szCs w:val="21"/>
              </w:rPr>
              <w:t xml:space="preserve"> </w:t>
            </w:r>
            <w:r>
              <w:rPr>
                <w:rFonts w:hint="eastAsia" w:ascii="宋体" w:hAnsi="宋体" w:eastAsia="宋体" w:cs="宋体"/>
                <w:spacing w:val="13"/>
                <w:sz w:val="21"/>
                <w:szCs w:val="21"/>
              </w:rPr>
              <w:t>人</w:t>
            </w:r>
            <w:r>
              <w:rPr>
                <w:rFonts w:hint="eastAsia" w:ascii="宋体" w:hAnsi="宋体" w:eastAsia="宋体" w:cs="宋体"/>
                <w:spacing w:val="9"/>
                <w:sz w:val="21"/>
                <w:szCs w:val="21"/>
              </w:rPr>
              <w:t>实际完成的，并按合同约定的计量方法进行计量的工程量。</w:t>
            </w:r>
          </w:p>
          <w:p w14:paraId="63D2E7B2">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2) 承包人对已完成的工程进行计量，向监理人提交进度付款申请单、已完成</w:t>
            </w:r>
            <w:r>
              <w:rPr>
                <w:rFonts w:hint="eastAsia" w:ascii="宋体" w:hAnsi="宋体" w:eastAsia="宋体" w:cs="宋体"/>
                <w:sz w:val="21"/>
                <w:szCs w:val="21"/>
              </w:rPr>
              <w:t xml:space="preserve"> </w:t>
            </w:r>
            <w:r>
              <w:rPr>
                <w:rFonts w:hint="eastAsia" w:ascii="宋体" w:hAnsi="宋体" w:eastAsia="宋体" w:cs="宋体"/>
                <w:spacing w:val="11"/>
                <w:sz w:val="21"/>
                <w:szCs w:val="21"/>
              </w:rPr>
              <w:t>工</w:t>
            </w:r>
            <w:r>
              <w:rPr>
                <w:rFonts w:hint="eastAsia" w:ascii="宋体" w:hAnsi="宋体" w:eastAsia="宋体" w:cs="宋体"/>
                <w:spacing w:val="8"/>
                <w:sz w:val="21"/>
                <w:szCs w:val="21"/>
              </w:rPr>
              <w:t>程量报表和有关计量资料。</w:t>
            </w:r>
          </w:p>
          <w:p w14:paraId="1E5D85C1">
            <w:pPr>
              <w:snapToGrid w:val="0"/>
              <w:spacing w:before="3"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sz w:val="21"/>
                <w:szCs w:val="21"/>
              </w:rPr>
              <w:t>(</w:t>
            </w:r>
            <w:r>
              <w:rPr>
                <w:rFonts w:hint="eastAsia" w:ascii="宋体" w:hAnsi="宋体" w:eastAsia="宋体" w:cs="宋体"/>
                <w:spacing w:val="11"/>
                <w:sz w:val="21"/>
                <w:szCs w:val="21"/>
              </w:rPr>
              <w:t>3) 监理人对承包人提交的工程量报表进行复核，以确定实际完成的工程量。</w:t>
            </w:r>
            <w:r>
              <w:rPr>
                <w:rFonts w:hint="eastAsia" w:ascii="宋体" w:hAnsi="宋体" w:eastAsia="宋体" w:cs="宋体"/>
                <w:sz w:val="21"/>
                <w:szCs w:val="21"/>
              </w:rPr>
              <w:t xml:space="preserve"> </w:t>
            </w:r>
            <w:r>
              <w:rPr>
                <w:rFonts w:hint="eastAsia" w:ascii="宋体" w:hAnsi="宋体" w:eastAsia="宋体" w:cs="宋体"/>
                <w:spacing w:val="10"/>
                <w:sz w:val="21"/>
                <w:szCs w:val="21"/>
              </w:rPr>
              <w:t>对数量有异</w:t>
            </w:r>
            <w:r>
              <w:rPr>
                <w:rFonts w:hint="eastAsia" w:ascii="宋体" w:hAnsi="宋体" w:eastAsia="宋体" w:cs="宋体"/>
                <w:spacing w:val="5"/>
                <w:sz w:val="21"/>
                <w:szCs w:val="21"/>
              </w:rPr>
              <w:t>议的，可要求承包人按第 8.2 款约定进行共同复核和抽样复测。承包人</w:t>
            </w:r>
            <w:r>
              <w:rPr>
                <w:rFonts w:hint="eastAsia" w:ascii="宋体" w:hAnsi="宋体" w:eastAsia="宋体" w:cs="宋体"/>
                <w:sz w:val="21"/>
                <w:szCs w:val="21"/>
              </w:rPr>
              <w:t xml:space="preserve"> </w:t>
            </w:r>
            <w:r>
              <w:rPr>
                <w:rFonts w:hint="eastAsia" w:ascii="宋体" w:hAnsi="宋体" w:eastAsia="宋体" w:cs="宋体"/>
                <w:spacing w:val="14"/>
                <w:sz w:val="21"/>
                <w:szCs w:val="21"/>
              </w:rPr>
              <w:t>应</w:t>
            </w:r>
            <w:r>
              <w:rPr>
                <w:rFonts w:hint="eastAsia" w:ascii="宋体" w:hAnsi="宋体" w:eastAsia="宋体" w:cs="宋体"/>
                <w:spacing w:val="12"/>
                <w:sz w:val="21"/>
                <w:szCs w:val="21"/>
              </w:rPr>
              <w:t>协助监理人进行复核并按监理人要求提供补充计量资料。承包人未按监理人要</w:t>
            </w:r>
            <w:r>
              <w:rPr>
                <w:rFonts w:hint="eastAsia" w:ascii="宋体" w:hAnsi="宋体" w:eastAsia="宋体" w:cs="宋体"/>
                <w:sz w:val="21"/>
                <w:szCs w:val="21"/>
              </w:rPr>
              <w:t xml:space="preserve"> </w:t>
            </w:r>
            <w:r>
              <w:rPr>
                <w:rFonts w:hint="eastAsia" w:ascii="宋体" w:hAnsi="宋体" w:eastAsia="宋体" w:cs="宋体"/>
                <w:spacing w:val="18"/>
                <w:sz w:val="21"/>
                <w:szCs w:val="21"/>
              </w:rPr>
              <w:t>求</w:t>
            </w:r>
            <w:r>
              <w:rPr>
                <w:rFonts w:hint="eastAsia" w:ascii="宋体" w:hAnsi="宋体" w:eastAsia="宋体" w:cs="宋体"/>
                <w:spacing w:val="13"/>
                <w:sz w:val="21"/>
                <w:szCs w:val="21"/>
              </w:rPr>
              <w:t>参</w:t>
            </w:r>
            <w:r>
              <w:rPr>
                <w:rFonts w:hint="eastAsia" w:ascii="宋体" w:hAnsi="宋体" w:eastAsia="宋体" w:cs="宋体"/>
                <w:spacing w:val="9"/>
                <w:sz w:val="21"/>
                <w:szCs w:val="21"/>
              </w:rPr>
              <w:t>加复核，监理人复核或修正的工程量视为承包人实际完成的工程量。</w:t>
            </w:r>
          </w:p>
          <w:p w14:paraId="31C156A6">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4) 监理人认为有必要时，可通知承包人共同进行联合测量、计量，承包人应</w:t>
            </w:r>
            <w:r>
              <w:rPr>
                <w:rFonts w:hint="eastAsia" w:ascii="宋体" w:hAnsi="宋体" w:eastAsia="宋体" w:cs="宋体"/>
                <w:sz w:val="21"/>
                <w:szCs w:val="21"/>
              </w:rPr>
              <w:t xml:space="preserve"> </w:t>
            </w:r>
            <w:r>
              <w:rPr>
                <w:rFonts w:hint="eastAsia" w:ascii="宋体" w:hAnsi="宋体" w:eastAsia="宋体" w:cs="宋体"/>
                <w:spacing w:val="6"/>
                <w:sz w:val="21"/>
                <w:szCs w:val="21"/>
              </w:rPr>
              <w:t>遵照执行。</w:t>
            </w:r>
          </w:p>
          <w:p w14:paraId="313C2343">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5) 承包人完成工程量清单中每个子目的工程量后，监理人应要求承包人派员</w:t>
            </w:r>
            <w:r>
              <w:rPr>
                <w:rFonts w:hint="eastAsia" w:ascii="宋体" w:hAnsi="宋体" w:eastAsia="宋体" w:cs="宋体"/>
                <w:sz w:val="21"/>
                <w:szCs w:val="21"/>
              </w:rPr>
              <w:t xml:space="preserve"> </w:t>
            </w:r>
            <w:r>
              <w:rPr>
                <w:rFonts w:hint="eastAsia" w:ascii="宋体" w:hAnsi="宋体" w:eastAsia="宋体" w:cs="宋体"/>
                <w:spacing w:val="9"/>
                <w:sz w:val="21"/>
                <w:szCs w:val="21"/>
              </w:rPr>
              <w:t>共同对每个子目的历次计量报表进行汇总， 以核实最终结算工程量。监理人可</w:t>
            </w:r>
            <w:r>
              <w:rPr>
                <w:rFonts w:hint="eastAsia" w:ascii="宋体" w:hAnsi="宋体" w:eastAsia="宋体" w:cs="宋体"/>
                <w:spacing w:val="7"/>
                <w:sz w:val="21"/>
                <w:szCs w:val="21"/>
              </w:rPr>
              <w:t>要</w:t>
            </w:r>
            <w:r>
              <w:rPr>
                <w:rFonts w:hint="eastAsia" w:ascii="宋体" w:hAnsi="宋体" w:eastAsia="宋体" w:cs="宋体"/>
                <w:sz w:val="21"/>
                <w:szCs w:val="21"/>
              </w:rPr>
              <w:t xml:space="preserve"> </w:t>
            </w:r>
            <w:r>
              <w:rPr>
                <w:rFonts w:hint="eastAsia" w:ascii="宋体" w:hAnsi="宋体" w:eastAsia="宋体" w:cs="宋体"/>
                <w:spacing w:val="9"/>
                <w:sz w:val="21"/>
                <w:szCs w:val="21"/>
              </w:rPr>
              <w:t>求承包人提供补充计量资料， 以确定最后一次进度付款的准确工程量。承包人</w:t>
            </w:r>
            <w:r>
              <w:rPr>
                <w:rFonts w:hint="eastAsia" w:ascii="宋体" w:hAnsi="宋体" w:eastAsia="宋体" w:cs="宋体"/>
                <w:spacing w:val="7"/>
                <w:sz w:val="21"/>
                <w:szCs w:val="21"/>
              </w:rPr>
              <w:t>未</w:t>
            </w:r>
            <w:r>
              <w:rPr>
                <w:rFonts w:hint="eastAsia" w:ascii="宋体" w:hAnsi="宋体" w:eastAsia="宋体" w:cs="宋体"/>
                <w:sz w:val="21"/>
                <w:szCs w:val="21"/>
              </w:rPr>
              <w:t xml:space="preserve"> </w:t>
            </w:r>
            <w:r>
              <w:rPr>
                <w:rFonts w:hint="eastAsia" w:ascii="宋体" w:hAnsi="宋体" w:eastAsia="宋体" w:cs="宋体"/>
                <w:spacing w:val="14"/>
                <w:sz w:val="21"/>
                <w:szCs w:val="21"/>
              </w:rPr>
              <w:t>按</w:t>
            </w:r>
            <w:r>
              <w:rPr>
                <w:rFonts w:hint="eastAsia" w:ascii="宋体" w:hAnsi="宋体" w:eastAsia="宋体" w:cs="宋体"/>
                <w:spacing w:val="12"/>
                <w:sz w:val="21"/>
                <w:szCs w:val="21"/>
              </w:rPr>
              <w:t>监理人要求派员参加的，监理人最终核实的工程量视为承包人完成该子目的准</w:t>
            </w:r>
            <w:r>
              <w:rPr>
                <w:rFonts w:hint="eastAsia" w:ascii="宋体" w:hAnsi="宋体" w:eastAsia="宋体" w:cs="宋体"/>
                <w:sz w:val="21"/>
                <w:szCs w:val="21"/>
              </w:rPr>
              <w:t xml:space="preserve"> </w:t>
            </w:r>
            <w:r>
              <w:rPr>
                <w:rFonts w:hint="eastAsia" w:ascii="宋体" w:hAnsi="宋体" w:eastAsia="宋体" w:cs="宋体"/>
                <w:spacing w:val="6"/>
                <w:sz w:val="21"/>
                <w:szCs w:val="21"/>
              </w:rPr>
              <w:t>确工程量。</w:t>
            </w:r>
          </w:p>
          <w:p w14:paraId="09AB1703">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sz w:val="21"/>
                <w:szCs w:val="21"/>
              </w:rPr>
              <w:t>(</w:t>
            </w:r>
            <w:r>
              <w:rPr>
                <w:rFonts w:hint="eastAsia" w:ascii="宋体" w:hAnsi="宋体" w:eastAsia="宋体" w:cs="宋体"/>
                <w:spacing w:val="9"/>
                <w:sz w:val="21"/>
                <w:szCs w:val="21"/>
              </w:rPr>
              <w:t>6) 监理人应在收到承包人提交的工程量报表后的 7 天内进行复核，监理人未</w:t>
            </w:r>
            <w:r>
              <w:rPr>
                <w:rFonts w:hint="eastAsia" w:ascii="宋体" w:hAnsi="宋体" w:eastAsia="宋体" w:cs="宋体"/>
                <w:sz w:val="21"/>
                <w:szCs w:val="21"/>
              </w:rPr>
              <w:t xml:space="preserve"> </w:t>
            </w:r>
            <w:r>
              <w:rPr>
                <w:rFonts w:hint="eastAsia" w:ascii="宋体" w:hAnsi="宋体" w:eastAsia="宋体" w:cs="宋体"/>
                <w:spacing w:val="14"/>
                <w:sz w:val="21"/>
                <w:szCs w:val="21"/>
              </w:rPr>
              <w:t>在</w:t>
            </w:r>
            <w:r>
              <w:rPr>
                <w:rFonts w:hint="eastAsia" w:ascii="宋体" w:hAnsi="宋体" w:eastAsia="宋体" w:cs="宋体"/>
                <w:spacing w:val="12"/>
                <w:sz w:val="21"/>
                <w:szCs w:val="21"/>
              </w:rPr>
              <w:t>约定时间内复核的，承包人提交的工程量报表中的工程量视为承包人实际完成</w:t>
            </w:r>
            <w:r>
              <w:rPr>
                <w:rFonts w:hint="eastAsia" w:ascii="宋体" w:hAnsi="宋体" w:eastAsia="宋体" w:cs="宋体"/>
                <w:sz w:val="21"/>
                <w:szCs w:val="21"/>
              </w:rPr>
              <w:t xml:space="preserve"> </w:t>
            </w:r>
            <w:r>
              <w:rPr>
                <w:rFonts w:hint="eastAsia" w:ascii="宋体" w:hAnsi="宋体" w:eastAsia="宋体" w:cs="宋体"/>
                <w:spacing w:val="16"/>
                <w:sz w:val="21"/>
                <w:szCs w:val="21"/>
              </w:rPr>
              <w:t>的</w:t>
            </w:r>
            <w:r>
              <w:rPr>
                <w:rFonts w:hint="eastAsia" w:ascii="宋体" w:hAnsi="宋体" w:eastAsia="宋体" w:cs="宋体"/>
                <w:spacing w:val="9"/>
                <w:sz w:val="21"/>
                <w:szCs w:val="21"/>
              </w:rPr>
              <w:t>工</w:t>
            </w:r>
            <w:r>
              <w:rPr>
                <w:rFonts w:hint="eastAsia" w:ascii="宋体" w:hAnsi="宋体" w:eastAsia="宋体" w:cs="宋体"/>
                <w:spacing w:val="8"/>
                <w:sz w:val="21"/>
                <w:szCs w:val="21"/>
              </w:rPr>
              <w:t>程量，据此计算工程价款。</w:t>
            </w:r>
          </w:p>
          <w:p w14:paraId="3639F8B2">
            <w:pPr>
              <w:snapToGrid w:val="0"/>
              <w:spacing w:line="240" w:lineRule="auto"/>
              <w:jc w:val="left"/>
              <w:rPr>
                <w:rFonts w:hint="eastAsia" w:ascii="宋体" w:hAnsi="宋体" w:eastAsia="宋体" w:cs="宋体"/>
                <w:spacing w:val="22"/>
                <w:sz w:val="21"/>
                <w:szCs w:val="21"/>
              </w:rPr>
            </w:pPr>
            <w:r>
              <w:rPr>
                <w:rFonts w:hint="eastAsia" w:ascii="宋体" w:hAnsi="宋体" w:eastAsia="宋体" w:cs="宋体"/>
                <w:spacing w:val="16"/>
                <w:position w:val="15"/>
                <w:sz w:val="21"/>
                <w:szCs w:val="21"/>
              </w:rPr>
              <w:t>(</w:t>
            </w:r>
            <w:r>
              <w:rPr>
                <w:rFonts w:hint="eastAsia" w:ascii="宋体" w:hAnsi="宋体" w:eastAsia="宋体" w:cs="宋体"/>
                <w:spacing w:val="11"/>
                <w:position w:val="15"/>
                <w:sz w:val="21"/>
                <w:szCs w:val="21"/>
              </w:rPr>
              <w:t>7) 承包人未在已标价工程量清单中填入单价或总额价的工程子目，将被认为其已包含在本合同的其他子目的单价和总额价中，发包人将不另行支付。</w:t>
            </w: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19C5EA44">
            <w:pPr>
              <w:snapToGrid w:val="0"/>
              <w:spacing w:before="57"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rPr>
              <w:t>3</w:t>
            </w:r>
            <w:r>
              <w:rPr>
                <w:rFonts w:hint="eastAsia" w:ascii="宋体" w:hAnsi="宋体" w:eastAsia="宋体" w:cs="宋体"/>
                <w:sz w:val="21"/>
                <w:szCs w:val="21"/>
                <w:lang w:val="en-US" w:eastAsia="zh-CN"/>
              </w:rPr>
              <w:t>3</w:t>
            </w:r>
          </w:p>
        </w:tc>
        <w:tc>
          <w:tcPr>
            <w:tcW w:w="936" w:type="dxa"/>
            <w:vAlign w:val="center"/>
          </w:tcPr>
          <w:p w14:paraId="44CD239E">
            <w:pPr>
              <w:snapToGrid w:val="0"/>
              <w:spacing w:before="57" w:line="240" w:lineRule="auto"/>
              <w:ind w:left="0" w:leftChars="0" w:right="0" w:rightChars="0" w:firstLine="0" w:firstLineChars="0"/>
              <w:jc w:val="center"/>
              <w:rPr>
                <w:rFonts w:hint="eastAsia" w:ascii="宋体" w:hAnsi="宋体" w:eastAsia="宋体" w:cs="宋体"/>
                <w:spacing w:val="-3"/>
                <w:sz w:val="21"/>
                <w:szCs w:val="21"/>
                <w:highlight w:val="red"/>
              </w:rPr>
            </w:pPr>
            <w:r>
              <w:rPr>
                <w:rFonts w:hint="eastAsia" w:ascii="宋体" w:hAnsi="宋体" w:eastAsia="宋体" w:cs="宋体"/>
                <w:spacing w:val="-9"/>
                <w:sz w:val="21"/>
                <w:szCs w:val="21"/>
                <w:highlight w:val="red"/>
              </w:rPr>
              <w:t>1</w:t>
            </w:r>
            <w:r>
              <w:rPr>
                <w:rFonts w:hint="eastAsia" w:ascii="宋体" w:hAnsi="宋体" w:eastAsia="宋体" w:cs="宋体"/>
                <w:spacing w:val="-6"/>
                <w:sz w:val="21"/>
                <w:szCs w:val="21"/>
                <w:highlight w:val="red"/>
              </w:rPr>
              <w:t>7. 1.5</w:t>
            </w:r>
          </w:p>
        </w:tc>
        <w:tc>
          <w:tcPr>
            <w:tcW w:w="7226" w:type="dxa"/>
            <w:tcBorders>
              <w:right w:val="single" w:color="000000" w:sz="6" w:space="0"/>
            </w:tcBorders>
            <w:vAlign w:val="center"/>
          </w:tcPr>
          <w:p w14:paraId="6F6AC6BF">
            <w:pPr>
              <w:snapToGrid w:val="0"/>
              <w:spacing w:before="14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8"/>
                <w:sz w:val="21"/>
                <w:szCs w:val="21"/>
              </w:rPr>
              <w:t>本</w:t>
            </w:r>
            <w:r>
              <w:rPr>
                <w:rFonts w:hint="eastAsia" w:ascii="宋体" w:hAnsi="宋体" w:eastAsia="宋体" w:cs="宋体"/>
                <w:spacing w:val="9"/>
                <w:sz w:val="21"/>
                <w:szCs w:val="21"/>
              </w:rPr>
              <w:t>项目工程量清单中总价子目的分解和计量支付原则补充以下约定：</w:t>
            </w:r>
          </w:p>
          <w:p w14:paraId="0B66C528">
            <w:pPr>
              <w:snapToGrid w:val="0"/>
              <w:spacing w:before="155"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1) 工程一切险及第三方责任险在首次计量支付前必须按要求投保完成，并在</w:t>
            </w:r>
            <w:r>
              <w:rPr>
                <w:rFonts w:hint="eastAsia" w:ascii="宋体" w:hAnsi="宋体" w:eastAsia="宋体" w:cs="宋体"/>
                <w:sz w:val="21"/>
                <w:szCs w:val="21"/>
              </w:rPr>
              <w:t xml:space="preserve"> </w:t>
            </w:r>
            <w:r>
              <w:rPr>
                <w:rFonts w:hint="eastAsia" w:ascii="宋体" w:hAnsi="宋体" w:eastAsia="宋体" w:cs="宋体"/>
                <w:spacing w:val="18"/>
                <w:sz w:val="21"/>
                <w:szCs w:val="21"/>
              </w:rPr>
              <w:t>第</w:t>
            </w:r>
            <w:r>
              <w:rPr>
                <w:rFonts w:hint="eastAsia" w:ascii="宋体" w:hAnsi="宋体" w:eastAsia="宋体" w:cs="宋体"/>
                <w:spacing w:val="14"/>
                <w:sz w:val="21"/>
                <w:szCs w:val="21"/>
              </w:rPr>
              <w:t>一</w:t>
            </w:r>
            <w:r>
              <w:rPr>
                <w:rFonts w:hint="eastAsia" w:ascii="宋体" w:hAnsi="宋体" w:eastAsia="宋体" w:cs="宋体"/>
                <w:spacing w:val="9"/>
                <w:sz w:val="21"/>
                <w:szCs w:val="21"/>
              </w:rPr>
              <w:t>次支付时将保险单及发票原件送至发包人，并在计量支付凭证中附复印件。</w:t>
            </w:r>
          </w:p>
          <w:p w14:paraId="733CE18C">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2) 竣工文件在完成编制，上交给发包人后，经发包人验收合格后，由发包人</w:t>
            </w:r>
            <w:r>
              <w:rPr>
                <w:rFonts w:hint="eastAsia" w:ascii="宋体" w:hAnsi="宋体" w:eastAsia="宋体" w:cs="宋体"/>
                <w:sz w:val="21"/>
                <w:szCs w:val="21"/>
              </w:rPr>
              <w:t xml:space="preserve"> </w:t>
            </w:r>
            <w:r>
              <w:rPr>
                <w:rFonts w:hint="eastAsia" w:ascii="宋体" w:hAnsi="宋体" w:eastAsia="宋体" w:cs="宋体"/>
                <w:spacing w:val="7"/>
                <w:sz w:val="21"/>
                <w:szCs w:val="21"/>
              </w:rPr>
              <w:t>一</w:t>
            </w:r>
            <w:r>
              <w:rPr>
                <w:rFonts w:hint="eastAsia" w:ascii="宋体" w:hAnsi="宋体" w:eastAsia="宋体" w:cs="宋体"/>
                <w:spacing w:val="6"/>
                <w:sz w:val="21"/>
                <w:szCs w:val="21"/>
              </w:rPr>
              <w:t>次性支付。</w:t>
            </w:r>
          </w:p>
          <w:p w14:paraId="0E072FEB">
            <w:pPr>
              <w:snapToGrid w:val="0"/>
              <w:spacing w:before="13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5"/>
                <w:sz w:val="21"/>
                <w:szCs w:val="21"/>
              </w:rPr>
              <w:t>(</w:t>
            </w:r>
            <w:r>
              <w:rPr>
                <w:rFonts w:hint="eastAsia" w:ascii="宋体" w:hAnsi="宋体" w:eastAsia="宋体" w:cs="宋体"/>
                <w:spacing w:val="11"/>
                <w:sz w:val="21"/>
                <w:szCs w:val="21"/>
              </w:rPr>
              <w:t>3) 临时占地、临时供电、电信设施、工地建设及拌和站安装与拆除在首次计</w:t>
            </w:r>
            <w:r>
              <w:rPr>
                <w:rFonts w:hint="eastAsia" w:ascii="宋体" w:hAnsi="宋体" w:eastAsia="宋体" w:cs="宋体"/>
                <w:sz w:val="21"/>
                <w:szCs w:val="21"/>
              </w:rPr>
              <w:t xml:space="preserve"> </w:t>
            </w:r>
            <w:r>
              <w:rPr>
                <w:rFonts w:hint="eastAsia" w:ascii="宋体" w:hAnsi="宋体" w:eastAsia="宋体" w:cs="宋体"/>
                <w:spacing w:val="2"/>
                <w:sz w:val="21"/>
                <w:szCs w:val="21"/>
              </w:rPr>
              <w:t>量时支付 50% ，在工程交工验收前再</w:t>
            </w:r>
            <w:r>
              <w:rPr>
                <w:rFonts w:hint="eastAsia" w:ascii="宋体" w:hAnsi="宋体" w:eastAsia="宋体" w:cs="宋体"/>
                <w:spacing w:val="1"/>
                <w:sz w:val="21"/>
                <w:szCs w:val="21"/>
              </w:rPr>
              <w:t>支付 30% ，另 20%在交工验收后支付。</w:t>
            </w:r>
            <w:r>
              <w:rPr>
                <w:rFonts w:hint="eastAsia" w:ascii="宋体" w:hAnsi="宋体" w:eastAsia="宋体" w:cs="宋体"/>
                <w:spacing w:val="16"/>
                <w:sz w:val="21"/>
                <w:szCs w:val="21"/>
              </w:rPr>
              <w:t>(</w:t>
            </w:r>
            <w:r>
              <w:rPr>
                <w:rFonts w:hint="eastAsia" w:ascii="宋体" w:hAnsi="宋体" w:eastAsia="宋体" w:cs="宋体"/>
                <w:spacing w:val="11"/>
                <w:sz w:val="21"/>
                <w:szCs w:val="21"/>
              </w:rPr>
              <w:t>4) 施工环保费、安全生产费用、交通封闭费、供水与排污设施及临时道路修</w:t>
            </w:r>
            <w:r>
              <w:rPr>
                <w:rFonts w:hint="eastAsia" w:ascii="宋体" w:hAnsi="宋体" w:eastAsia="宋体" w:cs="宋体"/>
                <w:sz w:val="21"/>
                <w:szCs w:val="21"/>
              </w:rPr>
              <w:t xml:space="preserve"> </w:t>
            </w:r>
            <w:r>
              <w:rPr>
                <w:rFonts w:hint="eastAsia" w:ascii="宋体" w:hAnsi="宋体" w:eastAsia="宋体" w:cs="宋体"/>
                <w:spacing w:val="16"/>
                <w:sz w:val="21"/>
                <w:szCs w:val="21"/>
              </w:rPr>
              <w:t>建</w:t>
            </w:r>
            <w:r>
              <w:rPr>
                <w:rFonts w:hint="eastAsia" w:ascii="宋体" w:hAnsi="宋体" w:eastAsia="宋体" w:cs="宋体"/>
                <w:spacing w:val="11"/>
                <w:sz w:val="21"/>
                <w:szCs w:val="21"/>
              </w:rPr>
              <w:t>均</w:t>
            </w:r>
            <w:r>
              <w:rPr>
                <w:rFonts w:hint="eastAsia" w:ascii="宋体" w:hAnsi="宋体" w:eastAsia="宋体" w:cs="宋体"/>
                <w:spacing w:val="8"/>
                <w:sz w:val="21"/>
                <w:szCs w:val="21"/>
              </w:rPr>
              <w:t>按工程量完成比例进行计量支付。</w:t>
            </w:r>
          </w:p>
          <w:p w14:paraId="01EF674E">
            <w:pPr>
              <w:snapToGrid w:val="0"/>
              <w:spacing w:before="1" w:line="240" w:lineRule="auto"/>
              <w:ind w:left="0" w:leftChars="0" w:right="0" w:rightChars="0" w:firstLine="0" w:firstLineChars="0"/>
              <w:jc w:val="left"/>
              <w:rPr>
                <w:rFonts w:hint="default" w:ascii="宋体" w:hAnsi="宋体" w:eastAsia="宋体" w:cs="宋体"/>
                <w:spacing w:val="22"/>
                <w:sz w:val="21"/>
                <w:szCs w:val="21"/>
                <w:lang w:val="en-US" w:eastAsia="zh-CN"/>
              </w:rPr>
            </w:pPr>
            <w:r>
              <w:rPr>
                <w:rFonts w:hint="eastAsia" w:ascii="宋体" w:hAnsi="宋体" w:eastAsia="宋体" w:cs="宋体"/>
                <w:spacing w:val="22"/>
                <w:position w:val="14"/>
                <w:sz w:val="21"/>
                <w:szCs w:val="21"/>
              </w:rPr>
              <w:t>(</w:t>
            </w:r>
            <w:r>
              <w:rPr>
                <w:rFonts w:hint="eastAsia" w:ascii="宋体" w:hAnsi="宋体" w:eastAsia="宋体" w:cs="宋体"/>
                <w:spacing w:val="17"/>
                <w:position w:val="14"/>
                <w:sz w:val="21"/>
                <w:szCs w:val="21"/>
              </w:rPr>
              <w:t>5</w:t>
            </w:r>
            <w:r>
              <w:rPr>
                <w:rFonts w:hint="eastAsia" w:ascii="宋体" w:hAnsi="宋体" w:eastAsia="宋体" w:cs="宋体"/>
                <w:spacing w:val="11"/>
                <w:position w:val="14"/>
                <w:sz w:val="21"/>
                <w:szCs w:val="21"/>
              </w:rPr>
              <w:t>) 安全生产费用需报送材料：安全生产费用需上报材料二份，总监办一份</w:t>
            </w:r>
            <w:r>
              <w:rPr>
                <w:rFonts w:hint="eastAsia" w:ascii="宋体" w:hAnsi="宋体" w:cs="宋体"/>
                <w:spacing w:val="11"/>
                <w:position w:val="14"/>
                <w:sz w:val="21"/>
                <w:szCs w:val="21"/>
                <w:lang w:eastAsia="zh-CN"/>
              </w:rPr>
              <w:t>，</w:t>
            </w:r>
            <w:r>
              <w:rPr>
                <w:rFonts w:hint="eastAsia" w:ascii="宋体" w:hAnsi="宋体" w:cs="宋体"/>
                <w:spacing w:val="11"/>
                <w:position w:val="14"/>
                <w:sz w:val="21"/>
                <w:szCs w:val="21"/>
                <w:lang w:val="en-US" w:eastAsia="zh-CN"/>
              </w:rPr>
              <w:t>发包人一份。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F55D4EE">
            <w:pPr>
              <w:snapToGrid w:val="0"/>
              <w:spacing w:before="130"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rPr>
              <w:t>3</w:t>
            </w:r>
            <w:r>
              <w:rPr>
                <w:rFonts w:hint="eastAsia" w:ascii="宋体" w:hAnsi="宋体" w:eastAsia="宋体" w:cs="宋体"/>
                <w:sz w:val="21"/>
                <w:szCs w:val="21"/>
                <w:lang w:val="en-US" w:eastAsia="zh-CN"/>
              </w:rPr>
              <w:t>4</w:t>
            </w:r>
          </w:p>
        </w:tc>
        <w:tc>
          <w:tcPr>
            <w:tcW w:w="936" w:type="dxa"/>
            <w:vAlign w:val="center"/>
          </w:tcPr>
          <w:p w14:paraId="0C64465A">
            <w:pPr>
              <w:snapToGrid w:val="0"/>
              <w:spacing w:before="92" w:line="240" w:lineRule="auto"/>
              <w:ind w:left="0" w:leftChars="0" w:right="0" w:rightChars="0" w:firstLine="0" w:firstLineChars="0"/>
              <w:jc w:val="center"/>
              <w:rPr>
                <w:rFonts w:hint="eastAsia" w:ascii="宋体" w:hAnsi="宋体" w:eastAsia="宋体" w:cs="宋体"/>
                <w:spacing w:val="-9"/>
                <w:sz w:val="21"/>
                <w:szCs w:val="21"/>
              </w:rPr>
            </w:pPr>
            <w:r>
              <w:rPr>
                <w:rFonts w:hint="eastAsia" w:ascii="宋体" w:hAnsi="宋体" w:eastAsia="宋体" w:cs="宋体"/>
                <w:spacing w:val="-3"/>
                <w:sz w:val="21"/>
                <w:szCs w:val="21"/>
              </w:rPr>
              <w:t>17.2. 1 (1</w:t>
            </w:r>
            <w:r>
              <w:rPr>
                <w:rFonts w:hint="eastAsia" w:ascii="宋体" w:hAnsi="宋体" w:eastAsia="宋体" w:cs="宋体"/>
                <w:spacing w:val="-2"/>
                <w:sz w:val="21"/>
                <w:szCs w:val="21"/>
              </w:rPr>
              <w:t>)</w:t>
            </w:r>
          </w:p>
        </w:tc>
        <w:tc>
          <w:tcPr>
            <w:tcW w:w="7226" w:type="dxa"/>
            <w:tcBorders>
              <w:right w:val="single" w:color="000000" w:sz="6" w:space="0"/>
            </w:tcBorders>
            <w:vAlign w:val="center"/>
          </w:tcPr>
          <w:p w14:paraId="0B2810E2">
            <w:pPr>
              <w:snapToGrid w:val="0"/>
              <w:spacing w:before="100" w:line="240" w:lineRule="auto"/>
              <w:ind w:left="0" w:leftChars="0" w:right="0" w:rightChars="0" w:firstLine="0" w:firstLineChars="0"/>
              <w:jc w:val="left"/>
              <w:rPr>
                <w:rFonts w:hint="eastAsia" w:ascii="宋体" w:hAnsi="宋体" w:eastAsia="宋体" w:cs="宋体"/>
                <w:spacing w:val="7"/>
                <w:sz w:val="21"/>
                <w:szCs w:val="21"/>
              </w:rPr>
            </w:pPr>
            <w:r>
              <w:rPr>
                <w:rFonts w:hint="eastAsia" w:ascii="宋体" w:hAnsi="宋体" w:eastAsia="宋体" w:cs="宋体"/>
                <w:spacing w:val="8"/>
                <w:position w:val="1"/>
                <w:sz w:val="21"/>
                <w:szCs w:val="21"/>
              </w:rPr>
              <w:t>开工预付款</w:t>
            </w:r>
            <w:r>
              <w:rPr>
                <w:rFonts w:hint="eastAsia" w:ascii="宋体" w:hAnsi="宋体" w:eastAsia="宋体" w:cs="宋体"/>
                <w:spacing w:val="5"/>
                <w:position w:val="1"/>
                <w:sz w:val="21"/>
                <w:szCs w:val="21"/>
              </w:rPr>
              <w:t>金</w:t>
            </w:r>
            <w:r>
              <w:rPr>
                <w:rFonts w:hint="eastAsia" w:ascii="宋体" w:hAnsi="宋体" w:eastAsia="宋体" w:cs="宋体"/>
                <w:spacing w:val="4"/>
                <w:position w:val="1"/>
                <w:sz w:val="21"/>
                <w:szCs w:val="21"/>
              </w:rPr>
              <w:t>额，规定为：   /    %签约</w:t>
            </w:r>
            <w:r>
              <w:rPr>
                <w:rFonts w:hint="eastAsia" w:ascii="宋体" w:hAnsi="宋体" w:eastAsia="宋体" w:cs="宋体"/>
                <w:color w:val="auto"/>
                <w:sz w:val="21"/>
                <w:szCs w:val="21"/>
                <w:highlight w:val="none"/>
              </w:rPr>
              <w:t>合同价</w:t>
            </w:r>
            <w:r>
              <w:rPr>
                <w:rStyle w:val="47"/>
                <w:rFonts w:hint="eastAsia" w:ascii="宋体" w:hAnsi="宋体" w:eastAsia="宋体" w:cs="宋体"/>
                <w:color w:val="auto"/>
                <w:sz w:val="21"/>
                <w:szCs w:val="21"/>
                <w:highlight w:val="none"/>
              </w:rPr>
              <w:footnoteReference w:id="43"/>
            </w:r>
            <w:r>
              <w:rPr>
                <w:rFonts w:hint="eastAsia" w:ascii="宋体" w:hAnsi="宋体" w:eastAsia="宋体" w:cs="宋体"/>
                <w:spacing w:val="4"/>
                <w:position w:val="1"/>
                <w:sz w:val="21"/>
                <w:szCs w:val="21"/>
              </w:rPr>
              <w:t xml:space="preserve">  (不含暂列金额)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549E2F8">
            <w:pPr>
              <w:snapToGrid w:val="0"/>
              <w:spacing w:before="148"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lang w:val="en-US" w:eastAsia="zh-CN"/>
              </w:rPr>
              <w:t>35</w:t>
            </w:r>
          </w:p>
        </w:tc>
        <w:tc>
          <w:tcPr>
            <w:tcW w:w="936" w:type="dxa"/>
            <w:vAlign w:val="center"/>
          </w:tcPr>
          <w:p w14:paraId="632C94DD">
            <w:pPr>
              <w:snapToGrid w:val="0"/>
              <w:spacing w:before="111" w:line="240" w:lineRule="auto"/>
              <w:ind w:left="0" w:leftChars="0" w:right="0" w:rightChars="0" w:firstLine="0" w:firstLineChars="0"/>
              <w:jc w:val="center"/>
              <w:rPr>
                <w:rFonts w:hint="eastAsia" w:ascii="宋体" w:hAnsi="宋体" w:eastAsia="宋体" w:cs="宋体"/>
                <w:spacing w:val="-9"/>
                <w:sz w:val="21"/>
                <w:szCs w:val="21"/>
              </w:rPr>
            </w:pPr>
            <w:r>
              <w:rPr>
                <w:rFonts w:hint="eastAsia" w:ascii="宋体" w:hAnsi="宋体" w:eastAsia="宋体" w:cs="宋体"/>
                <w:spacing w:val="-3"/>
                <w:sz w:val="21"/>
                <w:szCs w:val="21"/>
              </w:rPr>
              <w:t>17.2. 1 (2</w:t>
            </w:r>
            <w:r>
              <w:rPr>
                <w:rFonts w:hint="eastAsia" w:ascii="宋体" w:hAnsi="宋体" w:eastAsia="宋体" w:cs="宋体"/>
                <w:spacing w:val="-2"/>
                <w:sz w:val="21"/>
                <w:szCs w:val="21"/>
              </w:rPr>
              <w:t>)</w:t>
            </w:r>
          </w:p>
        </w:tc>
        <w:tc>
          <w:tcPr>
            <w:tcW w:w="7226" w:type="dxa"/>
            <w:tcBorders>
              <w:right w:val="single" w:color="000000" w:sz="6" w:space="0"/>
            </w:tcBorders>
            <w:vAlign w:val="center"/>
          </w:tcPr>
          <w:p w14:paraId="2F29E69F">
            <w:pPr>
              <w:snapToGrid w:val="0"/>
              <w:spacing w:before="120" w:line="240" w:lineRule="auto"/>
              <w:ind w:left="0" w:leftChars="0" w:right="0" w:rightChars="0" w:firstLine="0" w:firstLineChars="0"/>
              <w:jc w:val="left"/>
              <w:rPr>
                <w:rFonts w:hint="eastAsia" w:ascii="宋体" w:hAnsi="宋体" w:eastAsia="宋体" w:cs="宋体"/>
                <w:spacing w:val="7"/>
                <w:sz w:val="21"/>
                <w:szCs w:val="21"/>
              </w:rPr>
            </w:pPr>
            <w:r>
              <w:rPr>
                <w:rFonts w:hint="eastAsia" w:ascii="宋体" w:hAnsi="宋体" w:eastAsia="宋体" w:cs="宋体"/>
                <w:spacing w:val="1"/>
                <w:position w:val="1"/>
                <w:sz w:val="21"/>
                <w:szCs w:val="21"/>
              </w:rPr>
              <w:t>材料、设备预付款比例，规定为：   /    等主要材料、设备单据所</w:t>
            </w:r>
            <w:r>
              <w:rPr>
                <w:rFonts w:hint="eastAsia" w:ascii="宋体" w:hAnsi="宋体" w:eastAsia="宋体" w:cs="宋体"/>
                <w:position w:val="1"/>
                <w:sz w:val="21"/>
                <w:szCs w:val="21"/>
              </w:rPr>
              <w:t>列费用</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w:t>
            </w:r>
            <w:r>
              <w:rPr>
                <w:rStyle w:val="47"/>
                <w:rFonts w:hint="eastAsia" w:ascii="宋体" w:hAnsi="宋体" w:eastAsia="宋体" w:cs="宋体"/>
                <w:color w:val="auto"/>
                <w:sz w:val="21"/>
                <w:szCs w:val="21"/>
                <w:highlight w:val="none"/>
              </w:rPr>
              <w:t xml:space="preserve"> </w:t>
            </w:r>
            <w:r>
              <w:rPr>
                <w:rStyle w:val="47"/>
                <w:rFonts w:hint="eastAsia" w:ascii="宋体" w:hAnsi="宋体" w:eastAsia="宋体" w:cs="宋体"/>
                <w:color w:val="auto"/>
                <w:sz w:val="21"/>
                <w:szCs w:val="21"/>
                <w:highlight w:val="none"/>
              </w:rPr>
              <w:footnoteReference w:id="44"/>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0A5F2955">
            <w:pPr>
              <w:snapToGrid w:val="0"/>
              <w:spacing w:before="57"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lang w:val="en-US" w:eastAsia="zh-CN"/>
              </w:rPr>
              <w:t>36</w:t>
            </w:r>
          </w:p>
        </w:tc>
        <w:tc>
          <w:tcPr>
            <w:tcW w:w="936" w:type="dxa"/>
            <w:vAlign w:val="center"/>
          </w:tcPr>
          <w:p w14:paraId="77882117">
            <w:pPr>
              <w:snapToGrid w:val="0"/>
              <w:spacing w:before="57" w:line="240" w:lineRule="auto"/>
              <w:ind w:left="0" w:leftChars="0" w:right="0" w:rightChars="0" w:firstLine="0" w:firstLineChars="0"/>
              <w:jc w:val="center"/>
              <w:rPr>
                <w:rFonts w:hint="eastAsia" w:ascii="宋体" w:hAnsi="宋体" w:eastAsia="宋体" w:cs="宋体"/>
                <w:spacing w:val="-9"/>
                <w:sz w:val="21"/>
                <w:szCs w:val="21"/>
              </w:rPr>
            </w:pPr>
            <w:r>
              <w:rPr>
                <w:rFonts w:hint="eastAsia" w:ascii="宋体" w:hAnsi="宋体" w:eastAsia="宋体" w:cs="宋体"/>
                <w:spacing w:val="-7"/>
                <w:sz w:val="21"/>
                <w:szCs w:val="21"/>
                <w:highlight w:val="red"/>
              </w:rPr>
              <w:t>1</w:t>
            </w:r>
            <w:r>
              <w:rPr>
                <w:rFonts w:hint="eastAsia" w:ascii="宋体" w:hAnsi="宋体" w:eastAsia="宋体" w:cs="宋体"/>
                <w:spacing w:val="-4"/>
                <w:sz w:val="21"/>
                <w:szCs w:val="21"/>
                <w:highlight w:val="red"/>
              </w:rPr>
              <w:t>7.3. 1</w:t>
            </w:r>
          </w:p>
        </w:tc>
        <w:tc>
          <w:tcPr>
            <w:tcW w:w="7226" w:type="dxa"/>
            <w:tcBorders>
              <w:right w:val="single" w:color="000000" w:sz="6" w:space="0"/>
            </w:tcBorders>
            <w:vAlign w:val="center"/>
          </w:tcPr>
          <w:p w14:paraId="038AA5D1">
            <w:pPr>
              <w:snapToGrid w:val="0"/>
              <w:spacing w:before="121" w:line="240" w:lineRule="auto"/>
              <w:ind w:left="0" w:leftChars="0" w:right="0" w:rightChars="0" w:firstLine="0" w:firstLineChars="0"/>
              <w:jc w:val="left"/>
              <w:rPr>
                <w:rFonts w:hint="eastAsia" w:ascii="宋体" w:hAnsi="宋体" w:eastAsia="宋体" w:cs="宋体"/>
                <w:spacing w:val="7"/>
                <w:sz w:val="21"/>
                <w:szCs w:val="21"/>
              </w:rPr>
            </w:pPr>
            <w:r>
              <w:rPr>
                <w:rFonts w:hint="eastAsia" w:ascii="宋体" w:hAnsi="宋体" w:eastAsia="宋体" w:cs="宋体"/>
                <w:b/>
                <w:bCs/>
                <w:spacing w:val="14"/>
                <w:sz w:val="21"/>
                <w:szCs w:val="21"/>
                <w:highlight w:val="magenta"/>
              </w:rPr>
              <w:t>付</w:t>
            </w:r>
            <w:r>
              <w:rPr>
                <w:rFonts w:hint="eastAsia" w:ascii="宋体" w:hAnsi="宋体" w:eastAsia="宋体" w:cs="宋体"/>
                <w:b/>
                <w:bCs/>
                <w:spacing w:val="9"/>
                <w:sz w:val="21"/>
                <w:szCs w:val="21"/>
                <w:highlight w:val="magenta"/>
              </w:rPr>
              <w:t>款</w:t>
            </w:r>
            <w:r>
              <w:rPr>
                <w:rFonts w:hint="eastAsia" w:ascii="宋体" w:hAnsi="宋体" w:eastAsia="宋体" w:cs="宋体"/>
                <w:b/>
                <w:bCs/>
                <w:spacing w:val="7"/>
                <w:sz w:val="21"/>
                <w:szCs w:val="21"/>
                <w:highlight w:val="magenta"/>
              </w:rPr>
              <w:t>周期及方式：按工程月形象进度，发包人向承包人支付实际完成工程量的80%的工程价款；工程完工且决算价款经财政部门审定后，支付至审定价款的98%，预留2%作为质量保修金，质保金在质保期（一年）过后一次性返还（不计利息）。本项目采用固定单价合同。</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26947FBD">
            <w:pPr>
              <w:snapToGrid w:val="0"/>
              <w:spacing w:before="130" w:line="240" w:lineRule="auto"/>
              <w:ind w:left="0" w:leftChars="0" w:right="0" w:rightChars="0" w:firstLine="0" w:firstLineChars="0"/>
              <w:jc w:val="center"/>
              <w:rPr>
                <w:rFonts w:hint="eastAsia" w:ascii="宋体" w:hAnsi="宋体" w:eastAsia="宋体" w:cs="宋体"/>
                <w:spacing w:val="1"/>
                <w:sz w:val="21"/>
                <w:szCs w:val="21"/>
              </w:rPr>
            </w:pPr>
            <w:r>
              <w:rPr>
                <w:rFonts w:hint="eastAsia" w:ascii="宋体" w:hAnsi="宋体" w:eastAsia="宋体" w:cs="宋体"/>
                <w:spacing w:val="1"/>
                <w:sz w:val="21"/>
                <w:szCs w:val="21"/>
              </w:rPr>
              <w:t>3</w:t>
            </w:r>
            <w:r>
              <w:rPr>
                <w:rFonts w:hint="eastAsia" w:ascii="宋体" w:hAnsi="宋体" w:eastAsia="宋体" w:cs="宋体"/>
                <w:spacing w:val="1"/>
                <w:sz w:val="21"/>
                <w:szCs w:val="21"/>
                <w:lang w:val="en-US" w:eastAsia="zh-CN"/>
              </w:rPr>
              <w:t>7</w:t>
            </w:r>
          </w:p>
        </w:tc>
        <w:tc>
          <w:tcPr>
            <w:tcW w:w="936" w:type="dxa"/>
            <w:vAlign w:val="center"/>
          </w:tcPr>
          <w:p w14:paraId="24D2DA3F">
            <w:pPr>
              <w:snapToGrid w:val="0"/>
              <w:spacing w:before="94" w:line="240" w:lineRule="auto"/>
              <w:ind w:left="0" w:leftChars="0" w:right="0" w:rightChars="0" w:firstLine="0" w:firstLineChars="0"/>
              <w:jc w:val="center"/>
              <w:rPr>
                <w:rFonts w:hint="eastAsia" w:ascii="宋体" w:hAnsi="宋体" w:eastAsia="宋体" w:cs="宋体"/>
                <w:spacing w:val="-9"/>
                <w:sz w:val="21"/>
                <w:szCs w:val="21"/>
              </w:rPr>
            </w:pPr>
            <w:r>
              <w:rPr>
                <w:rFonts w:hint="eastAsia" w:ascii="宋体" w:hAnsi="宋体" w:eastAsia="宋体" w:cs="宋体"/>
                <w:spacing w:val="2"/>
                <w:sz w:val="21"/>
                <w:szCs w:val="21"/>
              </w:rPr>
              <w:t>17.3.3 (1</w:t>
            </w:r>
            <w:r>
              <w:rPr>
                <w:rFonts w:hint="eastAsia" w:ascii="宋体" w:hAnsi="宋体" w:eastAsia="宋体" w:cs="宋体"/>
                <w:sz w:val="21"/>
                <w:szCs w:val="21"/>
              </w:rPr>
              <w:t>)</w:t>
            </w:r>
          </w:p>
        </w:tc>
        <w:tc>
          <w:tcPr>
            <w:tcW w:w="7226" w:type="dxa"/>
            <w:tcBorders>
              <w:right w:val="single" w:color="000000" w:sz="6" w:space="0"/>
            </w:tcBorders>
            <w:vAlign w:val="center"/>
          </w:tcPr>
          <w:p w14:paraId="77EE56B5">
            <w:pPr>
              <w:snapToGrid w:val="0"/>
              <w:spacing w:before="103" w:line="240" w:lineRule="auto"/>
              <w:ind w:left="0" w:leftChars="0" w:right="0" w:rightChars="0" w:firstLine="0" w:firstLineChars="0"/>
              <w:jc w:val="left"/>
              <w:rPr>
                <w:rFonts w:hint="eastAsia" w:ascii="宋体" w:hAnsi="宋体" w:eastAsia="宋体" w:cs="宋体"/>
                <w:spacing w:val="7"/>
                <w:sz w:val="21"/>
                <w:szCs w:val="21"/>
              </w:rPr>
            </w:pPr>
            <w:r>
              <w:rPr>
                <w:rFonts w:hint="eastAsia" w:ascii="宋体" w:hAnsi="宋体" w:eastAsia="宋体" w:cs="宋体"/>
                <w:color w:val="auto"/>
                <w:sz w:val="21"/>
                <w:szCs w:val="21"/>
                <w:highlight w:val="none"/>
              </w:rPr>
              <w:t>进度付款证书最低限额：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%签约合同价或</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Style w:val="47"/>
                <w:rFonts w:hint="eastAsia" w:ascii="宋体" w:hAnsi="宋体" w:eastAsia="宋体" w:cs="宋体"/>
                <w:color w:val="auto"/>
                <w:sz w:val="21"/>
                <w:szCs w:val="21"/>
                <w:highlight w:val="none"/>
              </w:rPr>
              <w:footnoteReference w:id="45"/>
            </w:r>
          </w:p>
        </w:tc>
      </w:tr>
      <w:tr w14:paraId="33CD0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43BA1A8B">
            <w:pPr>
              <w:snapToGrid w:val="0"/>
              <w:spacing w:before="57" w:line="240" w:lineRule="auto"/>
              <w:ind w:left="0" w:leftChars="0" w:right="0" w:rightChars="0" w:firstLine="0" w:firstLineChars="0"/>
              <w:jc w:val="center"/>
              <w:rPr>
                <w:rFonts w:hint="eastAsia" w:ascii="宋体" w:hAnsi="宋体" w:eastAsia="宋体" w:cs="宋体"/>
                <w:spacing w:val="1"/>
                <w:kern w:val="2"/>
                <w:sz w:val="21"/>
                <w:szCs w:val="21"/>
                <w:lang w:val="en-US" w:eastAsia="zh-CN" w:bidi="ar-SA"/>
              </w:rPr>
            </w:pPr>
            <w:r>
              <w:rPr>
                <w:rFonts w:hint="eastAsia" w:ascii="宋体" w:hAnsi="宋体" w:eastAsia="宋体" w:cs="宋体"/>
                <w:spacing w:val="1"/>
                <w:sz w:val="21"/>
                <w:szCs w:val="21"/>
              </w:rPr>
              <w:t>3</w:t>
            </w:r>
            <w:r>
              <w:rPr>
                <w:rFonts w:hint="eastAsia" w:ascii="宋体" w:hAnsi="宋体" w:eastAsia="宋体" w:cs="宋体"/>
                <w:spacing w:val="1"/>
                <w:sz w:val="21"/>
                <w:szCs w:val="21"/>
                <w:lang w:val="en-US" w:eastAsia="zh-CN"/>
              </w:rPr>
              <w:t>8</w:t>
            </w:r>
          </w:p>
        </w:tc>
        <w:tc>
          <w:tcPr>
            <w:tcW w:w="936" w:type="dxa"/>
            <w:vAlign w:val="center"/>
          </w:tcPr>
          <w:p w14:paraId="525DDE83">
            <w:pPr>
              <w:pageBreakBefore w:val="0"/>
              <w:kinsoku/>
              <w:wordWrap w:val="0"/>
              <w:bidi w:val="0"/>
              <w:snapToGrid w:val="0"/>
              <w:spacing w:line="240" w:lineRule="auto"/>
              <w:ind w:left="0" w:leftChars="0" w:right="0" w:rightChars="0" w:firstLine="0" w:firstLineChars="0"/>
              <w:jc w:val="center"/>
              <w:rPr>
                <w:rFonts w:hint="eastAsia" w:ascii="宋体" w:hAnsi="宋体" w:eastAsia="宋体" w:cs="宋体"/>
                <w:spacing w:val="2"/>
                <w:sz w:val="21"/>
                <w:szCs w:val="21"/>
              </w:rPr>
            </w:pPr>
            <w:r>
              <w:rPr>
                <w:rFonts w:hint="eastAsia" w:ascii="宋体" w:hAnsi="宋体" w:eastAsia="宋体" w:cs="宋体"/>
                <w:color w:val="auto"/>
                <w:sz w:val="21"/>
                <w:szCs w:val="21"/>
                <w:highlight w:val="none"/>
              </w:rPr>
              <w:t>17.3.3（2）</w:t>
            </w:r>
          </w:p>
        </w:tc>
        <w:tc>
          <w:tcPr>
            <w:tcW w:w="7226" w:type="dxa"/>
            <w:tcBorders>
              <w:right w:val="single" w:color="000000" w:sz="6" w:space="0"/>
            </w:tcBorders>
            <w:vAlign w:val="center"/>
          </w:tcPr>
          <w:p w14:paraId="7FED5C4A">
            <w:pPr>
              <w:pageBreakBefore w:val="0"/>
              <w:kinsoku/>
              <w:wordWrap w:val="0"/>
              <w:bidi w:val="0"/>
              <w:snapToGrid w:val="0"/>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逾期付款违约金的利率：</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w:t>
            </w:r>
            <w:r>
              <w:rPr>
                <w:rStyle w:val="47"/>
                <w:rFonts w:hint="eastAsia" w:ascii="宋体" w:hAnsi="宋体" w:eastAsia="宋体" w:cs="宋体"/>
                <w:color w:val="auto"/>
                <w:sz w:val="21"/>
                <w:szCs w:val="21"/>
                <w:highlight w:val="none"/>
              </w:rPr>
              <w:footnoteReference w:id="46"/>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0262251E">
            <w:pPr>
              <w:snapToGrid w:val="0"/>
              <w:spacing w:before="58" w:line="240" w:lineRule="auto"/>
              <w:ind w:left="0" w:leftChars="0" w:right="0" w:rightChars="0" w:firstLine="0" w:firstLineChars="0"/>
              <w:jc w:val="center"/>
              <w:rPr>
                <w:rFonts w:hint="eastAsia" w:ascii="宋体" w:hAnsi="宋体" w:eastAsia="宋体" w:cs="宋体"/>
                <w:spacing w:val="1"/>
                <w:kern w:val="2"/>
                <w:sz w:val="21"/>
                <w:szCs w:val="21"/>
                <w:lang w:val="en-US" w:eastAsia="zh-CN" w:bidi="ar-SA"/>
              </w:rPr>
            </w:pPr>
            <w:r>
              <w:rPr>
                <w:rFonts w:hint="eastAsia" w:ascii="宋体" w:hAnsi="宋体" w:eastAsia="宋体" w:cs="宋体"/>
                <w:sz w:val="21"/>
                <w:szCs w:val="21"/>
                <w:lang w:val="en-US" w:eastAsia="zh-CN"/>
              </w:rPr>
              <w:t>39</w:t>
            </w:r>
          </w:p>
        </w:tc>
        <w:tc>
          <w:tcPr>
            <w:tcW w:w="936" w:type="dxa"/>
            <w:vAlign w:val="center"/>
          </w:tcPr>
          <w:p w14:paraId="05ECA2CB">
            <w:pPr>
              <w:snapToGrid w:val="0"/>
              <w:spacing w:before="57" w:line="240" w:lineRule="auto"/>
              <w:ind w:left="0" w:leftChars="0" w:right="0" w:rightChars="0" w:firstLine="0" w:firstLineChars="0"/>
              <w:jc w:val="center"/>
              <w:rPr>
                <w:rFonts w:hint="eastAsia" w:ascii="宋体" w:hAnsi="宋体" w:eastAsia="宋体" w:cs="宋体"/>
                <w:spacing w:val="-9"/>
                <w:sz w:val="21"/>
                <w:szCs w:val="21"/>
              </w:rPr>
            </w:pPr>
            <w:r>
              <w:rPr>
                <w:rFonts w:hint="eastAsia" w:ascii="宋体" w:hAnsi="宋体" w:eastAsia="宋体" w:cs="宋体"/>
                <w:spacing w:val="1"/>
                <w:sz w:val="21"/>
                <w:szCs w:val="21"/>
                <w:highlight w:val="red"/>
              </w:rPr>
              <w:t>17.3.</w:t>
            </w:r>
            <w:r>
              <w:rPr>
                <w:rFonts w:hint="eastAsia" w:ascii="宋体" w:hAnsi="宋体" w:eastAsia="宋体" w:cs="宋体"/>
                <w:sz w:val="21"/>
                <w:szCs w:val="21"/>
                <w:highlight w:val="red"/>
              </w:rPr>
              <w:t>5</w:t>
            </w:r>
          </w:p>
        </w:tc>
        <w:tc>
          <w:tcPr>
            <w:tcW w:w="7226" w:type="dxa"/>
            <w:tcBorders>
              <w:right w:val="single" w:color="000000" w:sz="6" w:space="0"/>
            </w:tcBorders>
            <w:vAlign w:val="center"/>
          </w:tcPr>
          <w:p w14:paraId="73F4D354">
            <w:pPr>
              <w:snapToGrid w:val="0"/>
              <w:spacing w:before="140" w:line="240" w:lineRule="auto"/>
              <w:ind w:left="0" w:leftChars="0" w:right="0" w:rightChars="0" w:firstLine="0" w:firstLineChars="0"/>
              <w:jc w:val="left"/>
              <w:rPr>
                <w:rFonts w:hint="eastAsia" w:ascii="宋体" w:hAnsi="宋体" w:eastAsia="宋体" w:cs="宋体"/>
                <w:spacing w:val="7"/>
                <w:sz w:val="21"/>
                <w:szCs w:val="21"/>
              </w:rPr>
            </w:pPr>
            <w:r>
              <w:rPr>
                <w:rFonts w:hint="eastAsia" w:ascii="宋体" w:hAnsi="宋体" w:eastAsia="宋体" w:cs="宋体"/>
                <w:spacing w:val="14"/>
                <w:position w:val="14"/>
                <w:sz w:val="21"/>
                <w:szCs w:val="21"/>
              </w:rPr>
              <w:t>农</w:t>
            </w:r>
            <w:r>
              <w:rPr>
                <w:rFonts w:hint="eastAsia" w:ascii="宋体" w:hAnsi="宋体" w:eastAsia="宋体" w:cs="宋体"/>
                <w:spacing w:val="12"/>
                <w:position w:val="14"/>
                <w:sz w:val="21"/>
                <w:szCs w:val="21"/>
              </w:rPr>
              <w:t>民工工资保证金的额度、提交形式、使用范围、扣留条件、返还时间：执</w:t>
            </w:r>
            <w:r>
              <w:rPr>
                <w:rFonts w:hint="eastAsia" w:ascii="宋体" w:hAnsi="宋体" w:eastAsia="宋体" w:cs="宋体"/>
                <w:spacing w:val="16"/>
                <w:sz w:val="21"/>
                <w:szCs w:val="21"/>
                <w:lang w:val="en-US" w:eastAsia="zh-CN"/>
              </w:rPr>
              <w:t>行项</w:t>
            </w:r>
            <w:r>
              <w:rPr>
                <w:rFonts w:hint="eastAsia" w:ascii="宋体" w:hAnsi="宋体" w:eastAsia="宋体" w:cs="宋体"/>
                <w:spacing w:val="16"/>
                <w:sz w:val="21"/>
                <w:szCs w:val="21"/>
              </w:rPr>
              <w:t>目</w:t>
            </w:r>
            <w:r>
              <w:rPr>
                <w:rFonts w:hint="eastAsia" w:ascii="宋体" w:hAnsi="宋体" w:eastAsia="宋体" w:cs="宋体"/>
                <w:spacing w:val="15"/>
                <w:sz w:val="21"/>
                <w:szCs w:val="21"/>
              </w:rPr>
              <w:t>所</w:t>
            </w:r>
            <w:r>
              <w:rPr>
                <w:rFonts w:hint="eastAsia" w:ascii="宋体" w:hAnsi="宋体" w:eastAsia="宋体" w:cs="宋体"/>
                <w:spacing w:val="8"/>
                <w:sz w:val="21"/>
                <w:szCs w:val="21"/>
              </w:rPr>
              <w:t>在省、市的人力资源社会保障行政部门、交通运输主管部门等施行的规定。</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76D657B4">
            <w:pPr>
              <w:snapToGrid w:val="0"/>
              <w:spacing w:before="58" w:line="240" w:lineRule="auto"/>
              <w:ind w:left="0" w:leftChars="0" w:right="0" w:rightChars="0" w:firstLine="0" w:firstLineChars="0"/>
              <w:jc w:val="cente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40</w:t>
            </w:r>
          </w:p>
        </w:tc>
        <w:tc>
          <w:tcPr>
            <w:tcW w:w="936" w:type="dxa"/>
            <w:vAlign w:val="center"/>
          </w:tcPr>
          <w:p w14:paraId="72CC5684">
            <w:pPr>
              <w:snapToGrid w:val="0"/>
              <w:spacing w:before="58" w:line="240" w:lineRule="auto"/>
              <w:ind w:left="0" w:leftChars="0" w:right="0" w:rightChars="0" w:firstLine="0" w:firstLineChars="0"/>
              <w:jc w:val="center"/>
              <w:rPr>
                <w:rFonts w:hint="eastAsia" w:ascii="宋体" w:hAnsi="宋体" w:eastAsia="宋体" w:cs="宋体"/>
                <w:spacing w:val="-9"/>
                <w:sz w:val="21"/>
                <w:szCs w:val="21"/>
              </w:rPr>
            </w:pPr>
            <w:r>
              <w:rPr>
                <w:rFonts w:hint="eastAsia" w:ascii="宋体" w:hAnsi="宋体" w:eastAsia="宋体" w:cs="宋体"/>
                <w:spacing w:val="-7"/>
                <w:sz w:val="21"/>
                <w:szCs w:val="21"/>
              </w:rPr>
              <w:t>1</w:t>
            </w:r>
            <w:r>
              <w:rPr>
                <w:rFonts w:hint="eastAsia" w:ascii="宋体" w:hAnsi="宋体" w:eastAsia="宋体" w:cs="宋体"/>
                <w:spacing w:val="-4"/>
                <w:sz w:val="21"/>
                <w:szCs w:val="21"/>
              </w:rPr>
              <w:t>7.4. 1</w:t>
            </w:r>
          </w:p>
        </w:tc>
        <w:tc>
          <w:tcPr>
            <w:tcW w:w="7226" w:type="dxa"/>
            <w:tcBorders>
              <w:right w:val="single" w:color="000000" w:sz="6" w:space="0"/>
            </w:tcBorders>
            <w:vAlign w:val="center"/>
          </w:tcPr>
          <w:p w14:paraId="48A1A9CD">
            <w:pPr>
              <w:snapToGrid w:val="0"/>
              <w:spacing w:before="10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0"/>
                <w:sz w:val="21"/>
                <w:szCs w:val="21"/>
                <w:highlight w:val="magenta"/>
              </w:rPr>
              <w:t>质量保证金</w:t>
            </w:r>
            <w:r>
              <w:rPr>
                <w:rFonts w:hint="eastAsia" w:ascii="宋体" w:hAnsi="宋体" w:eastAsia="宋体" w:cs="宋体"/>
                <w:spacing w:val="8"/>
                <w:sz w:val="21"/>
                <w:szCs w:val="21"/>
                <w:highlight w:val="magenta"/>
              </w:rPr>
              <w:t>金</w:t>
            </w:r>
            <w:r>
              <w:rPr>
                <w:rFonts w:hint="eastAsia" w:ascii="宋体" w:hAnsi="宋体" w:eastAsia="宋体" w:cs="宋体"/>
                <w:spacing w:val="5"/>
                <w:sz w:val="21"/>
                <w:szCs w:val="21"/>
                <w:highlight w:val="magenta"/>
              </w:rPr>
              <w:t>额，规定为：</w:t>
            </w:r>
            <w:r>
              <w:rPr>
                <w:rFonts w:hint="eastAsia" w:ascii="宋体" w:hAnsi="宋体" w:eastAsia="宋体" w:cs="宋体"/>
                <w:spacing w:val="5"/>
                <w:sz w:val="21"/>
                <w:szCs w:val="21"/>
                <w:highlight w:val="magenta"/>
                <w:u w:val="single" w:color="auto"/>
              </w:rPr>
              <w:t xml:space="preserve">    </w:t>
            </w:r>
            <w:r>
              <w:rPr>
                <w:rFonts w:hint="eastAsia" w:ascii="宋体" w:hAnsi="宋体" w:eastAsia="宋体" w:cs="宋体"/>
                <w:spacing w:val="5"/>
                <w:sz w:val="21"/>
                <w:szCs w:val="21"/>
                <w:highlight w:val="magenta"/>
                <w:u w:val="single" w:color="auto"/>
                <w:lang w:val="en-US" w:eastAsia="zh-CN"/>
              </w:rPr>
              <w:t>2</w:t>
            </w:r>
            <w:r>
              <w:rPr>
                <w:rFonts w:hint="eastAsia" w:ascii="宋体" w:hAnsi="宋体" w:eastAsia="宋体" w:cs="宋体"/>
                <w:spacing w:val="5"/>
                <w:sz w:val="21"/>
                <w:szCs w:val="21"/>
                <w:highlight w:val="magenta"/>
                <w:u w:val="single" w:color="auto"/>
              </w:rPr>
              <w:t xml:space="preserve">   %</w:t>
            </w:r>
            <w:r>
              <w:rPr>
                <w:rFonts w:hint="eastAsia" w:ascii="宋体" w:hAnsi="宋体" w:eastAsia="宋体" w:cs="宋体"/>
                <w:spacing w:val="5"/>
                <w:sz w:val="21"/>
                <w:szCs w:val="21"/>
                <w:highlight w:val="magenta"/>
              </w:rPr>
              <w:t>工程价款结算总额</w:t>
            </w:r>
            <w:r>
              <w:rPr>
                <w:rFonts w:hint="eastAsia" w:ascii="宋体" w:hAnsi="宋体" w:eastAsia="宋体" w:cs="宋体"/>
                <w:spacing w:val="5"/>
                <w:sz w:val="21"/>
                <w:szCs w:val="21"/>
              </w:rPr>
              <w:t>，质量保证金不计付利息。</w:t>
            </w:r>
          </w:p>
          <w:p w14:paraId="672D1E4F">
            <w:pPr>
              <w:snapToGrid w:val="0"/>
              <w:spacing w:before="12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1"/>
                <w:sz w:val="21"/>
                <w:szCs w:val="21"/>
              </w:rPr>
              <w:t>1) 承包人履约保证金、质量保证金均采用银行保函形式的，在发包人与承包</w:t>
            </w:r>
            <w:r>
              <w:rPr>
                <w:rFonts w:hint="eastAsia" w:ascii="宋体" w:hAnsi="宋体" w:eastAsia="宋体" w:cs="宋体"/>
                <w:sz w:val="21"/>
                <w:szCs w:val="21"/>
              </w:rPr>
              <w:t xml:space="preserve"> </w:t>
            </w:r>
            <w:r>
              <w:rPr>
                <w:rFonts w:hint="eastAsia" w:ascii="宋体" w:hAnsi="宋体" w:eastAsia="宋体" w:cs="宋体"/>
                <w:spacing w:val="14"/>
                <w:sz w:val="21"/>
                <w:szCs w:val="21"/>
              </w:rPr>
              <w:t>人</w:t>
            </w:r>
            <w:r>
              <w:rPr>
                <w:rFonts w:hint="eastAsia" w:ascii="宋体" w:hAnsi="宋体" w:eastAsia="宋体" w:cs="宋体"/>
                <w:spacing w:val="12"/>
                <w:sz w:val="21"/>
                <w:szCs w:val="21"/>
              </w:rPr>
              <w:t>完成本合同工程价款结算后，承包人应在工程验收证书颁发之前，按《项目专</w:t>
            </w:r>
            <w:r>
              <w:rPr>
                <w:rFonts w:hint="eastAsia" w:ascii="宋体" w:hAnsi="宋体" w:eastAsia="宋体" w:cs="宋体"/>
                <w:sz w:val="21"/>
                <w:szCs w:val="21"/>
              </w:rPr>
              <w:t xml:space="preserve"> </w:t>
            </w:r>
            <w:r>
              <w:rPr>
                <w:rFonts w:hint="eastAsia" w:ascii="宋体" w:hAnsi="宋体" w:eastAsia="宋体" w:cs="宋体"/>
                <w:spacing w:val="9"/>
                <w:sz w:val="21"/>
                <w:szCs w:val="21"/>
              </w:rPr>
              <w:t>用合同条款数据表》 中规定的额度向发包人提交质量保证金银行保函，出具保</w:t>
            </w:r>
            <w:r>
              <w:rPr>
                <w:rFonts w:hint="eastAsia" w:ascii="宋体" w:hAnsi="宋体" w:eastAsia="宋体" w:cs="宋体"/>
                <w:spacing w:val="7"/>
                <w:sz w:val="21"/>
                <w:szCs w:val="21"/>
              </w:rPr>
              <w:t>函</w:t>
            </w:r>
            <w:r>
              <w:rPr>
                <w:rFonts w:hint="eastAsia" w:ascii="宋体" w:hAnsi="宋体" w:eastAsia="宋体" w:cs="宋体"/>
                <w:sz w:val="21"/>
                <w:szCs w:val="21"/>
              </w:rPr>
              <w:t xml:space="preserve"> </w:t>
            </w:r>
            <w:r>
              <w:rPr>
                <w:rFonts w:hint="eastAsia" w:ascii="宋体" w:hAnsi="宋体" w:eastAsia="宋体" w:cs="宋体"/>
                <w:spacing w:val="14"/>
                <w:sz w:val="21"/>
                <w:szCs w:val="21"/>
              </w:rPr>
              <w:t>的</w:t>
            </w:r>
            <w:r>
              <w:rPr>
                <w:rFonts w:hint="eastAsia" w:ascii="宋体" w:hAnsi="宋体" w:eastAsia="宋体" w:cs="宋体"/>
                <w:spacing w:val="12"/>
                <w:sz w:val="21"/>
                <w:szCs w:val="21"/>
              </w:rPr>
              <w:t>银行须具有相应担保能力，且按照发包人批准的格式出具，所需费用由承包人</w:t>
            </w:r>
            <w:r>
              <w:rPr>
                <w:rFonts w:hint="eastAsia" w:ascii="宋体" w:hAnsi="宋体" w:eastAsia="宋体" w:cs="宋体"/>
                <w:sz w:val="21"/>
                <w:szCs w:val="21"/>
              </w:rPr>
              <w:t xml:space="preserve"> </w:t>
            </w:r>
            <w:r>
              <w:rPr>
                <w:rFonts w:hint="eastAsia" w:ascii="宋体" w:hAnsi="宋体" w:eastAsia="宋体" w:cs="宋体"/>
                <w:spacing w:val="9"/>
                <w:sz w:val="21"/>
                <w:szCs w:val="21"/>
              </w:rPr>
              <w:t>承担，保函的有效期应至缺陷责任期满之日止。</w:t>
            </w:r>
          </w:p>
          <w:p w14:paraId="5E145E7D">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履约保证金保函的有效期至缺陷责任期满之日止，且承包人履约保证金保函</w:t>
            </w:r>
            <w:r>
              <w:rPr>
                <w:rFonts w:hint="eastAsia" w:ascii="宋体" w:hAnsi="宋体" w:eastAsia="宋体" w:cs="宋体"/>
                <w:spacing w:val="11"/>
                <w:sz w:val="21"/>
                <w:szCs w:val="21"/>
              </w:rPr>
              <w:t>金</w:t>
            </w:r>
            <w:r>
              <w:rPr>
                <w:rFonts w:hint="eastAsia" w:ascii="宋体" w:hAnsi="宋体" w:eastAsia="宋体" w:cs="宋体"/>
                <w:sz w:val="21"/>
                <w:szCs w:val="21"/>
              </w:rPr>
              <w:t xml:space="preserve"> </w:t>
            </w:r>
            <w:r>
              <w:rPr>
                <w:rFonts w:hint="eastAsia" w:ascii="宋体" w:hAnsi="宋体" w:eastAsia="宋体" w:cs="宋体"/>
                <w:spacing w:val="18"/>
                <w:sz w:val="21"/>
                <w:szCs w:val="21"/>
              </w:rPr>
              <w:t>额</w:t>
            </w:r>
            <w:r>
              <w:rPr>
                <w:rFonts w:hint="eastAsia" w:ascii="宋体" w:hAnsi="宋体" w:eastAsia="宋体" w:cs="宋体"/>
                <w:spacing w:val="12"/>
                <w:sz w:val="21"/>
                <w:szCs w:val="21"/>
              </w:rPr>
              <w:t>不</w:t>
            </w:r>
            <w:r>
              <w:rPr>
                <w:rFonts w:hint="eastAsia" w:ascii="宋体" w:hAnsi="宋体" w:eastAsia="宋体" w:cs="宋体"/>
                <w:spacing w:val="9"/>
                <w:sz w:val="21"/>
                <w:szCs w:val="21"/>
              </w:rPr>
              <w:t>低于质量保证金金额的，承包人无须另行提交质量保证金银行保函。</w:t>
            </w:r>
          </w:p>
          <w:p w14:paraId="210DC3FA">
            <w:pPr>
              <w:snapToGrid w:val="0"/>
              <w:spacing w:before="3"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履约保证金保函的有效期至缺陷责任期满之日止，但承包人履约保证金保函</w:t>
            </w:r>
            <w:r>
              <w:rPr>
                <w:rFonts w:hint="eastAsia" w:ascii="宋体" w:hAnsi="宋体" w:eastAsia="宋体" w:cs="宋体"/>
                <w:spacing w:val="11"/>
                <w:sz w:val="21"/>
                <w:szCs w:val="21"/>
              </w:rPr>
              <w:t>金</w:t>
            </w:r>
            <w:r>
              <w:rPr>
                <w:rFonts w:hint="eastAsia" w:ascii="宋体" w:hAnsi="宋体" w:eastAsia="宋体" w:cs="宋体"/>
                <w:sz w:val="21"/>
                <w:szCs w:val="21"/>
              </w:rPr>
              <w:t xml:space="preserve"> </w:t>
            </w:r>
            <w:r>
              <w:rPr>
                <w:rFonts w:hint="eastAsia" w:ascii="宋体" w:hAnsi="宋体" w:eastAsia="宋体" w:cs="宋体"/>
                <w:spacing w:val="24"/>
                <w:sz w:val="21"/>
                <w:szCs w:val="21"/>
              </w:rPr>
              <w:t>额</w:t>
            </w:r>
            <w:r>
              <w:rPr>
                <w:rFonts w:hint="eastAsia" w:ascii="宋体" w:hAnsi="宋体" w:eastAsia="宋体" w:cs="宋体"/>
                <w:spacing w:val="18"/>
                <w:sz w:val="21"/>
                <w:szCs w:val="21"/>
              </w:rPr>
              <w:t>低</w:t>
            </w:r>
            <w:r>
              <w:rPr>
                <w:rFonts w:hint="eastAsia" w:ascii="宋体" w:hAnsi="宋体" w:eastAsia="宋体" w:cs="宋体"/>
                <w:spacing w:val="12"/>
                <w:sz w:val="21"/>
                <w:szCs w:val="21"/>
              </w:rPr>
              <w:t>于质量保证金金额的，承包人应另行提交全额质量保证金银行保函。同时，</w:t>
            </w:r>
            <w:r>
              <w:rPr>
                <w:rFonts w:hint="eastAsia" w:ascii="宋体" w:hAnsi="宋体" w:eastAsia="宋体" w:cs="宋体"/>
                <w:sz w:val="21"/>
                <w:szCs w:val="21"/>
              </w:rPr>
              <w:t xml:space="preserve"> </w:t>
            </w:r>
            <w:r>
              <w:rPr>
                <w:rFonts w:hint="eastAsia" w:ascii="宋体" w:hAnsi="宋体" w:eastAsia="宋体" w:cs="宋体"/>
                <w:spacing w:val="14"/>
                <w:sz w:val="21"/>
                <w:szCs w:val="21"/>
              </w:rPr>
              <w:t>发</w:t>
            </w:r>
            <w:r>
              <w:rPr>
                <w:rFonts w:hint="eastAsia" w:ascii="宋体" w:hAnsi="宋体" w:eastAsia="宋体" w:cs="宋体"/>
                <w:spacing w:val="8"/>
                <w:sz w:val="21"/>
                <w:szCs w:val="21"/>
              </w:rPr>
              <w:t>包</w:t>
            </w:r>
            <w:r>
              <w:rPr>
                <w:rFonts w:hint="eastAsia" w:ascii="宋体" w:hAnsi="宋体" w:eastAsia="宋体" w:cs="宋体"/>
                <w:spacing w:val="7"/>
                <w:sz w:val="21"/>
                <w:szCs w:val="21"/>
              </w:rPr>
              <w:t>人将提前终止承包人履约保证金保函的有效期 (至颁发工程验收证书之日) ，</w:t>
            </w:r>
            <w:r>
              <w:rPr>
                <w:rFonts w:hint="eastAsia" w:ascii="宋体" w:hAnsi="宋体" w:eastAsia="宋体" w:cs="宋体"/>
                <w:sz w:val="21"/>
                <w:szCs w:val="21"/>
              </w:rPr>
              <w:t xml:space="preserve"> </w:t>
            </w:r>
            <w:r>
              <w:rPr>
                <w:rFonts w:hint="eastAsia" w:ascii="宋体" w:hAnsi="宋体" w:eastAsia="宋体" w:cs="宋体"/>
                <w:spacing w:val="9"/>
                <w:sz w:val="21"/>
                <w:szCs w:val="21"/>
              </w:rPr>
              <w:t>并</w:t>
            </w:r>
            <w:r>
              <w:rPr>
                <w:rFonts w:hint="eastAsia" w:ascii="宋体" w:hAnsi="宋体" w:eastAsia="宋体" w:cs="宋体"/>
                <w:spacing w:val="8"/>
                <w:sz w:val="21"/>
                <w:szCs w:val="21"/>
              </w:rPr>
              <w:t>函告出具保函的银行。</w:t>
            </w:r>
          </w:p>
          <w:p w14:paraId="00704B97">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0"/>
                <w:sz w:val="21"/>
                <w:szCs w:val="21"/>
              </w:rPr>
              <w:t>(2</w:t>
            </w:r>
            <w:r>
              <w:rPr>
                <w:rFonts w:hint="eastAsia" w:ascii="宋体" w:hAnsi="宋体" w:eastAsia="宋体" w:cs="宋体"/>
                <w:spacing w:val="13"/>
                <w:sz w:val="21"/>
                <w:szCs w:val="21"/>
              </w:rPr>
              <w:t>)</w:t>
            </w:r>
            <w:r>
              <w:rPr>
                <w:rFonts w:hint="eastAsia" w:ascii="宋体" w:hAnsi="宋体" w:eastAsia="宋体" w:cs="宋体"/>
                <w:spacing w:val="10"/>
                <w:sz w:val="21"/>
                <w:szCs w:val="21"/>
              </w:rPr>
              <w:t xml:space="preserve"> 承包人履约保证金、质量保证金均采用现金 (电汇或银行汇票形式) 的，</w:t>
            </w:r>
            <w:r>
              <w:rPr>
                <w:rFonts w:hint="eastAsia" w:ascii="宋体" w:hAnsi="宋体" w:eastAsia="宋体" w:cs="宋体"/>
                <w:sz w:val="21"/>
                <w:szCs w:val="21"/>
              </w:rPr>
              <w:t xml:space="preserve"> </w:t>
            </w:r>
            <w:r>
              <w:rPr>
                <w:rFonts w:hint="eastAsia" w:ascii="宋体" w:hAnsi="宋体" w:eastAsia="宋体" w:cs="宋体"/>
                <w:spacing w:val="9"/>
                <w:sz w:val="21"/>
                <w:szCs w:val="21"/>
              </w:rPr>
              <w:t>承包人应在签发工程验收证书时，按《项目专用合同条款数据表》 中的规定的</w:t>
            </w:r>
            <w:r>
              <w:rPr>
                <w:rFonts w:hint="eastAsia" w:ascii="宋体" w:hAnsi="宋体" w:eastAsia="宋体" w:cs="宋体"/>
                <w:spacing w:val="7"/>
                <w:sz w:val="21"/>
                <w:szCs w:val="21"/>
              </w:rPr>
              <w:t>金</w:t>
            </w:r>
            <w:r>
              <w:rPr>
                <w:rFonts w:hint="eastAsia" w:ascii="宋体" w:hAnsi="宋体" w:eastAsia="宋体" w:cs="宋体"/>
                <w:sz w:val="21"/>
                <w:szCs w:val="21"/>
              </w:rPr>
              <w:t xml:space="preserve"> </w:t>
            </w:r>
            <w:r>
              <w:rPr>
                <w:rFonts w:hint="eastAsia" w:ascii="宋体" w:hAnsi="宋体" w:eastAsia="宋体" w:cs="宋体"/>
                <w:spacing w:val="13"/>
                <w:sz w:val="21"/>
                <w:szCs w:val="21"/>
              </w:rPr>
              <w:t>额</w:t>
            </w:r>
            <w:r>
              <w:rPr>
                <w:rFonts w:hint="eastAsia" w:ascii="宋体" w:hAnsi="宋体" w:eastAsia="宋体" w:cs="宋体"/>
                <w:spacing w:val="8"/>
                <w:sz w:val="21"/>
                <w:szCs w:val="21"/>
              </w:rPr>
              <w:t>向发包人提交质量保证金。</w:t>
            </w:r>
          </w:p>
          <w:p w14:paraId="1387199A">
            <w:pPr>
              <w:snapToGrid w:val="0"/>
              <w:spacing w:before="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如履约保证金金额不低于质量保证金金额的，发包人从履约保证金中扣留相</w:t>
            </w:r>
            <w:r>
              <w:rPr>
                <w:rFonts w:hint="eastAsia" w:ascii="宋体" w:hAnsi="宋体" w:eastAsia="宋体" w:cs="宋体"/>
                <w:spacing w:val="11"/>
                <w:sz w:val="21"/>
                <w:szCs w:val="21"/>
              </w:rPr>
              <w:t>应</w:t>
            </w:r>
            <w:r>
              <w:rPr>
                <w:rFonts w:hint="eastAsia" w:ascii="宋体" w:hAnsi="宋体" w:eastAsia="宋体" w:cs="宋体"/>
                <w:sz w:val="21"/>
                <w:szCs w:val="21"/>
              </w:rPr>
              <w:t xml:space="preserve"> </w:t>
            </w:r>
            <w:r>
              <w:rPr>
                <w:rFonts w:hint="eastAsia" w:ascii="宋体" w:hAnsi="宋体" w:eastAsia="宋体" w:cs="宋体"/>
                <w:spacing w:val="10"/>
                <w:sz w:val="21"/>
                <w:szCs w:val="21"/>
              </w:rPr>
              <w:t>额</w:t>
            </w:r>
            <w:r>
              <w:rPr>
                <w:rFonts w:hint="eastAsia" w:ascii="宋体" w:hAnsi="宋体" w:eastAsia="宋体" w:cs="宋体"/>
                <w:spacing w:val="8"/>
                <w:sz w:val="21"/>
                <w:szCs w:val="21"/>
              </w:rPr>
              <w:t>度的质量保证金，并在签发工程验收证书时，将剩余履约保证金退还给承包人。</w:t>
            </w:r>
          </w:p>
          <w:p w14:paraId="532FE142">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如履约保证金金额低于质量保证金金额的，发包人将扣留全部履约保证金作</w:t>
            </w:r>
            <w:r>
              <w:rPr>
                <w:rFonts w:hint="eastAsia" w:ascii="宋体" w:hAnsi="宋体" w:eastAsia="宋体" w:cs="宋体"/>
                <w:spacing w:val="11"/>
                <w:sz w:val="21"/>
                <w:szCs w:val="21"/>
              </w:rPr>
              <w:t>为</w:t>
            </w:r>
            <w:r>
              <w:rPr>
                <w:rFonts w:hint="eastAsia" w:ascii="宋体" w:hAnsi="宋体" w:eastAsia="宋体" w:cs="宋体"/>
                <w:sz w:val="21"/>
                <w:szCs w:val="21"/>
              </w:rPr>
              <w:t xml:space="preserve"> </w:t>
            </w:r>
            <w:r>
              <w:rPr>
                <w:rFonts w:hint="eastAsia" w:ascii="宋体" w:hAnsi="宋体" w:eastAsia="宋体" w:cs="宋体"/>
                <w:spacing w:val="13"/>
                <w:sz w:val="21"/>
                <w:szCs w:val="21"/>
              </w:rPr>
              <w:t>质</w:t>
            </w:r>
            <w:r>
              <w:rPr>
                <w:rFonts w:hint="eastAsia" w:ascii="宋体" w:hAnsi="宋体" w:eastAsia="宋体" w:cs="宋体"/>
                <w:spacing w:val="12"/>
                <w:sz w:val="21"/>
                <w:szCs w:val="21"/>
              </w:rPr>
              <w:t>量保证金的一部分，且承包人应在签发工程验收证书时向发包人提交质量保证</w:t>
            </w:r>
            <w:r>
              <w:rPr>
                <w:rFonts w:hint="eastAsia" w:ascii="宋体" w:hAnsi="宋体" w:eastAsia="宋体" w:cs="宋体"/>
                <w:sz w:val="21"/>
                <w:szCs w:val="21"/>
              </w:rPr>
              <w:t xml:space="preserve"> </w:t>
            </w:r>
            <w:r>
              <w:rPr>
                <w:rFonts w:hint="eastAsia" w:ascii="宋体" w:hAnsi="宋体" w:eastAsia="宋体" w:cs="宋体"/>
                <w:spacing w:val="8"/>
                <w:sz w:val="21"/>
                <w:szCs w:val="21"/>
              </w:rPr>
              <w:t>金的剩余</w:t>
            </w:r>
            <w:r>
              <w:rPr>
                <w:rFonts w:hint="eastAsia" w:ascii="宋体" w:hAnsi="宋体" w:eastAsia="宋体" w:cs="宋体"/>
                <w:spacing w:val="5"/>
                <w:sz w:val="21"/>
                <w:szCs w:val="21"/>
              </w:rPr>
              <w:t>部</w:t>
            </w:r>
            <w:r>
              <w:rPr>
                <w:rFonts w:hint="eastAsia" w:ascii="宋体" w:hAnsi="宋体" w:eastAsia="宋体" w:cs="宋体"/>
                <w:spacing w:val="4"/>
                <w:sz w:val="21"/>
                <w:szCs w:val="21"/>
              </w:rPr>
              <w:t>分 ( “质量保证金”减去“履约保证金”) 。</w:t>
            </w:r>
          </w:p>
          <w:p w14:paraId="0E05B9BB">
            <w:pPr>
              <w:snapToGrid w:val="0"/>
              <w:spacing w:before="13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0"/>
                <w:sz w:val="21"/>
                <w:szCs w:val="21"/>
              </w:rPr>
              <w:t>(3</w:t>
            </w:r>
            <w:r>
              <w:rPr>
                <w:rFonts w:hint="eastAsia" w:ascii="宋体" w:hAnsi="宋体" w:eastAsia="宋体" w:cs="宋体"/>
                <w:spacing w:val="11"/>
                <w:sz w:val="21"/>
                <w:szCs w:val="21"/>
              </w:rPr>
              <w:t>)</w:t>
            </w:r>
            <w:r>
              <w:rPr>
                <w:rFonts w:hint="eastAsia" w:ascii="宋体" w:hAnsi="宋体" w:eastAsia="宋体" w:cs="宋体"/>
                <w:spacing w:val="10"/>
                <w:sz w:val="21"/>
                <w:szCs w:val="21"/>
              </w:rPr>
              <w:t xml:space="preserve"> 承包人履约保证金采用现金 (电汇或银行汇票形式) 、质量保证金采用银</w:t>
            </w:r>
            <w:r>
              <w:rPr>
                <w:rFonts w:hint="eastAsia" w:ascii="宋体" w:hAnsi="宋体" w:eastAsia="宋体" w:cs="宋体"/>
                <w:spacing w:val="12"/>
                <w:sz w:val="21"/>
                <w:szCs w:val="21"/>
              </w:rPr>
              <w:t>行保函形式的，在发包人与承包人完成本合同工程价款结算后，承包人应在工</w:t>
            </w:r>
            <w:r>
              <w:rPr>
                <w:rFonts w:hint="eastAsia" w:ascii="宋体" w:hAnsi="宋体" w:eastAsia="宋体" w:cs="宋体"/>
                <w:spacing w:val="10"/>
                <w:sz w:val="21"/>
                <w:szCs w:val="21"/>
              </w:rPr>
              <w:t>程</w:t>
            </w:r>
            <w:r>
              <w:rPr>
                <w:rFonts w:hint="eastAsia" w:ascii="宋体" w:hAnsi="宋体" w:eastAsia="宋体" w:cs="宋体"/>
                <w:sz w:val="21"/>
                <w:szCs w:val="21"/>
              </w:rPr>
              <w:t xml:space="preserve"> </w:t>
            </w:r>
            <w:r>
              <w:rPr>
                <w:rFonts w:hint="eastAsia" w:ascii="宋体" w:hAnsi="宋体" w:eastAsia="宋体" w:cs="宋体"/>
                <w:spacing w:val="9"/>
                <w:sz w:val="21"/>
                <w:szCs w:val="21"/>
              </w:rPr>
              <w:t>验收证书颁发时，按《项目专用合同条款数据表》 中规定的额度向发包人提交</w:t>
            </w:r>
            <w:r>
              <w:rPr>
                <w:rFonts w:hint="eastAsia" w:ascii="宋体" w:hAnsi="宋体" w:eastAsia="宋体" w:cs="宋体"/>
                <w:spacing w:val="7"/>
                <w:sz w:val="21"/>
                <w:szCs w:val="21"/>
              </w:rPr>
              <w:t>质</w:t>
            </w:r>
            <w:r>
              <w:rPr>
                <w:rFonts w:hint="eastAsia" w:ascii="宋体" w:hAnsi="宋体" w:eastAsia="宋体" w:cs="宋体"/>
                <w:sz w:val="21"/>
                <w:szCs w:val="21"/>
              </w:rPr>
              <w:t xml:space="preserve"> </w:t>
            </w:r>
            <w:r>
              <w:rPr>
                <w:rFonts w:hint="eastAsia" w:ascii="宋体" w:hAnsi="宋体" w:eastAsia="宋体" w:cs="宋体"/>
                <w:spacing w:val="14"/>
                <w:sz w:val="21"/>
                <w:szCs w:val="21"/>
              </w:rPr>
              <w:t>量</w:t>
            </w:r>
            <w:r>
              <w:rPr>
                <w:rFonts w:hint="eastAsia" w:ascii="宋体" w:hAnsi="宋体" w:eastAsia="宋体" w:cs="宋体"/>
                <w:spacing w:val="12"/>
                <w:sz w:val="21"/>
                <w:szCs w:val="21"/>
              </w:rPr>
              <w:t>保证金银行保函，出具保函的银行须具有相应担保能力，且按照发包人批准的</w:t>
            </w:r>
            <w:r>
              <w:rPr>
                <w:rFonts w:hint="eastAsia" w:ascii="宋体" w:hAnsi="宋体" w:eastAsia="宋体" w:cs="宋体"/>
                <w:sz w:val="21"/>
                <w:szCs w:val="21"/>
              </w:rPr>
              <w:t xml:space="preserve"> </w:t>
            </w:r>
            <w:r>
              <w:rPr>
                <w:rFonts w:hint="eastAsia" w:ascii="宋体" w:hAnsi="宋体" w:eastAsia="宋体" w:cs="宋体"/>
                <w:spacing w:val="18"/>
                <w:sz w:val="21"/>
                <w:szCs w:val="21"/>
              </w:rPr>
              <w:t>格</w:t>
            </w:r>
            <w:r>
              <w:rPr>
                <w:rFonts w:hint="eastAsia" w:ascii="宋体" w:hAnsi="宋体" w:eastAsia="宋体" w:cs="宋体"/>
                <w:spacing w:val="15"/>
                <w:sz w:val="21"/>
                <w:szCs w:val="21"/>
              </w:rPr>
              <w:t>式</w:t>
            </w:r>
            <w:r>
              <w:rPr>
                <w:rFonts w:hint="eastAsia" w:ascii="宋体" w:hAnsi="宋体" w:eastAsia="宋体" w:cs="宋体"/>
                <w:spacing w:val="9"/>
                <w:sz w:val="21"/>
                <w:szCs w:val="21"/>
              </w:rPr>
              <w:t>出具，所需费用由承包人承担，保函的有效期应至缺陷责任期满之日止。</w:t>
            </w:r>
          </w:p>
          <w:p w14:paraId="32707F15">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1"/>
                <w:sz w:val="21"/>
                <w:szCs w:val="21"/>
              </w:rPr>
              <w:t>(4) 承包人履约保证金采用银行保函形式、质量保证金采用现金 (电汇或银</w:t>
            </w:r>
            <w:r>
              <w:rPr>
                <w:rFonts w:hint="eastAsia" w:ascii="宋体" w:hAnsi="宋体" w:eastAsia="宋体" w:cs="宋体"/>
                <w:spacing w:val="5"/>
                <w:sz w:val="21"/>
                <w:szCs w:val="21"/>
              </w:rPr>
              <w:t>行</w:t>
            </w:r>
            <w:r>
              <w:rPr>
                <w:rFonts w:hint="eastAsia" w:ascii="宋体" w:hAnsi="宋体" w:eastAsia="宋体" w:cs="宋体"/>
                <w:sz w:val="21"/>
                <w:szCs w:val="21"/>
              </w:rPr>
              <w:t xml:space="preserve"> </w:t>
            </w:r>
            <w:r>
              <w:rPr>
                <w:rFonts w:hint="eastAsia" w:ascii="宋体" w:hAnsi="宋体" w:eastAsia="宋体" w:cs="宋体"/>
                <w:spacing w:val="16"/>
                <w:sz w:val="21"/>
                <w:szCs w:val="21"/>
              </w:rPr>
              <w:t>汇票</w:t>
            </w:r>
            <w:r>
              <w:rPr>
                <w:rFonts w:hint="eastAsia" w:ascii="宋体" w:hAnsi="宋体" w:eastAsia="宋体" w:cs="宋体"/>
                <w:spacing w:val="8"/>
                <w:sz w:val="21"/>
                <w:szCs w:val="21"/>
              </w:rPr>
              <w:t>形式) 的，承包人应在工程验收证书颁发时，按《项目专用合同条款数据表》</w:t>
            </w:r>
            <w:r>
              <w:rPr>
                <w:rFonts w:hint="eastAsia" w:ascii="宋体" w:hAnsi="宋体" w:eastAsia="宋体" w:cs="宋体"/>
                <w:sz w:val="21"/>
                <w:szCs w:val="21"/>
              </w:rPr>
              <w:t xml:space="preserve"> </w:t>
            </w:r>
            <w:r>
              <w:rPr>
                <w:rFonts w:hint="eastAsia" w:ascii="宋体" w:hAnsi="宋体" w:eastAsia="宋体" w:cs="宋体"/>
                <w:spacing w:val="9"/>
                <w:sz w:val="21"/>
                <w:szCs w:val="21"/>
              </w:rPr>
              <w:t>中规定的额度向发包人提交质量保证金</w:t>
            </w:r>
            <w:r>
              <w:rPr>
                <w:rFonts w:hint="eastAsia" w:ascii="宋体" w:hAnsi="宋体" w:eastAsia="宋体" w:cs="宋体"/>
                <w:spacing w:val="7"/>
                <w:sz w:val="21"/>
                <w:szCs w:val="21"/>
              </w:rPr>
              <w:t>。</w:t>
            </w:r>
          </w:p>
          <w:p w14:paraId="3F600CAF">
            <w:pPr>
              <w:snapToGrid w:val="0"/>
              <w:spacing w:line="240" w:lineRule="auto"/>
              <w:ind w:left="0" w:leftChars="0" w:right="0" w:rightChars="0" w:firstLine="0" w:firstLineChars="0"/>
              <w:jc w:val="left"/>
              <w:rPr>
                <w:rFonts w:hint="eastAsia" w:ascii="宋体" w:hAnsi="宋体" w:eastAsia="宋体" w:cs="宋体"/>
                <w:spacing w:val="11"/>
                <w:position w:val="14"/>
                <w:sz w:val="21"/>
                <w:szCs w:val="21"/>
              </w:rPr>
            </w:pPr>
            <w:r>
              <w:rPr>
                <w:rFonts w:hint="eastAsia" w:ascii="宋体" w:hAnsi="宋体" w:eastAsia="宋体" w:cs="宋体"/>
                <w:spacing w:val="16"/>
                <w:position w:val="14"/>
                <w:sz w:val="21"/>
                <w:szCs w:val="21"/>
              </w:rPr>
              <w:t>(</w:t>
            </w:r>
            <w:r>
              <w:rPr>
                <w:rFonts w:hint="eastAsia" w:ascii="宋体" w:hAnsi="宋体" w:eastAsia="宋体" w:cs="宋体"/>
                <w:spacing w:val="11"/>
                <w:position w:val="14"/>
                <w:sz w:val="21"/>
                <w:szCs w:val="21"/>
              </w:rPr>
              <w:t>5) 质量保证金属建设资金，应专款专用，承包人不得用于抵债或作为处理经济纠纷</w:t>
            </w:r>
            <w:r>
              <w:rPr>
                <w:rFonts w:hint="eastAsia" w:ascii="宋体" w:hAnsi="宋体" w:eastAsia="宋体" w:cs="宋体"/>
                <w:spacing w:val="11"/>
                <w:position w:val="14"/>
                <w:sz w:val="21"/>
                <w:szCs w:val="21"/>
                <w:lang w:eastAsia="zh-CN"/>
              </w:rPr>
              <w:t>。</w:t>
            </w:r>
          </w:p>
        </w:tc>
      </w:tr>
      <w:tr w14:paraId="35B04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2B0F42C8">
            <w:pPr>
              <w:snapToGrid w:val="0"/>
              <w:spacing w:before="130"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1</w:t>
            </w:r>
          </w:p>
        </w:tc>
        <w:tc>
          <w:tcPr>
            <w:tcW w:w="936" w:type="dxa"/>
            <w:vAlign w:val="center"/>
          </w:tcPr>
          <w:p w14:paraId="3DD4DFBC">
            <w:pPr>
              <w:snapToGrid w:val="0"/>
              <w:spacing w:before="93"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3"/>
                <w:sz w:val="21"/>
                <w:szCs w:val="21"/>
              </w:rPr>
              <w:t>17.5. 1 (1</w:t>
            </w:r>
            <w:r>
              <w:rPr>
                <w:rFonts w:hint="eastAsia" w:ascii="宋体" w:hAnsi="宋体" w:eastAsia="宋体" w:cs="宋体"/>
                <w:spacing w:val="-2"/>
                <w:sz w:val="21"/>
                <w:szCs w:val="21"/>
              </w:rPr>
              <w:t>)</w:t>
            </w:r>
          </w:p>
        </w:tc>
        <w:tc>
          <w:tcPr>
            <w:tcW w:w="7226" w:type="dxa"/>
            <w:tcBorders>
              <w:right w:val="single" w:color="000000" w:sz="6" w:space="0"/>
            </w:tcBorders>
            <w:vAlign w:val="center"/>
          </w:tcPr>
          <w:p w14:paraId="015A0EAA">
            <w:pPr>
              <w:snapToGrid w:val="0"/>
              <w:spacing w:before="13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承包人</w:t>
            </w:r>
            <w:r>
              <w:rPr>
                <w:rFonts w:hint="eastAsia" w:ascii="宋体" w:hAnsi="宋体" w:eastAsia="宋体" w:cs="宋体"/>
                <w:spacing w:val="-7"/>
                <w:sz w:val="21"/>
                <w:szCs w:val="21"/>
              </w:rPr>
              <w:t>向</w:t>
            </w:r>
            <w:r>
              <w:rPr>
                <w:rFonts w:hint="eastAsia" w:ascii="宋体" w:hAnsi="宋体" w:eastAsia="宋体" w:cs="宋体"/>
                <w:spacing w:val="-4"/>
                <w:sz w:val="21"/>
                <w:szCs w:val="21"/>
              </w:rPr>
              <w:t>监理人提交交工付款申请单 (包括相关证明材料) 的份数，规定为：</w:t>
            </w:r>
            <w:r>
              <w:rPr>
                <w:rFonts w:hint="eastAsia" w:ascii="宋体" w:hAnsi="宋体" w:eastAsia="宋体" w:cs="宋体"/>
                <w:spacing w:val="-4"/>
                <w:sz w:val="21"/>
                <w:szCs w:val="21"/>
                <w:u w:val="none" w:color="auto"/>
              </w:rPr>
              <w:t xml:space="preserve"> 6 份</w:t>
            </w:r>
            <w:r>
              <w:rPr>
                <w:rFonts w:hint="eastAsia" w:ascii="宋体" w:hAnsi="宋体" w:eastAsia="宋体" w:cs="宋体"/>
                <w:sz w:val="21"/>
                <w:szCs w:val="21"/>
                <w:u w:val="none" w:color="auto"/>
              </w:rPr>
              <w:t xml:space="preserve"> </w:t>
            </w:r>
          </w:p>
        </w:tc>
      </w:tr>
      <w:tr w14:paraId="0C59A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7D7FD0A5">
            <w:pPr>
              <w:snapToGrid w:val="0"/>
              <w:spacing w:before="150"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2</w:t>
            </w:r>
          </w:p>
        </w:tc>
        <w:tc>
          <w:tcPr>
            <w:tcW w:w="936" w:type="dxa"/>
            <w:vAlign w:val="center"/>
          </w:tcPr>
          <w:p w14:paraId="7FE774A6">
            <w:pPr>
              <w:snapToGrid w:val="0"/>
              <w:spacing w:before="91"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3"/>
                <w:sz w:val="21"/>
                <w:szCs w:val="21"/>
              </w:rPr>
              <w:t>17.6. 1 (1</w:t>
            </w:r>
            <w:r>
              <w:rPr>
                <w:rFonts w:hint="eastAsia" w:ascii="宋体" w:hAnsi="宋体" w:eastAsia="宋体" w:cs="宋体"/>
                <w:spacing w:val="-2"/>
                <w:sz w:val="21"/>
                <w:szCs w:val="21"/>
              </w:rPr>
              <w:t>)</w:t>
            </w:r>
          </w:p>
        </w:tc>
        <w:tc>
          <w:tcPr>
            <w:tcW w:w="7226" w:type="dxa"/>
            <w:tcBorders>
              <w:right w:val="single" w:color="000000" w:sz="6" w:space="0"/>
            </w:tcBorders>
            <w:vAlign w:val="center"/>
          </w:tcPr>
          <w:p w14:paraId="77867000">
            <w:pPr>
              <w:snapToGrid w:val="0"/>
              <w:spacing w:before="14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8"/>
                <w:sz w:val="21"/>
                <w:szCs w:val="21"/>
              </w:rPr>
              <w:t>承包人向监理人提交最终结清申请单 (包括相关证明材料) 的份数，规定为：</w:t>
            </w:r>
            <w:r>
              <w:rPr>
                <w:rFonts w:hint="eastAsia" w:ascii="宋体" w:hAnsi="宋体" w:eastAsia="宋体" w:cs="宋体"/>
                <w:spacing w:val="-8"/>
                <w:sz w:val="21"/>
                <w:szCs w:val="21"/>
                <w:u w:val="none"/>
              </w:rPr>
              <w:t xml:space="preserve">6 </w:t>
            </w:r>
            <w:r>
              <w:rPr>
                <w:rFonts w:hint="eastAsia" w:ascii="宋体" w:hAnsi="宋体" w:eastAsia="宋体" w:cs="宋体"/>
                <w:spacing w:val="-5"/>
                <w:sz w:val="21"/>
                <w:szCs w:val="21"/>
                <w:u w:val="none"/>
              </w:rPr>
              <w:t>份</w:t>
            </w:r>
          </w:p>
        </w:tc>
      </w:tr>
      <w:tr w14:paraId="6C4C0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10CC7FE9">
            <w:pPr>
              <w:snapToGrid w:val="0"/>
              <w:spacing w:before="58"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3</w:t>
            </w:r>
          </w:p>
        </w:tc>
        <w:tc>
          <w:tcPr>
            <w:tcW w:w="936" w:type="dxa"/>
            <w:vAlign w:val="center"/>
          </w:tcPr>
          <w:p w14:paraId="2BA2712E">
            <w:pPr>
              <w:snapToGrid w:val="0"/>
              <w:spacing w:before="111"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1"/>
                <w:sz w:val="21"/>
                <w:szCs w:val="21"/>
              </w:rPr>
              <w:t>18.2  (2</w:t>
            </w:r>
            <w:r>
              <w:rPr>
                <w:rFonts w:hint="eastAsia" w:ascii="宋体" w:hAnsi="宋体" w:eastAsia="宋体" w:cs="宋体"/>
                <w:sz w:val="21"/>
                <w:szCs w:val="21"/>
              </w:rPr>
              <w:t>)</w:t>
            </w:r>
          </w:p>
        </w:tc>
        <w:tc>
          <w:tcPr>
            <w:tcW w:w="7226" w:type="dxa"/>
            <w:tcBorders>
              <w:right w:val="single" w:color="000000" w:sz="6" w:space="0"/>
            </w:tcBorders>
            <w:vAlign w:val="center"/>
          </w:tcPr>
          <w:p w14:paraId="4F4066FC">
            <w:pPr>
              <w:snapToGrid w:val="0"/>
              <w:spacing w:before="157"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5"/>
                <w:sz w:val="21"/>
                <w:szCs w:val="21"/>
              </w:rPr>
              <w:t xml:space="preserve">竣工资料的份数，规定为：4 </w:t>
            </w:r>
            <w:r>
              <w:rPr>
                <w:rFonts w:hint="eastAsia" w:ascii="宋体" w:hAnsi="宋体" w:eastAsia="宋体" w:cs="宋体"/>
                <w:spacing w:val="-3"/>
                <w:sz w:val="21"/>
                <w:szCs w:val="21"/>
              </w:rPr>
              <w:t>份</w:t>
            </w:r>
          </w:p>
        </w:tc>
      </w:tr>
      <w:tr w14:paraId="0FAD3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22DEFDB4">
            <w:pPr>
              <w:snapToGrid w:val="0"/>
              <w:spacing w:before="58"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4</w:t>
            </w:r>
          </w:p>
        </w:tc>
        <w:tc>
          <w:tcPr>
            <w:tcW w:w="936" w:type="dxa"/>
            <w:vAlign w:val="center"/>
          </w:tcPr>
          <w:p w14:paraId="30FDF9BE">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4"/>
                <w:sz w:val="21"/>
                <w:szCs w:val="21"/>
              </w:rPr>
              <w:t>8.5. 1</w:t>
            </w:r>
          </w:p>
        </w:tc>
        <w:tc>
          <w:tcPr>
            <w:tcW w:w="7226" w:type="dxa"/>
            <w:tcBorders>
              <w:right w:val="single" w:color="000000" w:sz="6" w:space="0"/>
            </w:tcBorders>
            <w:vAlign w:val="center"/>
          </w:tcPr>
          <w:p w14:paraId="10BEAEB2">
            <w:pPr>
              <w:snapToGrid w:val="0"/>
              <w:spacing w:before="15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单</w:t>
            </w:r>
            <w:r>
              <w:rPr>
                <w:rFonts w:hint="eastAsia" w:ascii="宋体" w:hAnsi="宋体" w:eastAsia="宋体" w:cs="宋体"/>
                <w:spacing w:val="9"/>
                <w:sz w:val="21"/>
                <w:szCs w:val="21"/>
              </w:rPr>
              <w:t>位工程或工程设备是否需投入施工期运行，规定为：</w:t>
            </w:r>
            <w:r>
              <w:rPr>
                <w:rFonts w:hint="eastAsia" w:ascii="宋体" w:hAnsi="宋体" w:eastAsia="宋体" w:cs="宋体"/>
                <w:spacing w:val="9"/>
                <w:sz w:val="21"/>
                <w:szCs w:val="21"/>
                <w:u w:val="single" w:color="auto"/>
              </w:rPr>
              <w:t xml:space="preserve"> 否</w:t>
            </w:r>
            <w:r>
              <w:rPr>
                <w:rFonts w:hint="eastAsia" w:ascii="宋体" w:hAnsi="宋体" w:eastAsia="宋体" w:cs="宋体"/>
                <w:sz w:val="21"/>
                <w:szCs w:val="21"/>
                <w:u w:val="single" w:color="auto"/>
              </w:rPr>
              <w:t xml:space="preserve"> </w:t>
            </w:r>
          </w:p>
          <w:p w14:paraId="36D63BE0">
            <w:pPr>
              <w:snapToGrid w:val="0"/>
              <w:spacing w:before="153"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如单位工程或工程设备需要进行施工期运行，需要施工期运行的单位工程或</w:t>
            </w:r>
            <w:r>
              <w:rPr>
                <w:rFonts w:hint="eastAsia" w:ascii="宋体" w:hAnsi="宋体" w:eastAsia="宋体" w:cs="宋体"/>
                <w:spacing w:val="11"/>
                <w:sz w:val="21"/>
                <w:szCs w:val="21"/>
              </w:rPr>
              <w:t>工</w:t>
            </w:r>
            <w:r>
              <w:rPr>
                <w:rFonts w:hint="eastAsia" w:ascii="宋体" w:hAnsi="宋体" w:eastAsia="宋体" w:cs="宋体"/>
                <w:sz w:val="21"/>
                <w:szCs w:val="21"/>
              </w:rPr>
              <w:t xml:space="preserve"> </w:t>
            </w:r>
            <w:r>
              <w:rPr>
                <w:rFonts w:hint="eastAsia" w:ascii="宋体" w:hAnsi="宋体" w:eastAsia="宋体" w:cs="宋体"/>
                <w:spacing w:val="1"/>
                <w:sz w:val="21"/>
                <w:szCs w:val="21"/>
              </w:rPr>
              <w:t>程设备，具体规定为：</w:t>
            </w:r>
            <w:r>
              <w:rPr>
                <w:rFonts w:hint="eastAsia" w:ascii="宋体" w:hAnsi="宋体" w:eastAsia="宋体" w:cs="宋体"/>
                <w:sz w:val="21"/>
                <w:szCs w:val="21"/>
                <w:u w:val="single" w:color="auto"/>
              </w:rPr>
              <w:t xml:space="preserve">   /   </w:t>
            </w:r>
          </w:p>
        </w:tc>
      </w:tr>
      <w:tr w14:paraId="2B000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shd w:val="clear" w:color="auto" w:fill="auto"/>
            <w:vAlign w:val="center"/>
          </w:tcPr>
          <w:p w14:paraId="6C0115B0">
            <w:pPr>
              <w:snapToGrid w:val="0"/>
              <w:spacing w:before="150" w:line="240" w:lineRule="auto"/>
              <w:ind w:left="0" w:leftChars="0" w:right="0" w:righ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5</w:t>
            </w:r>
          </w:p>
        </w:tc>
        <w:tc>
          <w:tcPr>
            <w:tcW w:w="936" w:type="dxa"/>
            <w:vAlign w:val="center"/>
          </w:tcPr>
          <w:p w14:paraId="6C3DA383">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4"/>
                <w:sz w:val="21"/>
                <w:szCs w:val="21"/>
              </w:rPr>
              <w:t>8.6. 1</w:t>
            </w:r>
          </w:p>
        </w:tc>
        <w:tc>
          <w:tcPr>
            <w:tcW w:w="7226" w:type="dxa"/>
            <w:tcBorders>
              <w:right w:val="single" w:color="000000" w:sz="6" w:space="0"/>
            </w:tcBorders>
            <w:vAlign w:val="center"/>
          </w:tcPr>
          <w:p w14:paraId="0E7DA44F">
            <w:pPr>
              <w:snapToGrid w:val="0"/>
              <w:spacing w:before="14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9"/>
                <w:sz w:val="21"/>
                <w:szCs w:val="21"/>
              </w:rPr>
              <w:t>本工程及工程设备是否进行试运行，规定为：</w:t>
            </w:r>
            <w:r>
              <w:rPr>
                <w:rFonts w:hint="eastAsia" w:ascii="宋体" w:hAnsi="宋体" w:eastAsia="宋体" w:cs="宋体"/>
                <w:spacing w:val="9"/>
                <w:sz w:val="21"/>
                <w:szCs w:val="21"/>
                <w:u w:val="single" w:color="auto"/>
              </w:rPr>
              <w:t xml:space="preserve"> 否</w:t>
            </w:r>
            <w:r>
              <w:rPr>
                <w:rFonts w:hint="eastAsia" w:ascii="宋体" w:hAnsi="宋体" w:eastAsia="宋体" w:cs="宋体"/>
                <w:sz w:val="21"/>
                <w:szCs w:val="21"/>
                <w:u w:val="single" w:color="auto"/>
              </w:rPr>
              <w:t xml:space="preserve"> </w:t>
            </w:r>
          </w:p>
          <w:p w14:paraId="65CEC337">
            <w:pPr>
              <w:snapToGrid w:val="0"/>
              <w:spacing w:before="120"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
                <w:position w:val="1"/>
                <w:sz w:val="21"/>
                <w:szCs w:val="21"/>
              </w:rPr>
              <w:t>如本工程及工程设备需要进行试运行，试运行的</w:t>
            </w:r>
            <w:r>
              <w:rPr>
                <w:rFonts w:hint="eastAsia" w:ascii="宋体" w:hAnsi="宋体" w:eastAsia="宋体" w:cs="宋体"/>
                <w:position w:val="1"/>
                <w:sz w:val="21"/>
                <w:szCs w:val="21"/>
              </w:rPr>
              <w:t>具体规定为：   /</w:t>
            </w:r>
          </w:p>
        </w:tc>
      </w:tr>
      <w:tr w14:paraId="56500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5788A905">
            <w:pPr>
              <w:snapToGrid w:val="0"/>
              <w:spacing w:before="15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6</w:t>
            </w:r>
          </w:p>
        </w:tc>
        <w:tc>
          <w:tcPr>
            <w:tcW w:w="936" w:type="dxa"/>
            <w:vAlign w:val="center"/>
          </w:tcPr>
          <w:p w14:paraId="38B072A2">
            <w:pPr>
              <w:snapToGrid w:val="0"/>
              <w:spacing w:before="111" w:line="240" w:lineRule="auto"/>
              <w:ind w:left="0" w:leftChars="0" w:right="0" w:rightChars="0" w:firstLine="0" w:firstLineChars="0"/>
              <w:jc w:val="center"/>
              <w:rPr>
                <w:rFonts w:hint="eastAsia" w:ascii="宋体" w:hAnsi="宋体" w:eastAsia="宋体" w:cs="宋体"/>
                <w:sz w:val="21"/>
                <w:szCs w:val="21"/>
                <w:highlight w:val="magenta"/>
              </w:rPr>
            </w:pPr>
            <w:r>
              <w:rPr>
                <w:rFonts w:hint="eastAsia" w:ascii="宋体" w:hAnsi="宋体" w:eastAsia="宋体" w:cs="宋体"/>
                <w:spacing w:val="1"/>
                <w:sz w:val="21"/>
                <w:szCs w:val="21"/>
                <w:highlight w:val="magenta"/>
              </w:rPr>
              <w:t>19.7(1</w:t>
            </w:r>
            <w:r>
              <w:rPr>
                <w:rFonts w:hint="eastAsia" w:ascii="宋体" w:hAnsi="宋体" w:eastAsia="宋体" w:cs="宋体"/>
                <w:sz w:val="21"/>
                <w:szCs w:val="21"/>
                <w:highlight w:val="magenta"/>
              </w:rPr>
              <w:t>)</w:t>
            </w:r>
          </w:p>
        </w:tc>
        <w:tc>
          <w:tcPr>
            <w:tcW w:w="7226" w:type="dxa"/>
            <w:tcBorders>
              <w:right w:val="single" w:color="000000" w:sz="6" w:space="0"/>
            </w:tcBorders>
            <w:vAlign w:val="center"/>
          </w:tcPr>
          <w:p w14:paraId="73F2E9EB">
            <w:pPr>
              <w:snapToGrid w:val="0"/>
              <w:spacing w:before="160" w:line="240" w:lineRule="auto"/>
              <w:ind w:left="0" w:leftChars="0" w:right="0" w:rightChars="0" w:firstLine="0" w:firstLineChars="0"/>
              <w:jc w:val="left"/>
              <w:rPr>
                <w:rFonts w:hint="eastAsia" w:ascii="宋体" w:hAnsi="宋体" w:eastAsia="宋体" w:cs="宋体"/>
                <w:sz w:val="21"/>
                <w:szCs w:val="21"/>
                <w:highlight w:val="magenta"/>
              </w:rPr>
            </w:pPr>
            <w:r>
              <w:rPr>
                <w:rFonts w:hint="eastAsia" w:ascii="宋体" w:hAnsi="宋体" w:eastAsia="宋体" w:cs="宋体"/>
                <w:spacing w:val="8"/>
                <w:sz w:val="21"/>
                <w:szCs w:val="21"/>
                <w:highlight w:val="magenta"/>
              </w:rPr>
              <w:t>保</w:t>
            </w:r>
            <w:r>
              <w:rPr>
                <w:rFonts w:hint="eastAsia" w:ascii="宋体" w:hAnsi="宋体" w:eastAsia="宋体" w:cs="宋体"/>
                <w:spacing w:val="4"/>
                <w:sz w:val="21"/>
                <w:szCs w:val="21"/>
                <w:highlight w:val="magenta"/>
              </w:rPr>
              <w:t>修期： 自实际交工验收合格之日起计算  12 个月</w:t>
            </w:r>
          </w:p>
        </w:tc>
      </w:tr>
      <w:tr w14:paraId="7B9B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6666F1B5">
            <w:pPr>
              <w:snapToGrid w:val="0"/>
              <w:spacing w:before="58"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7</w:t>
            </w:r>
          </w:p>
        </w:tc>
        <w:tc>
          <w:tcPr>
            <w:tcW w:w="936" w:type="dxa"/>
            <w:vAlign w:val="center"/>
          </w:tcPr>
          <w:p w14:paraId="0B37B48C">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6"/>
                <w:sz w:val="21"/>
                <w:szCs w:val="21"/>
              </w:rPr>
              <w:t>2</w:t>
            </w:r>
            <w:r>
              <w:rPr>
                <w:rFonts w:hint="eastAsia" w:ascii="宋体" w:hAnsi="宋体" w:eastAsia="宋体" w:cs="宋体"/>
                <w:spacing w:val="-4"/>
                <w:sz w:val="21"/>
                <w:szCs w:val="21"/>
              </w:rPr>
              <w:t>0</w:t>
            </w:r>
            <w:r>
              <w:rPr>
                <w:rFonts w:hint="eastAsia" w:ascii="宋体" w:hAnsi="宋体" w:eastAsia="宋体" w:cs="宋体"/>
                <w:spacing w:val="-3"/>
                <w:sz w:val="21"/>
                <w:szCs w:val="21"/>
              </w:rPr>
              <w:t>. 1</w:t>
            </w:r>
          </w:p>
        </w:tc>
        <w:tc>
          <w:tcPr>
            <w:tcW w:w="7226" w:type="dxa"/>
            <w:tcBorders>
              <w:right w:val="single" w:color="000000" w:sz="6" w:space="0"/>
            </w:tcBorders>
            <w:vAlign w:val="center"/>
          </w:tcPr>
          <w:p w14:paraId="4DD3E63A">
            <w:pPr>
              <w:snapToGrid w:val="0"/>
              <w:spacing w:before="158"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建筑工程一切险的投保内容：为本合同工程的永久工程、临时工程和设备及已</w:t>
            </w:r>
            <w:r>
              <w:rPr>
                <w:rFonts w:hint="eastAsia" w:ascii="宋体" w:hAnsi="宋体" w:eastAsia="宋体" w:cs="宋体"/>
                <w:sz w:val="21"/>
                <w:szCs w:val="21"/>
              </w:rPr>
              <w:t xml:space="preserve"> </w:t>
            </w:r>
            <w:r>
              <w:rPr>
                <w:rFonts w:hint="eastAsia" w:ascii="宋体" w:hAnsi="宋体" w:eastAsia="宋体" w:cs="宋体"/>
                <w:spacing w:val="13"/>
                <w:sz w:val="21"/>
                <w:szCs w:val="21"/>
              </w:rPr>
              <w:t>运</w:t>
            </w:r>
            <w:r>
              <w:rPr>
                <w:rFonts w:hint="eastAsia" w:ascii="宋体" w:hAnsi="宋体" w:eastAsia="宋体" w:cs="宋体"/>
                <w:spacing w:val="9"/>
                <w:sz w:val="21"/>
                <w:szCs w:val="21"/>
              </w:rPr>
              <w:t>至施工工地用于永久工程的材料和设备所投的保险。</w:t>
            </w:r>
          </w:p>
          <w:p w14:paraId="4774F2C6">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9"/>
                <w:sz w:val="21"/>
                <w:szCs w:val="21"/>
              </w:rPr>
              <w:t>保险金额：工程量清单全部章节的合计金额</w:t>
            </w:r>
            <w:r>
              <w:rPr>
                <w:rFonts w:hint="eastAsia" w:ascii="宋体" w:hAnsi="宋体" w:eastAsia="宋体" w:cs="宋体"/>
                <w:spacing w:val="8"/>
                <w:sz w:val="21"/>
                <w:szCs w:val="21"/>
              </w:rPr>
              <w:t>。</w:t>
            </w:r>
          </w:p>
          <w:p w14:paraId="072C5567">
            <w:pPr>
              <w:snapToGrid w:val="0"/>
              <w:spacing w:before="115"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7"/>
                <w:sz w:val="21"/>
                <w:szCs w:val="21"/>
              </w:rPr>
              <w:t>保</w:t>
            </w:r>
            <w:r>
              <w:rPr>
                <w:rFonts w:hint="eastAsia" w:ascii="宋体" w:hAnsi="宋体" w:eastAsia="宋体" w:cs="宋体"/>
                <w:spacing w:val="5"/>
                <w:sz w:val="21"/>
                <w:szCs w:val="21"/>
              </w:rPr>
              <w:t>险费率：</w:t>
            </w:r>
            <w:r>
              <w:rPr>
                <w:rFonts w:hint="eastAsia" w:ascii="宋体" w:hAnsi="宋体" w:eastAsia="宋体" w:cs="宋体"/>
                <w:spacing w:val="5"/>
                <w:sz w:val="21"/>
                <w:szCs w:val="21"/>
                <w:u w:val="single" w:color="auto"/>
              </w:rPr>
              <w:t xml:space="preserve">  0.3%  </w:t>
            </w:r>
            <w:r>
              <w:rPr>
                <w:rFonts w:hint="eastAsia" w:ascii="宋体" w:hAnsi="宋体" w:eastAsia="宋体" w:cs="宋体"/>
                <w:spacing w:val="5"/>
                <w:sz w:val="21"/>
                <w:szCs w:val="21"/>
              </w:rPr>
              <w:t>。</w:t>
            </w:r>
          </w:p>
          <w:p w14:paraId="75EB8673">
            <w:pPr>
              <w:snapToGrid w:val="0"/>
              <w:spacing w:before="119"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2"/>
                <w:sz w:val="21"/>
                <w:szCs w:val="21"/>
              </w:rPr>
              <w:t>保险</w:t>
            </w:r>
            <w:r>
              <w:rPr>
                <w:rFonts w:hint="eastAsia" w:ascii="宋体" w:hAnsi="宋体" w:eastAsia="宋体" w:cs="宋体"/>
                <w:spacing w:val="14"/>
                <w:sz w:val="21"/>
                <w:szCs w:val="21"/>
              </w:rPr>
              <w:t>期</w:t>
            </w:r>
            <w:r>
              <w:rPr>
                <w:rFonts w:hint="eastAsia" w:ascii="宋体" w:hAnsi="宋体" w:eastAsia="宋体" w:cs="宋体"/>
                <w:spacing w:val="11"/>
                <w:sz w:val="21"/>
                <w:szCs w:val="21"/>
              </w:rPr>
              <w:t>限：开工日起直至本合同工程签发缺陷责任期终止证书止 (即合同工期</w:t>
            </w:r>
            <w:r>
              <w:rPr>
                <w:rFonts w:hint="eastAsia" w:ascii="宋体" w:hAnsi="宋体" w:eastAsia="宋体" w:cs="宋体"/>
                <w:sz w:val="21"/>
                <w:szCs w:val="21"/>
              </w:rPr>
              <w:t xml:space="preserve"> </w:t>
            </w:r>
            <w:r>
              <w:rPr>
                <w:rFonts w:hint="eastAsia" w:ascii="宋体" w:hAnsi="宋体" w:eastAsia="宋体" w:cs="宋体"/>
                <w:spacing w:val="5"/>
                <w:sz w:val="21"/>
                <w:szCs w:val="21"/>
              </w:rPr>
              <w:t xml:space="preserve">＋缺陷责任期) </w:t>
            </w:r>
            <w:r>
              <w:rPr>
                <w:rFonts w:hint="eastAsia" w:ascii="宋体" w:hAnsi="宋体" w:eastAsia="宋体" w:cs="宋体"/>
                <w:spacing w:val="3"/>
                <w:sz w:val="21"/>
                <w:szCs w:val="21"/>
              </w:rPr>
              <w:t>。</w:t>
            </w:r>
          </w:p>
          <w:p w14:paraId="2B2334C0">
            <w:pPr>
              <w:snapToGrid w:val="0"/>
              <w:spacing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4"/>
                <w:sz w:val="21"/>
                <w:szCs w:val="21"/>
              </w:rPr>
              <w:t>承</w:t>
            </w:r>
            <w:r>
              <w:rPr>
                <w:rFonts w:hint="eastAsia" w:ascii="宋体" w:hAnsi="宋体" w:eastAsia="宋体" w:cs="宋体"/>
                <w:spacing w:val="12"/>
                <w:sz w:val="21"/>
                <w:szCs w:val="21"/>
              </w:rPr>
              <w:t>包人应以发包人和承包人的共同名义投保建筑工程一切险。承包人因办理建</w:t>
            </w:r>
            <w:r>
              <w:rPr>
                <w:rFonts w:hint="eastAsia" w:ascii="宋体" w:hAnsi="宋体" w:eastAsia="宋体" w:cs="宋体"/>
                <w:sz w:val="21"/>
                <w:szCs w:val="21"/>
              </w:rPr>
              <w:t xml:space="preserve"> </w:t>
            </w:r>
            <w:r>
              <w:rPr>
                <w:rFonts w:hint="eastAsia" w:ascii="宋体" w:hAnsi="宋体" w:eastAsia="宋体" w:cs="宋体"/>
                <w:spacing w:val="12"/>
                <w:sz w:val="21"/>
                <w:szCs w:val="21"/>
              </w:rPr>
              <w:t>筑工程一切险所发生的费用应认为已含入其他支付项中，发包人不另行计量，出</w:t>
            </w:r>
            <w:r>
              <w:rPr>
                <w:rFonts w:hint="eastAsia" w:ascii="宋体" w:hAnsi="宋体" w:eastAsia="宋体" w:cs="宋体"/>
                <w:sz w:val="21"/>
                <w:szCs w:val="21"/>
              </w:rPr>
              <w:t xml:space="preserve"> </w:t>
            </w:r>
            <w:r>
              <w:rPr>
                <w:rFonts w:hint="eastAsia" w:ascii="宋体" w:hAnsi="宋体" w:eastAsia="宋体" w:cs="宋体"/>
                <w:spacing w:val="10"/>
                <w:sz w:val="21"/>
                <w:szCs w:val="21"/>
              </w:rPr>
              <w:t>资</w:t>
            </w:r>
            <w:r>
              <w:rPr>
                <w:rFonts w:hint="eastAsia" w:ascii="宋体" w:hAnsi="宋体" w:eastAsia="宋体" w:cs="宋体"/>
                <w:spacing w:val="7"/>
                <w:sz w:val="21"/>
                <w:szCs w:val="21"/>
              </w:rPr>
              <w:t>人不另行支付。</w:t>
            </w:r>
          </w:p>
          <w:p w14:paraId="76A16E1F">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22"/>
                <w:sz w:val="21"/>
                <w:szCs w:val="21"/>
              </w:rPr>
              <w:t>当本</w:t>
            </w:r>
            <w:r>
              <w:rPr>
                <w:rFonts w:hint="eastAsia" w:ascii="宋体" w:hAnsi="宋体" w:eastAsia="宋体" w:cs="宋体"/>
                <w:spacing w:val="12"/>
                <w:sz w:val="21"/>
                <w:szCs w:val="21"/>
              </w:rPr>
              <w:t>合</w:t>
            </w:r>
            <w:r>
              <w:rPr>
                <w:rFonts w:hint="eastAsia" w:ascii="宋体" w:hAnsi="宋体" w:eastAsia="宋体" w:cs="宋体"/>
                <w:spacing w:val="11"/>
                <w:sz w:val="21"/>
                <w:szCs w:val="21"/>
              </w:rPr>
              <w:t>同工程发生损失或损害时，承包人应按保险单规定的条件和期限及时向</w:t>
            </w:r>
            <w:r>
              <w:rPr>
                <w:rFonts w:hint="eastAsia" w:ascii="宋体" w:hAnsi="宋体" w:eastAsia="宋体" w:cs="宋体"/>
                <w:sz w:val="21"/>
                <w:szCs w:val="21"/>
              </w:rPr>
              <w:t xml:space="preserve"> </w:t>
            </w:r>
            <w:r>
              <w:rPr>
                <w:rFonts w:hint="eastAsia" w:ascii="宋体" w:hAnsi="宋体" w:eastAsia="宋体" w:cs="宋体"/>
                <w:spacing w:val="13"/>
                <w:sz w:val="21"/>
                <w:szCs w:val="21"/>
              </w:rPr>
              <w:t>保</w:t>
            </w:r>
            <w:r>
              <w:rPr>
                <w:rFonts w:hint="eastAsia" w:ascii="宋体" w:hAnsi="宋体" w:eastAsia="宋体" w:cs="宋体"/>
                <w:spacing w:val="12"/>
                <w:sz w:val="21"/>
                <w:szCs w:val="21"/>
              </w:rPr>
              <w:t>险人报告，并抄送发包人和监理人。如损害继续发生，承包人在递交第一次报</w:t>
            </w:r>
            <w:r>
              <w:rPr>
                <w:rFonts w:hint="eastAsia" w:ascii="宋体" w:hAnsi="宋体" w:eastAsia="宋体" w:cs="宋体"/>
                <w:sz w:val="21"/>
                <w:szCs w:val="21"/>
              </w:rPr>
              <w:t xml:space="preserve"> </w:t>
            </w:r>
            <w:r>
              <w:rPr>
                <w:rFonts w:hint="eastAsia" w:ascii="宋体" w:hAnsi="宋体" w:eastAsia="宋体" w:cs="宋体"/>
                <w:spacing w:val="10"/>
                <w:sz w:val="21"/>
                <w:szCs w:val="21"/>
              </w:rPr>
              <w:t>告后，每 7 天报告一次，直到损害结束。办理本款所述的保险并不免除合同规</w:t>
            </w:r>
            <w:r>
              <w:rPr>
                <w:rFonts w:hint="eastAsia" w:ascii="宋体" w:hAnsi="宋体" w:eastAsia="宋体" w:cs="宋体"/>
                <w:spacing w:val="8"/>
                <w:sz w:val="21"/>
                <w:szCs w:val="21"/>
              </w:rPr>
              <w:t>定</w:t>
            </w:r>
          </w:p>
          <w:p w14:paraId="50C590BA">
            <w:pPr>
              <w:snapToGrid w:val="0"/>
              <w:spacing w:before="1"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12"/>
                <w:sz w:val="21"/>
                <w:szCs w:val="21"/>
              </w:rPr>
              <w:t>的</w:t>
            </w:r>
            <w:r>
              <w:rPr>
                <w:rFonts w:hint="eastAsia" w:ascii="宋体" w:hAnsi="宋体" w:eastAsia="宋体" w:cs="宋体"/>
                <w:spacing w:val="6"/>
                <w:sz w:val="21"/>
                <w:szCs w:val="21"/>
              </w:rPr>
              <w:t>承包人的义务和责任。</w:t>
            </w:r>
          </w:p>
        </w:tc>
      </w:tr>
      <w:tr w14:paraId="1723C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center"/>
          </w:tcPr>
          <w:p w14:paraId="457A2633">
            <w:pPr>
              <w:snapToGrid w:val="0"/>
              <w:spacing w:before="58"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8</w:t>
            </w:r>
          </w:p>
        </w:tc>
        <w:tc>
          <w:tcPr>
            <w:tcW w:w="936" w:type="dxa"/>
            <w:vAlign w:val="center"/>
          </w:tcPr>
          <w:p w14:paraId="41E2942D">
            <w:pPr>
              <w:snapToGrid w:val="0"/>
              <w:spacing w:before="57"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pacing w:val="3"/>
                <w:sz w:val="21"/>
                <w:szCs w:val="21"/>
              </w:rPr>
              <w:t>20.</w:t>
            </w:r>
            <w:r>
              <w:rPr>
                <w:rFonts w:hint="eastAsia" w:ascii="宋体" w:hAnsi="宋体" w:eastAsia="宋体" w:cs="宋体"/>
                <w:spacing w:val="2"/>
                <w:sz w:val="21"/>
                <w:szCs w:val="21"/>
              </w:rPr>
              <w:t>4</w:t>
            </w:r>
          </w:p>
        </w:tc>
        <w:tc>
          <w:tcPr>
            <w:tcW w:w="7226" w:type="dxa"/>
            <w:tcBorders>
              <w:right w:val="single" w:color="000000" w:sz="6" w:space="0"/>
            </w:tcBorders>
            <w:vAlign w:val="center"/>
          </w:tcPr>
          <w:p w14:paraId="42D32D53">
            <w:pPr>
              <w:snapToGrid w:val="0"/>
              <w:spacing w:before="142" w:line="240" w:lineRule="auto"/>
              <w:ind w:left="0" w:leftChars="0" w:right="0" w:rightChars="0" w:firstLine="0" w:firstLineChars="0"/>
              <w:jc w:val="left"/>
              <w:rPr>
                <w:rFonts w:hint="eastAsia" w:ascii="宋体" w:hAnsi="宋体" w:eastAsia="宋体" w:cs="宋体"/>
                <w:spacing w:val="4"/>
                <w:position w:val="15"/>
                <w:sz w:val="21"/>
                <w:szCs w:val="21"/>
              </w:rPr>
            </w:pPr>
            <w:r>
              <w:rPr>
                <w:rFonts w:hint="eastAsia" w:ascii="宋体" w:hAnsi="宋体" w:eastAsia="宋体" w:cs="宋体"/>
                <w:spacing w:val="8"/>
                <w:position w:val="15"/>
                <w:sz w:val="21"/>
                <w:szCs w:val="21"/>
              </w:rPr>
              <w:t>20.4. 1</w:t>
            </w:r>
            <w:r>
              <w:rPr>
                <w:rFonts w:hint="eastAsia" w:ascii="宋体" w:hAnsi="宋体" w:eastAsia="宋体" w:cs="宋体"/>
                <w:spacing w:val="4"/>
                <w:position w:val="15"/>
                <w:sz w:val="21"/>
                <w:szCs w:val="21"/>
              </w:rPr>
              <w:t xml:space="preserve"> 第三者责任系指在保险期内，对因工程意外事故造成的、依法应由被保险人负责的工地上及毗邻地区的第三者人身伤亡、疾病或财产损失 (本工程除外) ，以及被保险人因此而支付的诉讼费用和事先经保险人书面同意支付的其他费用等 赔偿责任。</w:t>
            </w:r>
          </w:p>
          <w:p w14:paraId="4458B69D">
            <w:pPr>
              <w:snapToGrid w:val="0"/>
              <w:spacing w:before="142" w:line="240" w:lineRule="auto"/>
              <w:ind w:left="0" w:leftChars="0" w:right="0" w:rightChars="0" w:firstLine="0" w:firstLineChars="0"/>
              <w:jc w:val="left"/>
              <w:rPr>
                <w:rFonts w:hint="eastAsia" w:ascii="宋体" w:hAnsi="宋体" w:eastAsia="宋体" w:cs="宋体"/>
                <w:spacing w:val="4"/>
                <w:position w:val="15"/>
                <w:sz w:val="21"/>
                <w:szCs w:val="21"/>
              </w:rPr>
            </w:pPr>
            <w:r>
              <w:rPr>
                <w:rFonts w:hint="eastAsia" w:ascii="宋体" w:hAnsi="宋体" w:eastAsia="宋体" w:cs="宋体"/>
                <w:spacing w:val="4"/>
                <w:position w:val="15"/>
                <w:sz w:val="21"/>
                <w:szCs w:val="21"/>
              </w:rPr>
              <w:t>20.4.2  在缺陷责任期终止证书颁发前，承包人应以承包人和发包人的共同名义， 投保第 20.4. 1 项约定的第三者责任险，其中：</w:t>
            </w:r>
          </w:p>
          <w:p w14:paraId="6BB113FE">
            <w:pPr>
              <w:snapToGrid w:val="0"/>
              <w:spacing w:before="142" w:line="240" w:lineRule="auto"/>
              <w:ind w:left="0" w:leftChars="0" w:right="0" w:rightChars="0" w:firstLine="0" w:firstLineChars="0"/>
              <w:jc w:val="left"/>
              <w:rPr>
                <w:rFonts w:hint="eastAsia" w:ascii="宋体" w:hAnsi="宋体" w:eastAsia="宋体" w:cs="宋体"/>
                <w:spacing w:val="4"/>
                <w:position w:val="15"/>
                <w:sz w:val="21"/>
                <w:szCs w:val="21"/>
              </w:rPr>
            </w:pPr>
            <w:r>
              <w:rPr>
                <w:rFonts w:hint="eastAsia" w:ascii="宋体" w:hAnsi="宋体" w:eastAsia="宋体" w:cs="宋体"/>
                <w:spacing w:val="4"/>
                <w:position w:val="15"/>
                <w:sz w:val="21"/>
                <w:szCs w:val="21"/>
              </w:rPr>
              <w:t>第三者责任险的最低投保金额，规定为：  100 万元 。</w:t>
            </w:r>
          </w:p>
          <w:p w14:paraId="72CFD48F">
            <w:pPr>
              <w:snapToGrid w:val="0"/>
              <w:spacing w:before="142" w:line="240" w:lineRule="auto"/>
              <w:ind w:left="0" w:leftChars="0" w:right="0" w:rightChars="0" w:firstLine="0" w:firstLineChars="0"/>
              <w:jc w:val="left"/>
              <w:rPr>
                <w:rFonts w:hint="eastAsia" w:ascii="宋体" w:hAnsi="宋体" w:eastAsia="宋体" w:cs="宋体"/>
                <w:spacing w:val="4"/>
                <w:position w:val="15"/>
                <w:sz w:val="21"/>
                <w:szCs w:val="21"/>
              </w:rPr>
            </w:pPr>
            <w:r>
              <w:rPr>
                <w:rFonts w:hint="eastAsia" w:ascii="宋体" w:hAnsi="宋体" w:eastAsia="宋体" w:cs="宋体"/>
                <w:spacing w:val="4"/>
                <w:position w:val="15"/>
                <w:sz w:val="21"/>
                <w:szCs w:val="21"/>
              </w:rPr>
              <w:t>保险费率：  0. 1%  。</w:t>
            </w:r>
          </w:p>
          <w:p w14:paraId="44C0B79F">
            <w:pPr>
              <w:snapToGrid w:val="0"/>
              <w:spacing w:before="142" w:line="240" w:lineRule="auto"/>
              <w:ind w:left="0" w:leftChars="0" w:right="0" w:rightChars="0" w:firstLine="0" w:firstLineChars="0"/>
              <w:jc w:val="left"/>
              <w:rPr>
                <w:rFonts w:hint="eastAsia" w:ascii="宋体" w:hAnsi="宋体" w:eastAsia="宋体" w:cs="宋体"/>
                <w:sz w:val="21"/>
                <w:szCs w:val="21"/>
              </w:rPr>
            </w:pPr>
            <w:r>
              <w:rPr>
                <w:rFonts w:hint="eastAsia" w:ascii="宋体" w:hAnsi="宋体" w:eastAsia="宋体" w:cs="宋体"/>
                <w:spacing w:val="4"/>
                <w:position w:val="15"/>
                <w:sz w:val="21"/>
                <w:szCs w:val="21"/>
              </w:rPr>
              <w:t>20.4.3 承包人因办理第三者责任险所发生的费用应认为已含入其他支付项中，发包人不另行计量，出资人不另行支付。</w:t>
            </w:r>
          </w:p>
        </w:tc>
      </w:tr>
      <w:tr w14:paraId="78F58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top"/>
          </w:tcPr>
          <w:p w14:paraId="380BB02E">
            <w:pPr>
              <w:keepNext/>
              <w:snapToGrid w:val="0"/>
              <w:spacing w:line="266" w:lineRule="auto"/>
              <w:rPr>
                <w:rFonts w:hint="eastAsia" w:ascii="宋体" w:hAnsi="宋体" w:eastAsia="宋体" w:cs="宋体"/>
                <w:sz w:val="21"/>
                <w:szCs w:val="21"/>
              </w:rPr>
            </w:pPr>
            <w:bookmarkStart w:id="1715" w:name="_Toc234833222"/>
          </w:p>
          <w:p w14:paraId="6BE5EFB6">
            <w:pPr>
              <w:keepNext/>
              <w:snapToGrid w:val="0"/>
              <w:spacing w:line="266" w:lineRule="auto"/>
              <w:rPr>
                <w:rFonts w:hint="eastAsia" w:ascii="宋体" w:hAnsi="宋体" w:eastAsia="宋体" w:cs="宋体"/>
                <w:sz w:val="21"/>
                <w:szCs w:val="21"/>
              </w:rPr>
            </w:pPr>
          </w:p>
          <w:p w14:paraId="214A24B3">
            <w:pPr>
              <w:keepNext/>
              <w:snapToGrid w:val="0"/>
              <w:spacing w:line="267" w:lineRule="auto"/>
              <w:rPr>
                <w:rFonts w:hint="eastAsia" w:ascii="宋体" w:hAnsi="宋体" w:eastAsia="宋体" w:cs="宋体"/>
                <w:sz w:val="21"/>
                <w:szCs w:val="21"/>
              </w:rPr>
            </w:pPr>
          </w:p>
          <w:p w14:paraId="23CC0A3A">
            <w:pPr>
              <w:keepNext/>
              <w:snapToGrid w:val="0"/>
              <w:spacing w:line="267" w:lineRule="auto"/>
              <w:rPr>
                <w:rFonts w:hint="eastAsia" w:ascii="宋体" w:hAnsi="宋体" w:eastAsia="宋体" w:cs="宋体"/>
                <w:sz w:val="21"/>
                <w:szCs w:val="21"/>
              </w:rPr>
            </w:pPr>
          </w:p>
          <w:p w14:paraId="710EB9C3">
            <w:pPr>
              <w:keepNext/>
              <w:snapToGrid w:val="0"/>
              <w:spacing w:before="57" w:line="195" w:lineRule="auto"/>
              <w:ind w:left="155"/>
              <w:rPr>
                <w:rFonts w:hint="eastAsia" w:ascii="宋体" w:hAnsi="宋体" w:eastAsia="宋体" w:cs="宋体"/>
                <w:sz w:val="21"/>
                <w:szCs w:val="21"/>
                <w:lang w:val="en-US" w:eastAsia="zh-CN"/>
              </w:rPr>
            </w:pPr>
            <w:r>
              <w:rPr>
                <w:rFonts w:hint="eastAsia" w:ascii="宋体" w:hAnsi="宋体" w:eastAsia="宋体" w:cs="宋体"/>
                <w:spacing w:val="3"/>
                <w:sz w:val="21"/>
                <w:szCs w:val="21"/>
              </w:rPr>
              <w:t>4</w:t>
            </w:r>
            <w:r>
              <w:rPr>
                <w:rFonts w:hint="eastAsia" w:ascii="宋体" w:hAnsi="宋体" w:eastAsia="宋体" w:cs="宋体"/>
                <w:spacing w:val="3"/>
                <w:sz w:val="21"/>
                <w:szCs w:val="21"/>
                <w:lang w:val="en-US" w:eastAsia="zh-CN"/>
              </w:rPr>
              <w:t>9</w:t>
            </w:r>
          </w:p>
        </w:tc>
        <w:tc>
          <w:tcPr>
            <w:tcW w:w="936" w:type="dxa"/>
            <w:vAlign w:val="top"/>
          </w:tcPr>
          <w:p w14:paraId="64737760">
            <w:pPr>
              <w:keepNext/>
              <w:snapToGrid w:val="0"/>
              <w:spacing w:line="266" w:lineRule="auto"/>
              <w:rPr>
                <w:rFonts w:hint="eastAsia" w:ascii="宋体" w:hAnsi="宋体" w:eastAsia="宋体" w:cs="宋体"/>
                <w:sz w:val="21"/>
                <w:szCs w:val="21"/>
              </w:rPr>
            </w:pPr>
          </w:p>
          <w:p w14:paraId="7C9ADA9C">
            <w:pPr>
              <w:keepNext/>
              <w:snapToGrid w:val="0"/>
              <w:spacing w:line="266" w:lineRule="auto"/>
              <w:rPr>
                <w:rFonts w:hint="eastAsia" w:ascii="宋体" w:hAnsi="宋体" w:eastAsia="宋体" w:cs="宋体"/>
                <w:sz w:val="21"/>
                <w:szCs w:val="21"/>
              </w:rPr>
            </w:pPr>
          </w:p>
          <w:p w14:paraId="3DA249AF">
            <w:pPr>
              <w:keepNext/>
              <w:snapToGrid w:val="0"/>
              <w:spacing w:line="267" w:lineRule="auto"/>
              <w:rPr>
                <w:rFonts w:hint="eastAsia" w:ascii="宋体" w:hAnsi="宋体" w:eastAsia="宋体" w:cs="宋体"/>
                <w:sz w:val="21"/>
                <w:szCs w:val="21"/>
              </w:rPr>
            </w:pPr>
          </w:p>
          <w:p w14:paraId="43D4A190">
            <w:pPr>
              <w:keepNext/>
              <w:snapToGrid w:val="0"/>
              <w:spacing w:line="267" w:lineRule="auto"/>
              <w:rPr>
                <w:rFonts w:hint="eastAsia" w:ascii="宋体" w:hAnsi="宋体" w:eastAsia="宋体" w:cs="宋体"/>
                <w:sz w:val="21"/>
                <w:szCs w:val="21"/>
              </w:rPr>
            </w:pPr>
          </w:p>
          <w:p w14:paraId="236236E7">
            <w:pPr>
              <w:keepNext/>
              <w:snapToGrid w:val="0"/>
              <w:spacing w:before="58" w:line="195" w:lineRule="auto"/>
              <w:ind w:left="368"/>
              <w:rPr>
                <w:rFonts w:hint="eastAsia" w:ascii="宋体" w:hAnsi="宋体" w:eastAsia="宋体" w:cs="宋体"/>
                <w:sz w:val="21"/>
                <w:szCs w:val="21"/>
              </w:rPr>
            </w:pPr>
            <w:r>
              <w:rPr>
                <w:rFonts w:hint="eastAsia" w:ascii="宋体" w:hAnsi="宋体" w:eastAsia="宋体" w:cs="宋体"/>
                <w:spacing w:val="5"/>
                <w:sz w:val="21"/>
                <w:szCs w:val="21"/>
              </w:rPr>
              <w:t>2</w:t>
            </w:r>
            <w:r>
              <w:rPr>
                <w:rFonts w:hint="eastAsia" w:ascii="宋体" w:hAnsi="宋体" w:eastAsia="宋体" w:cs="宋体"/>
                <w:spacing w:val="4"/>
                <w:sz w:val="21"/>
                <w:szCs w:val="21"/>
              </w:rPr>
              <w:t>0.5</w:t>
            </w:r>
          </w:p>
        </w:tc>
        <w:tc>
          <w:tcPr>
            <w:tcW w:w="7226" w:type="dxa"/>
            <w:tcBorders>
              <w:right w:val="single" w:color="000000" w:sz="6" w:space="0"/>
            </w:tcBorders>
            <w:vAlign w:val="top"/>
          </w:tcPr>
          <w:p w14:paraId="346B3DB5">
            <w:pPr>
              <w:keepNext/>
              <w:snapToGrid w:val="0"/>
              <w:spacing w:before="138" w:line="369" w:lineRule="auto"/>
              <w:ind w:left="109" w:right="104" w:firstLine="235"/>
              <w:rPr>
                <w:rFonts w:hint="eastAsia" w:ascii="宋体" w:hAnsi="宋体" w:eastAsia="宋体" w:cs="宋体"/>
                <w:sz w:val="21"/>
                <w:szCs w:val="21"/>
              </w:rPr>
            </w:pPr>
            <w:r>
              <w:rPr>
                <w:rFonts w:hint="eastAsia" w:ascii="宋体" w:hAnsi="宋体" w:eastAsia="宋体" w:cs="宋体"/>
                <w:spacing w:val="20"/>
                <w:sz w:val="21"/>
                <w:szCs w:val="21"/>
              </w:rPr>
              <w:t>承包</w:t>
            </w:r>
            <w:r>
              <w:rPr>
                <w:rFonts w:hint="eastAsia" w:ascii="宋体" w:hAnsi="宋体" w:eastAsia="宋体" w:cs="宋体"/>
                <w:spacing w:val="14"/>
                <w:sz w:val="21"/>
                <w:szCs w:val="21"/>
              </w:rPr>
              <w:t>人</w:t>
            </w:r>
            <w:r>
              <w:rPr>
                <w:rFonts w:hint="eastAsia" w:ascii="宋体" w:hAnsi="宋体" w:eastAsia="宋体" w:cs="宋体"/>
                <w:spacing w:val="10"/>
                <w:sz w:val="21"/>
                <w:szCs w:val="21"/>
              </w:rPr>
              <w:t>职工的 (人身) 事故险及建筑意外伤害险由承包人自行投保，保险费应</w:t>
            </w:r>
            <w:r>
              <w:rPr>
                <w:rFonts w:hint="eastAsia" w:ascii="宋体" w:hAnsi="宋体" w:eastAsia="宋体" w:cs="宋体"/>
                <w:sz w:val="21"/>
                <w:szCs w:val="21"/>
              </w:rPr>
              <w:t xml:space="preserve"> </w:t>
            </w:r>
            <w:r>
              <w:rPr>
                <w:rFonts w:hint="eastAsia" w:ascii="宋体" w:hAnsi="宋体" w:eastAsia="宋体" w:cs="宋体"/>
                <w:spacing w:val="11"/>
                <w:sz w:val="21"/>
                <w:szCs w:val="21"/>
              </w:rPr>
              <w:t>认</w:t>
            </w:r>
            <w:r>
              <w:rPr>
                <w:rFonts w:hint="eastAsia" w:ascii="宋体" w:hAnsi="宋体" w:eastAsia="宋体" w:cs="宋体"/>
                <w:spacing w:val="9"/>
                <w:sz w:val="21"/>
                <w:szCs w:val="21"/>
              </w:rPr>
              <w:t>为已含入其他支付项中，发包人不另行计量或支付。</w:t>
            </w:r>
          </w:p>
          <w:p w14:paraId="1D7CB18F">
            <w:pPr>
              <w:keepNext/>
              <w:snapToGrid w:val="0"/>
              <w:spacing w:line="369" w:lineRule="auto"/>
              <w:ind w:left="110" w:right="102" w:firstLine="234"/>
              <w:rPr>
                <w:rFonts w:hint="eastAsia" w:ascii="宋体" w:hAnsi="宋体" w:eastAsia="宋体" w:cs="宋体"/>
                <w:sz w:val="21"/>
                <w:szCs w:val="21"/>
                <w:lang w:eastAsia="zh-CN"/>
              </w:rPr>
            </w:pPr>
            <w:r>
              <w:rPr>
                <w:rFonts w:hint="eastAsia" w:ascii="宋体" w:hAnsi="宋体" w:eastAsia="宋体" w:cs="宋体"/>
                <w:spacing w:val="22"/>
                <w:sz w:val="21"/>
                <w:szCs w:val="21"/>
              </w:rPr>
              <w:t>承</w:t>
            </w:r>
            <w:r>
              <w:rPr>
                <w:rFonts w:hint="eastAsia" w:ascii="宋体" w:hAnsi="宋体" w:eastAsia="宋体" w:cs="宋体"/>
                <w:spacing w:val="12"/>
                <w:sz w:val="21"/>
                <w:szCs w:val="21"/>
              </w:rPr>
              <w:t>包</w:t>
            </w:r>
            <w:r>
              <w:rPr>
                <w:rFonts w:hint="eastAsia" w:ascii="宋体" w:hAnsi="宋体" w:eastAsia="宋体" w:cs="宋体"/>
                <w:spacing w:val="11"/>
                <w:sz w:val="21"/>
                <w:szCs w:val="21"/>
              </w:rPr>
              <w:t>人应按《人力资源社会保障部、交通运输部、水利部、能源局、铁路局、</w:t>
            </w:r>
            <w:r>
              <w:rPr>
                <w:rFonts w:hint="eastAsia" w:ascii="宋体" w:hAnsi="宋体" w:eastAsia="宋体" w:cs="宋体"/>
                <w:sz w:val="21"/>
                <w:szCs w:val="21"/>
              </w:rPr>
              <w:t xml:space="preserve"> </w:t>
            </w:r>
            <w:r>
              <w:rPr>
                <w:rFonts w:hint="eastAsia" w:ascii="宋体" w:hAnsi="宋体" w:eastAsia="宋体" w:cs="宋体"/>
                <w:spacing w:val="13"/>
                <w:sz w:val="21"/>
                <w:szCs w:val="21"/>
              </w:rPr>
              <w:t>民</w:t>
            </w:r>
            <w:r>
              <w:rPr>
                <w:rFonts w:hint="eastAsia" w:ascii="宋体" w:hAnsi="宋体" w:eastAsia="宋体" w:cs="宋体"/>
                <w:spacing w:val="12"/>
                <w:sz w:val="21"/>
                <w:szCs w:val="21"/>
              </w:rPr>
              <w:t>航局关于铁路、公路、水运、水利、能源、机场工程建设项目参加工伤保险工</w:t>
            </w:r>
            <w:r>
              <w:rPr>
                <w:rFonts w:hint="eastAsia" w:ascii="宋体" w:hAnsi="宋体" w:eastAsia="宋体" w:cs="宋体"/>
                <w:sz w:val="21"/>
                <w:szCs w:val="21"/>
              </w:rPr>
              <w:t xml:space="preserve"> </w:t>
            </w:r>
            <w:r>
              <w:rPr>
                <w:rFonts w:hint="eastAsia" w:ascii="宋体" w:hAnsi="宋体" w:eastAsia="宋体" w:cs="宋体"/>
                <w:spacing w:val="5"/>
                <w:sz w:val="21"/>
                <w:szCs w:val="21"/>
              </w:rPr>
              <w:t>作</w:t>
            </w:r>
            <w:r>
              <w:rPr>
                <w:rFonts w:hint="eastAsia" w:ascii="宋体" w:hAnsi="宋体" w:eastAsia="宋体" w:cs="宋体"/>
                <w:spacing w:val="4"/>
                <w:sz w:val="21"/>
                <w:szCs w:val="21"/>
              </w:rPr>
              <w:t>的通知》  (人社部发〔2018〕3 号) 文件的规定，在进场施工前，办理相关手续</w:t>
            </w:r>
            <w:r>
              <w:rPr>
                <w:rFonts w:hint="eastAsia" w:ascii="宋体" w:hAnsi="宋体" w:eastAsia="宋体" w:cs="宋体"/>
                <w:spacing w:val="12"/>
                <w:sz w:val="21"/>
                <w:szCs w:val="21"/>
              </w:rPr>
              <w:t>并</w:t>
            </w:r>
            <w:r>
              <w:rPr>
                <w:rFonts w:hint="eastAsia" w:ascii="宋体" w:hAnsi="宋体" w:eastAsia="宋体" w:cs="宋体"/>
                <w:spacing w:val="8"/>
                <w:sz w:val="21"/>
                <w:szCs w:val="21"/>
              </w:rPr>
              <w:t>提交人员参加工伤保险的证明</w:t>
            </w:r>
            <w:r>
              <w:rPr>
                <w:rFonts w:hint="eastAsia" w:ascii="宋体" w:hAnsi="宋体" w:eastAsia="宋体" w:cs="宋体"/>
                <w:spacing w:val="8"/>
                <w:sz w:val="21"/>
                <w:szCs w:val="21"/>
                <w:lang w:eastAsia="zh-CN"/>
              </w:rPr>
              <w:t>。</w:t>
            </w:r>
          </w:p>
        </w:tc>
      </w:tr>
      <w:tr w14:paraId="021B2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5" w:hRule="atLeast"/>
          <w:jc w:val="center"/>
        </w:trPr>
        <w:tc>
          <w:tcPr>
            <w:tcW w:w="657" w:type="dxa"/>
            <w:tcBorders>
              <w:left w:val="single" w:color="000000" w:sz="6" w:space="0"/>
            </w:tcBorders>
            <w:vAlign w:val="top"/>
          </w:tcPr>
          <w:p w14:paraId="5A1A5168">
            <w:pPr>
              <w:keepNext/>
              <w:snapToGrid w:val="0"/>
              <w:spacing w:line="243" w:lineRule="auto"/>
              <w:rPr>
                <w:rFonts w:hint="eastAsia" w:ascii="宋体" w:hAnsi="宋体" w:eastAsia="宋体" w:cs="宋体"/>
                <w:sz w:val="21"/>
                <w:szCs w:val="21"/>
              </w:rPr>
            </w:pPr>
          </w:p>
          <w:p w14:paraId="30A3D592">
            <w:pPr>
              <w:keepNext/>
              <w:snapToGrid w:val="0"/>
              <w:spacing w:line="243" w:lineRule="auto"/>
              <w:rPr>
                <w:rFonts w:hint="eastAsia" w:ascii="宋体" w:hAnsi="宋体" w:eastAsia="宋体" w:cs="宋体"/>
                <w:sz w:val="21"/>
                <w:szCs w:val="21"/>
              </w:rPr>
            </w:pPr>
          </w:p>
          <w:p w14:paraId="694A25A9">
            <w:pPr>
              <w:keepNext/>
              <w:snapToGrid w:val="0"/>
              <w:spacing w:line="243" w:lineRule="auto"/>
              <w:rPr>
                <w:rFonts w:hint="eastAsia" w:ascii="宋体" w:hAnsi="宋体" w:eastAsia="宋体" w:cs="宋体"/>
                <w:sz w:val="21"/>
                <w:szCs w:val="21"/>
              </w:rPr>
            </w:pPr>
          </w:p>
          <w:p w14:paraId="7B0F52E2">
            <w:pPr>
              <w:keepNext/>
              <w:snapToGrid w:val="0"/>
              <w:spacing w:line="243" w:lineRule="auto"/>
              <w:rPr>
                <w:rFonts w:hint="eastAsia" w:ascii="宋体" w:hAnsi="宋体" w:eastAsia="宋体" w:cs="宋体"/>
                <w:sz w:val="21"/>
                <w:szCs w:val="21"/>
              </w:rPr>
            </w:pPr>
          </w:p>
          <w:p w14:paraId="5ACB19EB">
            <w:pPr>
              <w:keepNext/>
              <w:snapToGrid w:val="0"/>
              <w:spacing w:line="243" w:lineRule="auto"/>
              <w:rPr>
                <w:rFonts w:hint="eastAsia" w:ascii="宋体" w:hAnsi="宋体" w:eastAsia="宋体" w:cs="宋体"/>
                <w:sz w:val="21"/>
                <w:szCs w:val="21"/>
              </w:rPr>
            </w:pPr>
          </w:p>
          <w:p w14:paraId="0590D014">
            <w:pPr>
              <w:keepNext/>
              <w:snapToGrid w:val="0"/>
              <w:spacing w:line="243" w:lineRule="auto"/>
              <w:rPr>
                <w:rFonts w:hint="eastAsia" w:ascii="宋体" w:hAnsi="宋体" w:eastAsia="宋体" w:cs="宋体"/>
                <w:sz w:val="21"/>
                <w:szCs w:val="21"/>
              </w:rPr>
            </w:pPr>
          </w:p>
          <w:p w14:paraId="013B6284">
            <w:pPr>
              <w:keepNext/>
              <w:snapToGrid w:val="0"/>
              <w:spacing w:line="243" w:lineRule="auto"/>
              <w:rPr>
                <w:rFonts w:hint="eastAsia" w:ascii="宋体" w:hAnsi="宋体" w:eastAsia="宋体" w:cs="宋体"/>
                <w:sz w:val="21"/>
                <w:szCs w:val="21"/>
              </w:rPr>
            </w:pPr>
          </w:p>
          <w:p w14:paraId="45C7AC70">
            <w:pPr>
              <w:keepNext/>
              <w:snapToGrid w:val="0"/>
              <w:spacing w:line="243" w:lineRule="auto"/>
              <w:rPr>
                <w:rFonts w:hint="eastAsia" w:ascii="宋体" w:hAnsi="宋体" w:eastAsia="宋体" w:cs="宋体"/>
                <w:sz w:val="21"/>
                <w:szCs w:val="21"/>
              </w:rPr>
            </w:pPr>
          </w:p>
          <w:p w14:paraId="1D82DD3C">
            <w:pPr>
              <w:keepNext/>
              <w:snapToGrid w:val="0"/>
              <w:spacing w:line="243" w:lineRule="auto"/>
              <w:rPr>
                <w:rFonts w:hint="eastAsia" w:ascii="宋体" w:hAnsi="宋体" w:eastAsia="宋体" w:cs="宋体"/>
                <w:sz w:val="21"/>
                <w:szCs w:val="21"/>
              </w:rPr>
            </w:pPr>
          </w:p>
          <w:p w14:paraId="1AA3CEAA">
            <w:pPr>
              <w:keepNext/>
              <w:snapToGrid w:val="0"/>
              <w:spacing w:line="243" w:lineRule="auto"/>
              <w:rPr>
                <w:rFonts w:hint="eastAsia" w:ascii="宋体" w:hAnsi="宋体" w:eastAsia="宋体" w:cs="宋体"/>
                <w:sz w:val="21"/>
                <w:szCs w:val="21"/>
              </w:rPr>
            </w:pPr>
          </w:p>
          <w:p w14:paraId="21569045">
            <w:pPr>
              <w:keepNext/>
              <w:snapToGrid w:val="0"/>
              <w:spacing w:line="244" w:lineRule="auto"/>
              <w:rPr>
                <w:rFonts w:hint="eastAsia" w:ascii="宋体" w:hAnsi="宋体" w:eastAsia="宋体" w:cs="宋体"/>
                <w:sz w:val="21"/>
                <w:szCs w:val="21"/>
              </w:rPr>
            </w:pPr>
          </w:p>
          <w:p w14:paraId="5692ABEE">
            <w:pPr>
              <w:keepNext/>
              <w:snapToGrid w:val="0"/>
              <w:spacing w:line="244" w:lineRule="auto"/>
              <w:rPr>
                <w:rFonts w:hint="eastAsia" w:ascii="宋体" w:hAnsi="宋体" w:eastAsia="宋体" w:cs="宋体"/>
                <w:sz w:val="21"/>
                <w:szCs w:val="21"/>
              </w:rPr>
            </w:pPr>
          </w:p>
          <w:p w14:paraId="14AE560E">
            <w:pPr>
              <w:keepNext/>
              <w:snapToGrid w:val="0"/>
              <w:spacing w:line="244" w:lineRule="auto"/>
              <w:rPr>
                <w:rFonts w:hint="eastAsia" w:ascii="宋体" w:hAnsi="宋体" w:eastAsia="宋体" w:cs="宋体"/>
                <w:sz w:val="21"/>
                <w:szCs w:val="21"/>
              </w:rPr>
            </w:pPr>
          </w:p>
          <w:p w14:paraId="240741FE">
            <w:pPr>
              <w:keepNext/>
              <w:snapToGrid w:val="0"/>
              <w:spacing w:line="244" w:lineRule="auto"/>
              <w:rPr>
                <w:rFonts w:hint="eastAsia" w:ascii="宋体" w:hAnsi="宋体" w:eastAsia="宋体" w:cs="宋体"/>
                <w:sz w:val="21"/>
                <w:szCs w:val="21"/>
              </w:rPr>
            </w:pPr>
          </w:p>
          <w:p w14:paraId="1ED90067">
            <w:pPr>
              <w:keepNext/>
              <w:snapToGrid w:val="0"/>
              <w:spacing w:line="244" w:lineRule="auto"/>
              <w:rPr>
                <w:rFonts w:hint="eastAsia" w:ascii="宋体" w:hAnsi="宋体" w:eastAsia="宋体" w:cs="宋体"/>
                <w:sz w:val="21"/>
                <w:szCs w:val="21"/>
              </w:rPr>
            </w:pPr>
          </w:p>
          <w:p w14:paraId="021DD61E">
            <w:pPr>
              <w:keepNext/>
              <w:snapToGrid w:val="0"/>
              <w:spacing w:before="57" w:line="195" w:lineRule="auto"/>
              <w:ind w:left="162"/>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936" w:type="dxa"/>
            <w:vAlign w:val="top"/>
          </w:tcPr>
          <w:p w14:paraId="68D3D4A9">
            <w:pPr>
              <w:keepNext/>
              <w:snapToGrid w:val="0"/>
              <w:spacing w:line="243" w:lineRule="auto"/>
              <w:rPr>
                <w:rFonts w:hint="eastAsia" w:ascii="宋体" w:hAnsi="宋体" w:eastAsia="宋体" w:cs="宋体"/>
                <w:sz w:val="21"/>
                <w:szCs w:val="21"/>
              </w:rPr>
            </w:pPr>
          </w:p>
          <w:p w14:paraId="0E5C4953">
            <w:pPr>
              <w:keepNext/>
              <w:snapToGrid w:val="0"/>
              <w:spacing w:line="243" w:lineRule="auto"/>
              <w:rPr>
                <w:rFonts w:hint="eastAsia" w:ascii="宋体" w:hAnsi="宋体" w:eastAsia="宋体" w:cs="宋体"/>
                <w:sz w:val="21"/>
                <w:szCs w:val="21"/>
              </w:rPr>
            </w:pPr>
          </w:p>
          <w:p w14:paraId="78BCB41D">
            <w:pPr>
              <w:keepNext/>
              <w:snapToGrid w:val="0"/>
              <w:spacing w:line="243" w:lineRule="auto"/>
              <w:rPr>
                <w:rFonts w:hint="eastAsia" w:ascii="宋体" w:hAnsi="宋体" w:eastAsia="宋体" w:cs="宋体"/>
                <w:sz w:val="21"/>
                <w:szCs w:val="21"/>
              </w:rPr>
            </w:pPr>
          </w:p>
          <w:p w14:paraId="3F65D1EB">
            <w:pPr>
              <w:keepNext/>
              <w:snapToGrid w:val="0"/>
              <w:spacing w:line="243" w:lineRule="auto"/>
              <w:rPr>
                <w:rFonts w:hint="eastAsia" w:ascii="宋体" w:hAnsi="宋体" w:eastAsia="宋体" w:cs="宋体"/>
                <w:sz w:val="21"/>
                <w:szCs w:val="21"/>
              </w:rPr>
            </w:pPr>
          </w:p>
          <w:p w14:paraId="3A617FA0">
            <w:pPr>
              <w:keepNext/>
              <w:snapToGrid w:val="0"/>
              <w:spacing w:line="243" w:lineRule="auto"/>
              <w:rPr>
                <w:rFonts w:hint="eastAsia" w:ascii="宋体" w:hAnsi="宋体" w:eastAsia="宋体" w:cs="宋体"/>
                <w:sz w:val="21"/>
                <w:szCs w:val="21"/>
              </w:rPr>
            </w:pPr>
          </w:p>
          <w:p w14:paraId="2C0EBA3D">
            <w:pPr>
              <w:keepNext/>
              <w:snapToGrid w:val="0"/>
              <w:spacing w:line="243" w:lineRule="auto"/>
              <w:rPr>
                <w:rFonts w:hint="eastAsia" w:ascii="宋体" w:hAnsi="宋体" w:eastAsia="宋体" w:cs="宋体"/>
                <w:sz w:val="21"/>
                <w:szCs w:val="21"/>
              </w:rPr>
            </w:pPr>
          </w:p>
          <w:p w14:paraId="542263B3">
            <w:pPr>
              <w:keepNext/>
              <w:snapToGrid w:val="0"/>
              <w:spacing w:line="243" w:lineRule="auto"/>
              <w:rPr>
                <w:rFonts w:hint="eastAsia" w:ascii="宋体" w:hAnsi="宋体" w:eastAsia="宋体" w:cs="宋体"/>
                <w:sz w:val="21"/>
                <w:szCs w:val="21"/>
              </w:rPr>
            </w:pPr>
          </w:p>
          <w:p w14:paraId="0CAB830F">
            <w:pPr>
              <w:keepNext/>
              <w:snapToGrid w:val="0"/>
              <w:spacing w:line="243" w:lineRule="auto"/>
              <w:rPr>
                <w:rFonts w:hint="eastAsia" w:ascii="宋体" w:hAnsi="宋体" w:eastAsia="宋体" w:cs="宋体"/>
                <w:sz w:val="21"/>
                <w:szCs w:val="21"/>
              </w:rPr>
            </w:pPr>
          </w:p>
          <w:p w14:paraId="5635839B">
            <w:pPr>
              <w:keepNext/>
              <w:snapToGrid w:val="0"/>
              <w:spacing w:line="243" w:lineRule="auto"/>
              <w:rPr>
                <w:rFonts w:hint="eastAsia" w:ascii="宋体" w:hAnsi="宋体" w:eastAsia="宋体" w:cs="宋体"/>
                <w:sz w:val="21"/>
                <w:szCs w:val="21"/>
              </w:rPr>
            </w:pPr>
          </w:p>
          <w:p w14:paraId="0B162E4C">
            <w:pPr>
              <w:keepNext/>
              <w:snapToGrid w:val="0"/>
              <w:spacing w:line="243" w:lineRule="auto"/>
              <w:rPr>
                <w:rFonts w:hint="eastAsia" w:ascii="宋体" w:hAnsi="宋体" w:eastAsia="宋体" w:cs="宋体"/>
                <w:sz w:val="21"/>
                <w:szCs w:val="21"/>
              </w:rPr>
            </w:pPr>
          </w:p>
          <w:p w14:paraId="5812F716">
            <w:pPr>
              <w:keepNext/>
              <w:snapToGrid w:val="0"/>
              <w:spacing w:line="244" w:lineRule="auto"/>
              <w:rPr>
                <w:rFonts w:hint="eastAsia" w:ascii="宋体" w:hAnsi="宋体" w:eastAsia="宋体" w:cs="宋体"/>
                <w:sz w:val="21"/>
                <w:szCs w:val="21"/>
              </w:rPr>
            </w:pPr>
          </w:p>
          <w:p w14:paraId="328A6B2E">
            <w:pPr>
              <w:keepNext/>
              <w:snapToGrid w:val="0"/>
              <w:spacing w:line="244" w:lineRule="auto"/>
              <w:rPr>
                <w:rFonts w:hint="eastAsia" w:ascii="宋体" w:hAnsi="宋体" w:eastAsia="宋体" w:cs="宋体"/>
                <w:sz w:val="21"/>
                <w:szCs w:val="21"/>
              </w:rPr>
            </w:pPr>
          </w:p>
          <w:p w14:paraId="1B5A17EC">
            <w:pPr>
              <w:keepNext/>
              <w:snapToGrid w:val="0"/>
              <w:spacing w:line="244" w:lineRule="auto"/>
              <w:rPr>
                <w:rFonts w:hint="eastAsia" w:ascii="宋体" w:hAnsi="宋体" w:eastAsia="宋体" w:cs="宋体"/>
                <w:sz w:val="21"/>
                <w:szCs w:val="21"/>
              </w:rPr>
            </w:pPr>
          </w:p>
          <w:p w14:paraId="6D68505C">
            <w:pPr>
              <w:keepNext/>
              <w:snapToGrid w:val="0"/>
              <w:spacing w:line="244" w:lineRule="auto"/>
              <w:rPr>
                <w:rFonts w:hint="eastAsia" w:ascii="宋体" w:hAnsi="宋体" w:eastAsia="宋体" w:cs="宋体"/>
                <w:sz w:val="21"/>
                <w:szCs w:val="21"/>
              </w:rPr>
            </w:pPr>
          </w:p>
          <w:p w14:paraId="5256D2B1">
            <w:pPr>
              <w:keepNext/>
              <w:snapToGrid w:val="0"/>
              <w:spacing w:line="244" w:lineRule="auto"/>
              <w:rPr>
                <w:rFonts w:hint="eastAsia" w:ascii="宋体" w:hAnsi="宋体" w:eastAsia="宋体" w:cs="宋体"/>
                <w:sz w:val="21"/>
                <w:szCs w:val="21"/>
              </w:rPr>
            </w:pPr>
          </w:p>
          <w:p w14:paraId="6588D675">
            <w:pPr>
              <w:keepNext/>
              <w:snapToGrid w:val="0"/>
              <w:spacing w:before="57" w:line="198" w:lineRule="auto"/>
              <w:rPr>
                <w:rFonts w:hint="eastAsia" w:ascii="宋体" w:hAnsi="宋体" w:eastAsia="宋体" w:cs="宋体"/>
                <w:sz w:val="21"/>
                <w:szCs w:val="21"/>
              </w:rPr>
            </w:pPr>
            <w:r>
              <w:rPr>
                <w:rFonts w:hint="eastAsia" w:ascii="宋体" w:hAnsi="宋体" w:eastAsia="宋体" w:cs="宋体"/>
                <w:spacing w:val="-6"/>
                <w:sz w:val="21"/>
                <w:szCs w:val="21"/>
              </w:rPr>
              <w:t>2</w:t>
            </w:r>
            <w:r>
              <w:rPr>
                <w:rFonts w:hint="eastAsia" w:ascii="宋体" w:hAnsi="宋体" w:eastAsia="宋体" w:cs="宋体"/>
                <w:spacing w:val="-4"/>
                <w:sz w:val="21"/>
                <w:szCs w:val="21"/>
              </w:rPr>
              <w:t>2. 1.2</w:t>
            </w:r>
          </w:p>
        </w:tc>
        <w:tc>
          <w:tcPr>
            <w:tcW w:w="7226" w:type="dxa"/>
            <w:tcBorders>
              <w:right w:val="single" w:color="000000" w:sz="6" w:space="0"/>
            </w:tcBorders>
            <w:vAlign w:val="top"/>
          </w:tcPr>
          <w:p w14:paraId="2CAD789C">
            <w:pPr>
              <w:keepNext/>
              <w:snapToGrid w:val="0"/>
              <w:spacing w:before="139" w:line="228" w:lineRule="auto"/>
              <w:ind w:left="340"/>
              <w:rPr>
                <w:rFonts w:hint="eastAsia" w:ascii="宋体" w:hAnsi="宋体" w:eastAsia="宋体" w:cs="宋体"/>
                <w:sz w:val="21"/>
                <w:szCs w:val="21"/>
              </w:rPr>
            </w:pPr>
            <w:r>
              <w:rPr>
                <w:rFonts w:hint="eastAsia" w:ascii="宋体" w:hAnsi="宋体" w:eastAsia="宋体" w:cs="宋体"/>
                <w:spacing w:val="6"/>
                <w:sz w:val="21"/>
                <w:szCs w:val="21"/>
              </w:rPr>
              <w:t>22.</w:t>
            </w:r>
            <w:r>
              <w:rPr>
                <w:rFonts w:hint="eastAsia" w:ascii="宋体" w:hAnsi="宋体" w:eastAsia="宋体" w:cs="宋体"/>
                <w:spacing w:val="5"/>
                <w:sz w:val="21"/>
                <w:szCs w:val="21"/>
              </w:rPr>
              <w:t xml:space="preserve"> </w:t>
            </w:r>
            <w:r>
              <w:rPr>
                <w:rFonts w:hint="eastAsia" w:ascii="宋体" w:hAnsi="宋体" w:eastAsia="宋体" w:cs="宋体"/>
                <w:spacing w:val="3"/>
                <w:sz w:val="21"/>
                <w:szCs w:val="21"/>
              </w:rPr>
              <w:t>1.2  对承包人违约的处理</w:t>
            </w:r>
          </w:p>
          <w:p w14:paraId="0D704F66">
            <w:pPr>
              <w:keepNext/>
              <w:snapToGrid w:val="0"/>
              <w:spacing w:before="154" w:line="401" w:lineRule="exact"/>
              <w:ind w:left="344"/>
              <w:rPr>
                <w:rFonts w:hint="eastAsia" w:ascii="宋体" w:hAnsi="宋体" w:eastAsia="宋体" w:cs="宋体"/>
                <w:sz w:val="21"/>
                <w:szCs w:val="21"/>
              </w:rPr>
            </w:pPr>
            <w:r>
              <w:rPr>
                <w:rFonts w:hint="eastAsia" w:ascii="宋体" w:hAnsi="宋体" w:eastAsia="宋体" w:cs="宋体"/>
                <w:spacing w:val="3"/>
                <w:position w:val="14"/>
                <w:sz w:val="21"/>
                <w:szCs w:val="21"/>
              </w:rPr>
              <w:t>承包人发生第 22. 1. 1 项 (1) 至 (10) 目约定的违约情况时，发包人可视</w:t>
            </w:r>
            <w:r>
              <w:rPr>
                <w:rFonts w:hint="eastAsia" w:ascii="宋体" w:hAnsi="宋体" w:eastAsia="宋体" w:cs="宋体"/>
                <w:spacing w:val="2"/>
                <w:position w:val="14"/>
                <w:sz w:val="21"/>
                <w:szCs w:val="21"/>
              </w:rPr>
              <w:t>承</w:t>
            </w:r>
            <w:r>
              <w:rPr>
                <w:rFonts w:hint="eastAsia" w:ascii="宋体" w:hAnsi="宋体" w:eastAsia="宋体" w:cs="宋体"/>
                <w:position w:val="14"/>
                <w:sz w:val="21"/>
                <w:szCs w:val="21"/>
              </w:rPr>
              <w:t>包人</w:t>
            </w:r>
          </w:p>
          <w:p w14:paraId="66DA802C">
            <w:pPr>
              <w:keepNext/>
              <w:snapToGrid w:val="0"/>
              <w:spacing w:line="225" w:lineRule="auto"/>
              <w:ind w:left="109"/>
              <w:rPr>
                <w:rFonts w:hint="eastAsia" w:ascii="宋体" w:hAnsi="宋体" w:eastAsia="宋体" w:cs="宋体"/>
                <w:sz w:val="21"/>
                <w:szCs w:val="21"/>
              </w:rPr>
            </w:pPr>
            <w:r>
              <w:rPr>
                <w:rFonts w:hint="eastAsia" w:ascii="宋体" w:hAnsi="宋体" w:eastAsia="宋体" w:cs="宋体"/>
                <w:spacing w:val="9"/>
                <w:sz w:val="21"/>
                <w:szCs w:val="21"/>
              </w:rPr>
              <w:t>违约的具体行为和严重程度采取下列措施之一：</w:t>
            </w:r>
          </w:p>
          <w:p w14:paraId="65CBB0BC">
            <w:pPr>
              <w:keepNext/>
              <w:snapToGrid w:val="0"/>
              <w:spacing w:before="119" w:line="376" w:lineRule="auto"/>
              <w:ind w:left="109" w:right="102" w:firstLine="245"/>
              <w:rPr>
                <w:rFonts w:hint="eastAsia" w:ascii="宋体" w:hAnsi="宋体" w:eastAsia="宋体" w:cs="宋体"/>
                <w:sz w:val="21"/>
                <w:szCs w:val="21"/>
              </w:rPr>
            </w:pPr>
            <w:r>
              <w:rPr>
                <w:rFonts w:hint="eastAsia" w:ascii="宋体" w:hAnsi="宋体" w:eastAsia="宋体" w:cs="宋体"/>
                <w:spacing w:val="20"/>
                <w:sz w:val="21"/>
                <w:szCs w:val="21"/>
              </w:rPr>
              <w:t>(1)</w:t>
            </w:r>
            <w:r>
              <w:rPr>
                <w:rFonts w:hint="eastAsia" w:ascii="宋体" w:hAnsi="宋体" w:eastAsia="宋体" w:cs="宋体"/>
                <w:spacing w:val="10"/>
                <w:sz w:val="21"/>
                <w:szCs w:val="21"/>
              </w:rPr>
              <w:t xml:space="preserve">  发包人可按不超过签约合同价 10%的金额扣缴承包人违约金，即使交纳</w:t>
            </w:r>
            <w:r>
              <w:rPr>
                <w:rFonts w:hint="eastAsia" w:ascii="宋体" w:hAnsi="宋体" w:eastAsia="宋体" w:cs="宋体"/>
                <w:sz w:val="21"/>
                <w:szCs w:val="21"/>
              </w:rPr>
              <w:t xml:space="preserve"> </w:t>
            </w:r>
            <w:r>
              <w:rPr>
                <w:rFonts w:hint="eastAsia" w:ascii="宋体" w:hAnsi="宋体" w:eastAsia="宋体" w:cs="宋体"/>
                <w:spacing w:val="14"/>
                <w:sz w:val="21"/>
                <w:szCs w:val="21"/>
              </w:rPr>
              <w:t>了</w:t>
            </w:r>
            <w:r>
              <w:rPr>
                <w:rFonts w:hint="eastAsia" w:ascii="宋体" w:hAnsi="宋体" w:eastAsia="宋体" w:cs="宋体"/>
                <w:spacing w:val="12"/>
                <w:sz w:val="21"/>
                <w:szCs w:val="21"/>
              </w:rPr>
              <w:t>违约金，承包人仍应按合同规定继续实施和完成本合同工程及其缺陷修复；若</w:t>
            </w:r>
            <w:r>
              <w:rPr>
                <w:rFonts w:hint="eastAsia" w:ascii="宋体" w:hAnsi="宋体" w:eastAsia="宋体" w:cs="宋体"/>
                <w:sz w:val="21"/>
                <w:szCs w:val="21"/>
              </w:rPr>
              <w:t xml:space="preserve"> </w:t>
            </w:r>
            <w:r>
              <w:rPr>
                <w:rFonts w:hint="eastAsia" w:ascii="宋体" w:hAnsi="宋体" w:eastAsia="宋体" w:cs="宋体"/>
                <w:spacing w:val="14"/>
                <w:sz w:val="21"/>
                <w:szCs w:val="21"/>
              </w:rPr>
              <w:t>承</w:t>
            </w:r>
            <w:r>
              <w:rPr>
                <w:rFonts w:hint="eastAsia" w:ascii="宋体" w:hAnsi="宋体" w:eastAsia="宋体" w:cs="宋体"/>
                <w:spacing w:val="12"/>
                <w:sz w:val="21"/>
                <w:szCs w:val="21"/>
              </w:rPr>
              <w:t>包人未经批准擅自撤离工地，发包人除扣除承包人的全部履约担保和剩余工程</w:t>
            </w:r>
            <w:r>
              <w:rPr>
                <w:rFonts w:hint="eastAsia" w:ascii="宋体" w:hAnsi="宋体" w:eastAsia="宋体" w:cs="宋体"/>
                <w:sz w:val="21"/>
                <w:szCs w:val="21"/>
              </w:rPr>
              <w:t xml:space="preserve"> </w:t>
            </w:r>
            <w:r>
              <w:rPr>
                <w:rFonts w:hint="eastAsia" w:ascii="宋体" w:hAnsi="宋体" w:eastAsia="宋体" w:cs="宋体"/>
                <w:spacing w:val="14"/>
                <w:sz w:val="21"/>
                <w:szCs w:val="21"/>
              </w:rPr>
              <w:t>款</w:t>
            </w:r>
            <w:r>
              <w:rPr>
                <w:rFonts w:hint="eastAsia" w:ascii="宋体" w:hAnsi="宋体" w:eastAsia="宋体" w:cs="宋体"/>
                <w:spacing w:val="12"/>
                <w:sz w:val="21"/>
                <w:szCs w:val="21"/>
              </w:rPr>
              <w:t>项之外，并不承担承包人与其它承包人、供货商等的经济纠纷和法律责任，也</w:t>
            </w:r>
            <w:r>
              <w:rPr>
                <w:rFonts w:hint="eastAsia" w:ascii="宋体" w:hAnsi="宋体" w:eastAsia="宋体" w:cs="宋体"/>
                <w:sz w:val="21"/>
                <w:szCs w:val="21"/>
              </w:rPr>
              <w:t xml:space="preserve"> </w:t>
            </w:r>
            <w:r>
              <w:rPr>
                <w:rFonts w:hint="eastAsia" w:ascii="宋体" w:hAnsi="宋体" w:eastAsia="宋体" w:cs="宋体"/>
                <w:spacing w:val="11"/>
                <w:sz w:val="21"/>
                <w:szCs w:val="21"/>
              </w:rPr>
              <w:t>不</w:t>
            </w:r>
            <w:r>
              <w:rPr>
                <w:rFonts w:hint="eastAsia" w:ascii="宋体" w:hAnsi="宋体" w:eastAsia="宋体" w:cs="宋体"/>
                <w:spacing w:val="7"/>
                <w:sz w:val="21"/>
                <w:szCs w:val="21"/>
              </w:rPr>
              <w:t>赔偿任何费用。</w:t>
            </w:r>
          </w:p>
          <w:p w14:paraId="7ED40E4B">
            <w:pPr>
              <w:keepNext/>
              <w:snapToGrid w:val="0"/>
              <w:spacing w:before="1" w:line="369" w:lineRule="auto"/>
              <w:ind w:left="109" w:right="102" w:firstLine="245"/>
              <w:rPr>
                <w:rFonts w:hint="eastAsia" w:ascii="宋体" w:hAnsi="宋体" w:eastAsia="宋体" w:cs="宋体"/>
                <w:sz w:val="21"/>
                <w:szCs w:val="21"/>
              </w:rPr>
            </w:pPr>
            <w:r>
              <w:rPr>
                <w:rFonts w:hint="eastAsia" w:ascii="宋体" w:hAnsi="宋体" w:eastAsia="宋体" w:cs="宋体"/>
                <w:spacing w:val="19"/>
                <w:sz w:val="21"/>
                <w:szCs w:val="21"/>
              </w:rPr>
              <w:t>(</w:t>
            </w:r>
            <w:r>
              <w:rPr>
                <w:rFonts w:hint="eastAsia" w:ascii="宋体" w:hAnsi="宋体" w:eastAsia="宋体" w:cs="宋体"/>
                <w:spacing w:val="13"/>
                <w:sz w:val="21"/>
                <w:szCs w:val="21"/>
              </w:rPr>
              <w:t>2)  发包人可雇用其他承包人完成部分工程。承包人无权对此提出反对意见</w:t>
            </w:r>
            <w:r>
              <w:rPr>
                <w:rFonts w:hint="eastAsia" w:ascii="宋体" w:hAnsi="宋体" w:eastAsia="宋体" w:cs="宋体"/>
                <w:sz w:val="21"/>
                <w:szCs w:val="21"/>
              </w:rPr>
              <w:t xml:space="preserve"> </w:t>
            </w:r>
            <w:r>
              <w:rPr>
                <w:rFonts w:hint="eastAsia" w:ascii="宋体" w:hAnsi="宋体" w:eastAsia="宋体" w:cs="宋体"/>
                <w:spacing w:val="14"/>
                <w:sz w:val="21"/>
                <w:szCs w:val="21"/>
              </w:rPr>
              <w:t>并</w:t>
            </w:r>
            <w:r>
              <w:rPr>
                <w:rFonts w:hint="eastAsia" w:ascii="宋体" w:hAnsi="宋体" w:eastAsia="宋体" w:cs="宋体"/>
                <w:spacing w:val="12"/>
                <w:sz w:val="21"/>
                <w:szCs w:val="21"/>
              </w:rPr>
              <w:t>应按合同规定完成合同工程其余部分的施工和缺陷修复。在这种情况下，发包</w:t>
            </w:r>
            <w:r>
              <w:rPr>
                <w:rFonts w:hint="eastAsia" w:ascii="宋体" w:hAnsi="宋体" w:eastAsia="宋体" w:cs="宋体"/>
                <w:sz w:val="21"/>
                <w:szCs w:val="21"/>
              </w:rPr>
              <w:t xml:space="preserve"> </w:t>
            </w:r>
            <w:r>
              <w:rPr>
                <w:rFonts w:hint="eastAsia" w:ascii="宋体" w:hAnsi="宋体" w:eastAsia="宋体" w:cs="宋体"/>
                <w:spacing w:val="14"/>
                <w:sz w:val="21"/>
                <w:szCs w:val="21"/>
              </w:rPr>
              <w:t>人</w:t>
            </w:r>
            <w:r>
              <w:rPr>
                <w:rFonts w:hint="eastAsia" w:ascii="宋体" w:hAnsi="宋体" w:eastAsia="宋体" w:cs="宋体"/>
                <w:spacing w:val="12"/>
                <w:sz w:val="21"/>
                <w:szCs w:val="21"/>
              </w:rPr>
              <w:t>向承包人支付的合同价格中不应包括由其他承包人完成的那部分工程的价格。</w:t>
            </w:r>
            <w:r>
              <w:rPr>
                <w:rFonts w:hint="eastAsia" w:ascii="宋体" w:hAnsi="宋体" w:eastAsia="宋体" w:cs="宋体"/>
                <w:sz w:val="21"/>
                <w:szCs w:val="21"/>
              </w:rPr>
              <w:t xml:space="preserve"> </w:t>
            </w:r>
            <w:r>
              <w:rPr>
                <w:rFonts w:hint="eastAsia" w:ascii="宋体" w:hAnsi="宋体" w:eastAsia="宋体" w:cs="宋体"/>
                <w:spacing w:val="14"/>
                <w:sz w:val="21"/>
                <w:szCs w:val="21"/>
              </w:rPr>
              <w:t>发</w:t>
            </w:r>
            <w:r>
              <w:rPr>
                <w:rFonts w:hint="eastAsia" w:ascii="宋体" w:hAnsi="宋体" w:eastAsia="宋体" w:cs="宋体"/>
                <w:spacing w:val="12"/>
                <w:sz w:val="21"/>
                <w:szCs w:val="21"/>
              </w:rPr>
              <w:t>包人有权扣除承包人的全部履约担保作为违约金，监理人还应确定由于承包人</w:t>
            </w:r>
            <w:r>
              <w:rPr>
                <w:rFonts w:hint="eastAsia" w:ascii="宋体" w:hAnsi="宋体" w:eastAsia="宋体" w:cs="宋体"/>
                <w:sz w:val="21"/>
                <w:szCs w:val="21"/>
              </w:rPr>
              <w:t xml:space="preserve"> </w:t>
            </w:r>
            <w:r>
              <w:rPr>
                <w:rFonts w:hint="eastAsia" w:ascii="宋体" w:hAnsi="宋体" w:eastAsia="宋体" w:cs="宋体"/>
                <w:spacing w:val="14"/>
                <w:sz w:val="21"/>
                <w:szCs w:val="21"/>
              </w:rPr>
              <w:t>违</w:t>
            </w:r>
            <w:r>
              <w:rPr>
                <w:rFonts w:hint="eastAsia" w:ascii="宋体" w:hAnsi="宋体" w:eastAsia="宋体" w:cs="宋体"/>
                <w:spacing w:val="12"/>
                <w:sz w:val="21"/>
                <w:szCs w:val="21"/>
              </w:rPr>
              <w:t>约而给发包人造成的费用增加和其他损失，报发包人批准后从应付或到期应付</w:t>
            </w:r>
            <w:r>
              <w:rPr>
                <w:rFonts w:hint="eastAsia" w:ascii="宋体" w:hAnsi="宋体" w:eastAsia="宋体" w:cs="宋体"/>
                <w:sz w:val="21"/>
                <w:szCs w:val="21"/>
              </w:rPr>
              <w:t xml:space="preserve"> </w:t>
            </w:r>
            <w:r>
              <w:rPr>
                <w:rFonts w:hint="eastAsia" w:ascii="宋体" w:hAnsi="宋体" w:eastAsia="宋体" w:cs="宋体"/>
                <w:spacing w:val="18"/>
                <w:sz w:val="21"/>
                <w:szCs w:val="21"/>
              </w:rPr>
              <w:t>给</w:t>
            </w:r>
            <w:r>
              <w:rPr>
                <w:rFonts w:hint="eastAsia" w:ascii="宋体" w:hAnsi="宋体" w:eastAsia="宋体" w:cs="宋体"/>
                <w:spacing w:val="12"/>
                <w:sz w:val="21"/>
                <w:szCs w:val="21"/>
              </w:rPr>
              <w:t>承</w:t>
            </w:r>
            <w:r>
              <w:rPr>
                <w:rFonts w:hint="eastAsia" w:ascii="宋体" w:hAnsi="宋体" w:eastAsia="宋体" w:cs="宋体"/>
                <w:spacing w:val="9"/>
                <w:sz w:val="21"/>
                <w:szCs w:val="21"/>
              </w:rPr>
              <w:t>包人的款项中扣除，监理人应将上述决定通知承包人，并抄送发包人；</w:t>
            </w:r>
          </w:p>
          <w:p w14:paraId="09EA22E9">
            <w:pPr>
              <w:keepNext/>
              <w:snapToGrid w:val="0"/>
              <w:spacing w:before="137" w:line="374" w:lineRule="auto"/>
              <w:ind w:left="105" w:right="102" w:firstLine="4"/>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4"/>
                <w:sz w:val="21"/>
                <w:szCs w:val="21"/>
              </w:rPr>
              <w:t>3</w:t>
            </w:r>
            <w:r>
              <w:rPr>
                <w:rFonts w:hint="eastAsia" w:ascii="宋体" w:hAnsi="宋体" w:eastAsia="宋体" w:cs="宋体"/>
                <w:spacing w:val="8"/>
                <w:sz w:val="21"/>
                <w:szCs w:val="21"/>
              </w:rPr>
              <w:t>)  发包人在向承包人发出书面通知的 14 天之后可以进驻现场和接管工程，</w:t>
            </w:r>
            <w:r>
              <w:rPr>
                <w:rFonts w:hint="eastAsia" w:ascii="宋体" w:hAnsi="宋体" w:eastAsia="宋体" w:cs="宋体"/>
                <w:sz w:val="21"/>
                <w:szCs w:val="21"/>
              </w:rPr>
              <w:t xml:space="preserve"> </w:t>
            </w:r>
            <w:r>
              <w:rPr>
                <w:rFonts w:hint="eastAsia" w:ascii="宋体" w:hAnsi="宋体" w:eastAsia="宋体" w:cs="宋体"/>
                <w:spacing w:val="12"/>
                <w:sz w:val="21"/>
                <w:szCs w:val="21"/>
              </w:rPr>
              <w:t>终止承包人对本合同工程的承包，但不因此解除合同规定的承包人的任何义务</w:t>
            </w:r>
            <w:r>
              <w:rPr>
                <w:rFonts w:hint="eastAsia" w:ascii="宋体" w:hAnsi="宋体" w:eastAsia="宋体" w:cs="宋体"/>
                <w:spacing w:val="11"/>
                <w:sz w:val="21"/>
                <w:szCs w:val="21"/>
              </w:rPr>
              <w:t>和</w:t>
            </w:r>
            <w:r>
              <w:rPr>
                <w:rFonts w:hint="eastAsia" w:ascii="宋体" w:hAnsi="宋体" w:eastAsia="宋体" w:cs="宋体"/>
                <w:sz w:val="21"/>
                <w:szCs w:val="21"/>
              </w:rPr>
              <w:t xml:space="preserve"> </w:t>
            </w:r>
            <w:r>
              <w:rPr>
                <w:rFonts w:hint="eastAsia" w:ascii="宋体" w:hAnsi="宋体" w:eastAsia="宋体" w:cs="宋体"/>
                <w:spacing w:val="12"/>
                <w:sz w:val="21"/>
                <w:szCs w:val="21"/>
              </w:rPr>
              <w:t>责任，或影响合同赋予发包人或监理人的各种权利和权限。发包人可自行完成</w:t>
            </w:r>
            <w:r>
              <w:rPr>
                <w:rFonts w:hint="eastAsia" w:ascii="宋体" w:hAnsi="宋体" w:eastAsia="宋体" w:cs="宋体"/>
                <w:spacing w:val="11"/>
                <w:sz w:val="21"/>
                <w:szCs w:val="21"/>
              </w:rPr>
              <w:t>该</w:t>
            </w:r>
            <w:r>
              <w:rPr>
                <w:rFonts w:hint="eastAsia" w:ascii="宋体" w:hAnsi="宋体" w:eastAsia="宋体" w:cs="宋体"/>
                <w:sz w:val="21"/>
                <w:szCs w:val="21"/>
              </w:rPr>
              <w:t xml:space="preserve"> </w:t>
            </w:r>
            <w:r>
              <w:rPr>
                <w:rFonts w:hint="eastAsia" w:ascii="宋体" w:hAnsi="宋体" w:eastAsia="宋体" w:cs="宋体"/>
                <w:spacing w:val="12"/>
                <w:sz w:val="21"/>
                <w:szCs w:val="21"/>
              </w:rPr>
              <w:t>工程，或邀请其他承包人完成该工程。发包人或其他承包人为了完成本工程可</w:t>
            </w:r>
            <w:r>
              <w:rPr>
                <w:rFonts w:hint="eastAsia" w:ascii="宋体" w:hAnsi="宋体" w:eastAsia="宋体" w:cs="宋体"/>
                <w:spacing w:val="11"/>
                <w:sz w:val="21"/>
                <w:szCs w:val="21"/>
              </w:rPr>
              <w:t>以</w:t>
            </w:r>
            <w:r>
              <w:rPr>
                <w:rFonts w:hint="eastAsia" w:ascii="宋体" w:hAnsi="宋体" w:eastAsia="宋体" w:cs="宋体"/>
                <w:spacing w:val="13"/>
                <w:sz w:val="21"/>
                <w:szCs w:val="21"/>
              </w:rPr>
              <w:t>使</w:t>
            </w:r>
            <w:r>
              <w:rPr>
                <w:rFonts w:hint="eastAsia" w:ascii="宋体" w:hAnsi="宋体" w:eastAsia="宋体" w:cs="宋体"/>
                <w:spacing w:val="12"/>
                <w:sz w:val="21"/>
                <w:szCs w:val="21"/>
              </w:rPr>
              <w:t>用任何的承包人设备、临时工程和材料。发包人有权扣除承包人的全部履约担</w:t>
            </w:r>
            <w:r>
              <w:rPr>
                <w:rFonts w:hint="eastAsia" w:ascii="宋体" w:hAnsi="宋体" w:eastAsia="宋体" w:cs="宋体"/>
                <w:spacing w:val="13"/>
                <w:sz w:val="21"/>
                <w:szCs w:val="21"/>
              </w:rPr>
              <w:t>保</w:t>
            </w:r>
            <w:r>
              <w:rPr>
                <w:rFonts w:hint="eastAsia" w:ascii="宋体" w:hAnsi="宋体" w:eastAsia="宋体" w:cs="宋体"/>
                <w:spacing w:val="12"/>
                <w:sz w:val="21"/>
                <w:szCs w:val="21"/>
              </w:rPr>
              <w:t>作为违约金，监理人还应确定由于承包人违约而给发包人造成的费用增加和其</w:t>
            </w:r>
            <w:r>
              <w:rPr>
                <w:rFonts w:hint="eastAsia" w:ascii="宋体" w:hAnsi="宋体" w:eastAsia="宋体" w:cs="宋体"/>
                <w:sz w:val="21"/>
                <w:szCs w:val="21"/>
              </w:rPr>
              <w:t xml:space="preserve"> </w:t>
            </w:r>
            <w:r>
              <w:rPr>
                <w:rFonts w:hint="eastAsia" w:ascii="宋体" w:hAnsi="宋体" w:eastAsia="宋体" w:cs="宋体"/>
                <w:spacing w:val="17"/>
                <w:sz w:val="21"/>
                <w:szCs w:val="21"/>
              </w:rPr>
              <w:t>他</w:t>
            </w:r>
            <w:r>
              <w:rPr>
                <w:rFonts w:hint="eastAsia" w:ascii="宋体" w:hAnsi="宋体" w:eastAsia="宋体" w:cs="宋体"/>
                <w:spacing w:val="12"/>
                <w:sz w:val="21"/>
                <w:szCs w:val="21"/>
              </w:rPr>
              <w:t>损失，报发包人批准后从应付或到期应付给承包人的款项中扣除，监理人应将</w:t>
            </w:r>
            <w:r>
              <w:rPr>
                <w:rFonts w:hint="eastAsia" w:ascii="宋体" w:hAnsi="宋体" w:eastAsia="宋体" w:cs="宋体"/>
                <w:sz w:val="21"/>
                <w:szCs w:val="21"/>
              </w:rPr>
              <w:t xml:space="preserve"> </w:t>
            </w:r>
            <w:r>
              <w:rPr>
                <w:rFonts w:hint="eastAsia" w:ascii="宋体" w:hAnsi="宋体" w:eastAsia="宋体" w:cs="宋体"/>
                <w:spacing w:val="8"/>
                <w:sz w:val="21"/>
                <w:szCs w:val="21"/>
              </w:rPr>
              <w:t xml:space="preserve">上述决定通知承包人，并抄送发包人。合同终止后的有关事宜应按照第 22. 1.4 </w:t>
            </w:r>
            <w:r>
              <w:rPr>
                <w:rFonts w:hint="eastAsia" w:ascii="宋体" w:hAnsi="宋体" w:eastAsia="宋体" w:cs="宋体"/>
                <w:spacing w:val="3"/>
                <w:sz w:val="21"/>
                <w:szCs w:val="21"/>
              </w:rPr>
              <w:t>和</w:t>
            </w:r>
            <w:r>
              <w:rPr>
                <w:rFonts w:hint="eastAsia" w:ascii="宋体" w:hAnsi="宋体" w:eastAsia="宋体" w:cs="宋体"/>
                <w:sz w:val="21"/>
                <w:szCs w:val="21"/>
              </w:rPr>
              <w:t xml:space="preserve"> </w:t>
            </w:r>
            <w:r>
              <w:rPr>
                <w:rFonts w:hint="eastAsia" w:ascii="宋体" w:hAnsi="宋体" w:eastAsia="宋体" w:cs="宋体"/>
                <w:spacing w:val="2"/>
                <w:sz w:val="21"/>
                <w:szCs w:val="21"/>
              </w:rPr>
              <w:t>22. 1.5 款的规定办理</w:t>
            </w:r>
            <w:r>
              <w:rPr>
                <w:rFonts w:hint="eastAsia" w:ascii="宋体" w:hAnsi="宋体" w:eastAsia="宋体" w:cs="宋体"/>
                <w:spacing w:val="1"/>
                <w:sz w:val="21"/>
                <w:szCs w:val="21"/>
              </w:rPr>
              <w:t>。</w:t>
            </w:r>
          </w:p>
          <w:p w14:paraId="1906B5BE">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此外，当承包人发生了下述违约现象之后，发包人可依据下列具体情况扣除承 包人的违约金：</w:t>
            </w:r>
          </w:p>
          <w:p w14:paraId="44909130">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(1) 承包人在监理人规定的截止日前，项目经理、项目总工没有按时进场， 或进场后未经发包人项目指挥部和总监办主任 (或设驻地办的驻地办主任) 批准 又离开工地，发包人将按 10000 元/人 ·天扣除违约金；其他管理人员没有按时进 场，或进场后未经总监办主任 (或设驻地办的驻地办主任) 和承包人项目经理批 准又离开工地，发包人将按 5000 元/人 ·天扣除违约金，直至缺员进场为止。根据 本项规定扣除的违约金累计不得超过签约合同价的2％。</w:t>
            </w:r>
          </w:p>
          <w:p w14:paraId="35BADA1A">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承包人按照监理人规定进场的项目经理、项目总工及其他管理人员每人每月在 岗时间不得少于 22 天，否则发包人将对项目经理、项目总工按 10000 元/人 ·天扣 除违约金，对其他管理人员按 5000 元/人 ·天扣除违约金。根据本项规定扣除的违 约金累计不得超过签约合同价的2％。</w:t>
            </w:r>
          </w:p>
          <w:p w14:paraId="4298FCCC">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承包人按照监理人规定进场的每个专业岗位人员同时离开工地人数不得超过 1 人，否则发包人将按 5000 元/人 ·天扣除违约金。根据本项规定扣除的违约金累计 不得超过签约合同价的2％。</w:t>
            </w:r>
          </w:p>
          <w:p w14:paraId="57F7EE10">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(2) 项目经理每更换一人次将向发包人提交违约金，违约金金额按 5‰签约合 同价计算，但违约金金额应不低于 20 万且不高于 100 万。</w:t>
            </w:r>
          </w:p>
          <w:p w14:paraId="5DC12B14">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(3) 项目总工每更换一人次将向发包人提交违约金，违约金金额按 3‰签约合 同价计算，但违约金金额应不低于 15 万且不高于 80 万。</w:t>
            </w:r>
          </w:p>
          <w:p w14:paraId="0AFAEA5F">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(4) 由于承包人自身原因造成其进场的人员的替换，将按照本项 (2) 、  (3) 目的规定交纳违约金； 由于相关人员不能胜任本职工作、行为不端或玩忽职守而 被监理人按合同条款第 4.7 款规定要求撤换的，除按照本项 (2) 、  (3) 目的规定 交纳违约金外，项目经理或项目总工每更换一人次还应向发包人另行支付 10 万元 的违约金，其他管理人员每更换一人次还应向发包人另行支付 5 万元的违约金。</w:t>
            </w:r>
          </w:p>
          <w:p w14:paraId="0FD05F47">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(5) 承包人在监理人规定的截止日前，合同谈判期间承包人所承诺的主要机 械及试验、测量设备 (如有) 不能按时进场，每迟到 1 天，发包人可按照该设备 的台班费 (以交通运输部现行《预算定额》为准) 的三倍扣除违约金，直到设备 进场为止。</w:t>
            </w:r>
          </w:p>
          <w:p w14:paraId="0B1C06EC">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(6) 在工程实施期间，未经监理人批准，承包人进场的施工机械和材料试验、质检仪器设备撤离现场，发包人可按该设备的重置价值从工程期中支付款中扣除违约金。</w:t>
            </w:r>
          </w:p>
          <w:p w14:paraId="3BF40893">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(7)  在施工期间，承包人若违反施工操作及管理程序，则按 5 万元/次标准扣 除承包人的违约金。</w:t>
            </w:r>
          </w:p>
          <w:p w14:paraId="26564399">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(8)  承包人在施工期间如果在各种报表及检查试验记录中自己作假或诱导监 理人作假，发包人可按每次 1 万~ 10 万元的标准扣除承包人的违约金。</w:t>
            </w:r>
          </w:p>
          <w:p w14:paraId="1BD17F74">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(9)  承包人应无条件接受上级交通主管部门、质量监督部门、发包人监理单 位的质量检查或抽查，如发现承包人出现降低施工标准或偷工减料或出现较大质 量问题，发包人将按每次 10 万元的标准扣除承包人的违约金。</w:t>
            </w:r>
          </w:p>
          <w:p w14:paraId="5BCC39C0">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(10)  承包人在施工期间未能做好环境保护工作，使得周边环境遭到破坏或污 染，经监理人认可后，每次按照 10 万元的标准扣除承包人的违约金。</w:t>
            </w:r>
          </w:p>
          <w:p w14:paraId="4FA68973">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(11)  承包人存在安全问题或有违反安全管理规章制度的情况时，视其情节轻 重，分别给予承包人通报批评、警告、责令停工等处罚，并可扣处 1 万~ 10 万元的 违约金。</w:t>
            </w:r>
          </w:p>
          <w:p w14:paraId="75B3C42B">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(12)  承包人应按劳动合同及时发放薪酬，不得因此影响工程的正常进展及发 包人的声誉。因此造成的劳务纠纷，发包人在收到劳动部门的仲裁结果后，有权 根据仲裁结果从应付给承包人的工程款中代为扣付。对工程的正常进展及发包人 声誉造成影响的，发包人可以向承包人课以 10 万元以内的违约金。</w:t>
            </w:r>
          </w:p>
          <w:p w14:paraId="42F9BC59">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(13)  由于承包人原因导致本工程质量未达到合同约定的目标，将扣除质量保 证金的 20％作为违约金。</w:t>
            </w:r>
          </w:p>
          <w:p w14:paraId="06C207A9">
            <w:pPr>
              <w:keepNext/>
              <w:snapToGrid w:val="0"/>
              <w:spacing w:before="3" w:line="368" w:lineRule="auto"/>
              <w:ind w:left="111" w:right="102" w:firstLine="242"/>
              <w:rPr>
                <w:rFonts w:hint="eastAsia" w:ascii="宋体" w:hAnsi="宋体" w:eastAsia="宋体" w:cs="宋体"/>
                <w:sz w:val="21"/>
                <w:szCs w:val="21"/>
              </w:rPr>
            </w:pPr>
            <w:r>
              <w:rPr>
                <w:rFonts w:hint="eastAsia" w:ascii="宋体" w:hAnsi="宋体" w:eastAsia="宋体" w:cs="宋体"/>
                <w:sz w:val="21"/>
                <w:szCs w:val="21"/>
              </w:rPr>
              <w:t>本款提及的所有违约金 (包括由于承包人违约而给发包人造成的费用增加和其 他损失，下同) 将从期中支付证书中扣除或通知履约保函开具银行支付，直至通 过诉讼手段向承包人进行追索。所有扣缴的违约金将按照《中华人民共和国企业 所得税法》  (中华人民共和国主席令第 63 号) 、《中华人民共和国企业所得税暂 行条例》  (中华人民共和国国务院令第 512 号) 、《基本建设财务规则》  (中华人民共和国财政部令第 81 号) 的相关规定处理。</w:t>
            </w:r>
          </w:p>
        </w:tc>
      </w:tr>
      <w:tr w14:paraId="5C6E7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6" w:hRule="atLeast"/>
          <w:jc w:val="center"/>
        </w:trPr>
        <w:tc>
          <w:tcPr>
            <w:tcW w:w="657" w:type="dxa"/>
            <w:tcBorders>
              <w:left w:val="single" w:color="000000" w:sz="6" w:space="0"/>
            </w:tcBorders>
            <w:vAlign w:val="top"/>
          </w:tcPr>
          <w:p w14:paraId="64964F70">
            <w:pPr>
              <w:keepNext/>
              <w:snapToGrid w:val="0"/>
              <w:spacing w:line="335" w:lineRule="auto"/>
              <w:rPr>
                <w:rFonts w:hint="eastAsia" w:ascii="宋体" w:hAnsi="宋体" w:eastAsia="宋体" w:cs="宋体"/>
                <w:sz w:val="21"/>
                <w:szCs w:val="21"/>
              </w:rPr>
            </w:pPr>
          </w:p>
          <w:p w14:paraId="66C88C54">
            <w:pPr>
              <w:keepNext/>
              <w:snapToGrid w:val="0"/>
              <w:spacing w:line="335" w:lineRule="auto"/>
              <w:rPr>
                <w:rFonts w:hint="eastAsia" w:ascii="宋体" w:hAnsi="宋体" w:eastAsia="宋体" w:cs="宋体"/>
                <w:sz w:val="21"/>
                <w:szCs w:val="21"/>
              </w:rPr>
            </w:pPr>
          </w:p>
          <w:p w14:paraId="15297BE7">
            <w:pPr>
              <w:keepNext/>
              <w:snapToGrid w:val="0"/>
              <w:spacing w:before="58" w:line="195" w:lineRule="auto"/>
              <w:ind w:left="162" w:leftChars="0"/>
              <w:rPr>
                <w:rFonts w:hint="eastAsia" w:ascii="宋体" w:hAnsi="宋体" w:eastAsia="宋体" w:cs="宋体"/>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1</w:t>
            </w:r>
          </w:p>
        </w:tc>
        <w:tc>
          <w:tcPr>
            <w:tcW w:w="936" w:type="dxa"/>
            <w:vAlign w:val="top"/>
          </w:tcPr>
          <w:p w14:paraId="39961A6B">
            <w:pPr>
              <w:keepNext/>
              <w:snapToGrid w:val="0"/>
              <w:spacing w:line="335" w:lineRule="auto"/>
              <w:rPr>
                <w:rFonts w:hint="eastAsia" w:ascii="宋体" w:hAnsi="宋体" w:eastAsia="宋体" w:cs="宋体"/>
                <w:sz w:val="21"/>
                <w:szCs w:val="21"/>
              </w:rPr>
            </w:pPr>
          </w:p>
          <w:p w14:paraId="48315908">
            <w:pPr>
              <w:keepNext/>
              <w:snapToGrid w:val="0"/>
              <w:spacing w:line="335" w:lineRule="auto"/>
              <w:rPr>
                <w:rFonts w:hint="eastAsia" w:ascii="宋体" w:hAnsi="宋体" w:eastAsia="宋体" w:cs="宋体"/>
                <w:sz w:val="21"/>
                <w:szCs w:val="21"/>
              </w:rPr>
            </w:pPr>
          </w:p>
          <w:p w14:paraId="3625ED81">
            <w:pPr>
              <w:keepNext/>
              <w:snapToGrid w:val="0"/>
              <w:spacing w:before="58" w:line="198" w:lineRule="auto"/>
              <w:ind w:left="263" w:leftChars="0"/>
              <w:rPr>
                <w:rFonts w:hint="eastAsia" w:ascii="宋体" w:hAnsi="宋体" w:eastAsia="宋体" w:cs="宋体"/>
                <w:spacing w:val="-6"/>
                <w:sz w:val="21"/>
                <w:szCs w:val="21"/>
              </w:rPr>
            </w:pPr>
            <w:r>
              <w:rPr>
                <w:rFonts w:hint="eastAsia" w:ascii="宋体" w:hAnsi="宋体" w:eastAsia="宋体" w:cs="宋体"/>
                <w:spacing w:val="6"/>
                <w:sz w:val="21"/>
                <w:szCs w:val="21"/>
              </w:rPr>
              <w:t>2</w:t>
            </w:r>
            <w:r>
              <w:rPr>
                <w:rFonts w:hint="eastAsia" w:ascii="宋体" w:hAnsi="宋体" w:eastAsia="宋体" w:cs="宋体"/>
                <w:spacing w:val="5"/>
                <w:sz w:val="21"/>
                <w:szCs w:val="21"/>
              </w:rPr>
              <w:t>2.2.2</w:t>
            </w:r>
          </w:p>
        </w:tc>
        <w:tc>
          <w:tcPr>
            <w:tcW w:w="7226" w:type="dxa"/>
            <w:tcBorders>
              <w:right w:val="single" w:color="000000" w:sz="6" w:space="0"/>
            </w:tcBorders>
            <w:vAlign w:val="top"/>
          </w:tcPr>
          <w:p w14:paraId="14858532">
            <w:pPr>
              <w:keepNext/>
              <w:snapToGrid w:val="0"/>
              <w:spacing w:before="142" w:line="369" w:lineRule="auto"/>
              <w:ind w:left="109" w:leftChars="0" w:right="102" w:rightChars="0" w:firstLine="238" w:firstLineChars="0"/>
              <w:rPr>
                <w:rFonts w:hint="eastAsia" w:ascii="宋体" w:hAnsi="宋体" w:eastAsia="宋体" w:cs="宋体"/>
                <w:sz w:val="21"/>
                <w:szCs w:val="21"/>
              </w:rPr>
            </w:pPr>
            <w:r>
              <w:rPr>
                <w:rFonts w:hint="eastAsia" w:ascii="宋体" w:hAnsi="宋体" w:eastAsia="宋体" w:cs="宋体"/>
                <w:spacing w:val="18"/>
                <w:sz w:val="21"/>
                <w:szCs w:val="21"/>
              </w:rPr>
              <w:t>如</w:t>
            </w:r>
            <w:r>
              <w:rPr>
                <w:rFonts w:hint="eastAsia" w:ascii="宋体" w:hAnsi="宋体" w:eastAsia="宋体" w:cs="宋体"/>
                <w:spacing w:val="11"/>
                <w:sz w:val="21"/>
                <w:szCs w:val="21"/>
              </w:rPr>
              <w:t>承包人采用现金形式向发包人提交履约保证金或质量保证金时，发包人无正</w:t>
            </w:r>
            <w:r>
              <w:rPr>
                <w:rFonts w:hint="eastAsia" w:ascii="宋体" w:hAnsi="宋体" w:eastAsia="宋体" w:cs="宋体"/>
                <w:sz w:val="21"/>
                <w:szCs w:val="21"/>
              </w:rPr>
              <w:t xml:space="preserve"> </w:t>
            </w:r>
            <w:r>
              <w:rPr>
                <w:rFonts w:hint="eastAsia" w:ascii="宋体" w:hAnsi="宋体" w:eastAsia="宋体" w:cs="宋体"/>
                <w:spacing w:val="22"/>
                <w:sz w:val="21"/>
                <w:szCs w:val="21"/>
              </w:rPr>
              <w:t>当理</w:t>
            </w:r>
            <w:r>
              <w:rPr>
                <w:rFonts w:hint="eastAsia" w:ascii="宋体" w:hAnsi="宋体" w:eastAsia="宋体" w:cs="宋体"/>
                <w:spacing w:val="15"/>
                <w:sz w:val="21"/>
                <w:szCs w:val="21"/>
              </w:rPr>
              <w:t>由</w:t>
            </w:r>
            <w:r>
              <w:rPr>
                <w:rFonts w:hint="eastAsia" w:ascii="宋体" w:hAnsi="宋体" w:eastAsia="宋体" w:cs="宋体"/>
                <w:spacing w:val="11"/>
                <w:sz w:val="21"/>
                <w:szCs w:val="21"/>
              </w:rPr>
              <w:t>不按时返还的，发包人应向承包人支付的违约金：</w:t>
            </w:r>
            <w:r>
              <w:rPr>
                <w:rFonts w:hint="eastAsia" w:ascii="宋体" w:hAnsi="宋体" w:eastAsia="宋体" w:cs="宋体"/>
                <w:spacing w:val="11"/>
                <w:sz w:val="21"/>
                <w:szCs w:val="21"/>
                <w:u w:val="single" w:color="auto"/>
              </w:rPr>
              <w:t xml:space="preserve">  按照中国人民银行公</w:t>
            </w:r>
            <w:r>
              <w:rPr>
                <w:rFonts w:hint="eastAsia" w:ascii="宋体" w:hAnsi="宋体" w:eastAsia="宋体" w:cs="宋体"/>
                <w:sz w:val="21"/>
                <w:szCs w:val="21"/>
              </w:rPr>
              <w:t xml:space="preserve"> </w:t>
            </w:r>
            <w:r>
              <w:rPr>
                <w:rFonts w:hint="eastAsia" w:ascii="宋体" w:hAnsi="宋体" w:eastAsia="宋体" w:cs="宋体"/>
                <w:spacing w:val="11"/>
                <w:sz w:val="21"/>
                <w:szCs w:val="21"/>
                <w:u w:val="single" w:color="auto"/>
              </w:rPr>
              <w:t xml:space="preserve">布的一年以内 (含一年) 同期同类金融机构人民币贷款基准利率 (不计复利) </w:t>
            </w:r>
            <w:r>
              <w:rPr>
                <w:rFonts w:hint="eastAsia" w:ascii="宋体" w:hAnsi="宋体" w:eastAsia="宋体" w:cs="宋体"/>
                <w:spacing w:val="4"/>
                <w:sz w:val="21"/>
                <w:szCs w:val="21"/>
                <w:u w:val="single" w:color="auto"/>
              </w:rPr>
              <w:t>加</w:t>
            </w:r>
            <w:r>
              <w:rPr>
                <w:rFonts w:hint="eastAsia" w:ascii="宋体" w:hAnsi="宋体" w:eastAsia="宋体" w:cs="宋体"/>
                <w:spacing w:val="13"/>
                <w:sz w:val="21"/>
                <w:szCs w:val="21"/>
                <w:u w:val="single" w:color="auto"/>
              </w:rPr>
              <w:t>手</w:t>
            </w:r>
            <w:r>
              <w:rPr>
                <w:rFonts w:hint="eastAsia" w:ascii="宋体" w:hAnsi="宋体" w:eastAsia="宋体" w:cs="宋体"/>
                <w:spacing w:val="12"/>
                <w:sz w:val="21"/>
                <w:szCs w:val="21"/>
                <w:u w:val="single" w:color="auto"/>
              </w:rPr>
              <w:t>续费。</w:t>
            </w:r>
          </w:p>
        </w:tc>
      </w:tr>
      <w:tr w14:paraId="1FE47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top"/>
          </w:tcPr>
          <w:p w14:paraId="59F6902F">
            <w:pPr>
              <w:keepNext/>
              <w:snapToGrid w:val="0"/>
              <w:spacing w:line="273" w:lineRule="auto"/>
              <w:rPr>
                <w:rFonts w:hint="eastAsia" w:ascii="宋体" w:hAnsi="宋体" w:eastAsia="宋体" w:cs="宋体"/>
                <w:sz w:val="21"/>
                <w:szCs w:val="21"/>
              </w:rPr>
            </w:pPr>
          </w:p>
          <w:p w14:paraId="6D5C4B63">
            <w:pPr>
              <w:keepNext/>
              <w:snapToGrid w:val="0"/>
              <w:spacing w:before="58" w:line="195" w:lineRule="auto"/>
              <w:ind w:left="162" w:leftChars="0"/>
              <w:rPr>
                <w:rFonts w:hint="eastAsia" w:ascii="宋体" w:hAnsi="宋体" w:eastAsia="宋体" w:cs="宋体"/>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2</w:t>
            </w:r>
          </w:p>
        </w:tc>
        <w:tc>
          <w:tcPr>
            <w:tcW w:w="936" w:type="dxa"/>
            <w:vAlign w:val="top"/>
          </w:tcPr>
          <w:p w14:paraId="6778A1D6">
            <w:pPr>
              <w:keepNext/>
              <w:snapToGrid w:val="0"/>
              <w:spacing w:line="273" w:lineRule="auto"/>
              <w:rPr>
                <w:rFonts w:hint="eastAsia" w:ascii="宋体" w:hAnsi="宋体" w:eastAsia="宋体" w:cs="宋体"/>
                <w:sz w:val="21"/>
                <w:szCs w:val="21"/>
              </w:rPr>
            </w:pPr>
          </w:p>
          <w:p w14:paraId="2C20EF2F">
            <w:pPr>
              <w:keepNext/>
              <w:snapToGrid w:val="0"/>
              <w:spacing w:before="58" w:line="198" w:lineRule="auto"/>
              <w:ind w:left="368" w:leftChars="0"/>
              <w:rPr>
                <w:rFonts w:hint="eastAsia" w:ascii="宋体" w:hAnsi="宋体" w:eastAsia="宋体" w:cs="宋体"/>
                <w:spacing w:val="-6"/>
                <w:sz w:val="21"/>
                <w:szCs w:val="21"/>
              </w:rPr>
            </w:pPr>
            <w:r>
              <w:rPr>
                <w:rFonts w:hint="eastAsia" w:ascii="宋体" w:hAnsi="宋体" w:eastAsia="宋体" w:cs="宋体"/>
                <w:spacing w:val="-6"/>
                <w:sz w:val="21"/>
                <w:szCs w:val="21"/>
              </w:rPr>
              <w:t>2</w:t>
            </w:r>
            <w:r>
              <w:rPr>
                <w:rFonts w:hint="eastAsia" w:ascii="宋体" w:hAnsi="宋体" w:eastAsia="宋体" w:cs="宋体"/>
                <w:spacing w:val="-4"/>
                <w:sz w:val="21"/>
                <w:szCs w:val="21"/>
              </w:rPr>
              <w:t>4</w:t>
            </w:r>
            <w:r>
              <w:rPr>
                <w:rFonts w:hint="eastAsia" w:ascii="宋体" w:hAnsi="宋体" w:eastAsia="宋体" w:cs="宋体"/>
                <w:spacing w:val="-3"/>
                <w:sz w:val="21"/>
                <w:szCs w:val="21"/>
              </w:rPr>
              <w:t>. 1</w:t>
            </w:r>
          </w:p>
        </w:tc>
        <w:tc>
          <w:tcPr>
            <w:tcW w:w="7226" w:type="dxa"/>
            <w:tcBorders>
              <w:right w:val="single" w:color="000000" w:sz="6" w:space="0"/>
            </w:tcBorders>
            <w:vAlign w:val="top"/>
          </w:tcPr>
          <w:p w14:paraId="68ECD16D">
            <w:pPr>
              <w:keepNext/>
              <w:snapToGrid w:val="0"/>
              <w:spacing w:before="143" w:line="227" w:lineRule="auto"/>
              <w:ind w:left="322"/>
              <w:rPr>
                <w:rFonts w:hint="eastAsia" w:ascii="宋体" w:hAnsi="宋体" w:eastAsia="宋体" w:cs="宋体"/>
                <w:sz w:val="21"/>
                <w:szCs w:val="21"/>
              </w:rPr>
            </w:pPr>
            <w:r>
              <w:rPr>
                <w:rFonts w:hint="eastAsia" w:ascii="宋体" w:hAnsi="宋体" w:eastAsia="宋体" w:cs="宋体"/>
                <w:spacing w:val="6"/>
                <w:sz w:val="21"/>
                <w:szCs w:val="21"/>
              </w:rPr>
              <w:t>争</w:t>
            </w:r>
            <w:r>
              <w:rPr>
                <w:rFonts w:hint="eastAsia" w:ascii="宋体" w:hAnsi="宋体" w:eastAsia="宋体" w:cs="宋体"/>
                <w:spacing w:val="5"/>
                <w:sz w:val="21"/>
                <w:szCs w:val="21"/>
              </w:rPr>
              <w:t>议的最终解决方式，规定为：</w:t>
            </w:r>
            <w:r>
              <w:rPr>
                <w:rFonts w:hint="eastAsia" w:ascii="宋体" w:hAnsi="宋体" w:eastAsia="宋体" w:cs="宋体"/>
                <w:spacing w:val="5"/>
                <w:sz w:val="21"/>
                <w:szCs w:val="21"/>
                <w:u w:val="single" w:color="auto"/>
              </w:rPr>
              <w:t xml:space="preserve">  仲裁</w:t>
            </w:r>
            <w:r>
              <w:rPr>
                <w:rFonts w:hint="eastAsia" w:ascii="宋体" w:hAnsi="宋体" w:eastAsia="宋体" w:cs="宋体"/>
                <w:sz w:val="21"/>
                <w:szCs w:val="21"/>
                <w:u w:val="single" w:color="auto"/>
              </w:rPr>
              <w:t xml:space="preserve">  </w:t>
            </w:r>
          </w:p>
          <w:p w14:paraId="4AE379C7">
            <w:pPr>
              <w:keepNext/>
              <w:snapToGrid w:val="0"/>
              <w:spacing w:before="155" w:line="224" w:lineRule="auto"/>
              <w:ind w:left="317" w:leftChars="0"/>
              <w:rPr>
                <w:rFonts w:hint="eastAsia" w:ascii="宋体" w:hAnsi="宋体" w:eastAsia="宋体" w:cs="宋体"/>
                <w:sz w:val="21"/>
                <w:szCs w:val="21"/>
              </w:rPr>
            </w:pPr>
            <w:r>
              <w:rPr>
                <w:rFonts w:hint="eastAsia" w:ascii="宋体" w:hAnsi="宋体" w:eastAsia="宋体" w:cs="宋体"/>
                <w:spacing w:val="14"/>
                <w:sz w:val="21"/>
                <w:szCs w:val="21"/>
              </w:rPr>
              <w:t>采</w:t>
            </w:r>
            <w:r>
              <w:rPr>
                <w:rFonts w:hint="eastAsia" w:ascii="宋体" w:hAnsi="宋体" w:eastAsia="宋体" w:cs="宋体"/>
                <w:spacing w:val="9"/>
                <w:sz w:val="21"/>
                <w:szCs w:val="21"/>
              </w:rPr>
              <w:t>用</w:t>
            </w:r>
            <w:r>
              <w:rPr>
                <w:rFonts w:hint="eastAsia" w:ascii="宋体" w:hAnsi="宋体" w:eastAsia="宋体" w:cs="宋体"/>
                <w:spacing w:val="7"/>
                <w:sz w:val="21"/>
                <w:szCs w:val="21"/>
              </w:rPr>
              <w:t>仲裁的仲裁委员会名称，规定为：</w:t>
            </w:r>
            <w:r>
              <w:rPr>
                <w:rFonts w:hint="eastAsia" w:ascii="宋体" w:hAnsi="宋体" w:eastAsia="宋体" w:cs="宋体"/>
                <w:spacing w:val="7"/>
                <w:sz w:val="21"/>
                <w:szCs w:val="21"/>
                <w:u w:val="single" w:color="auto"/>
              </w:rPr>
              <w:t xml:space="preserve">  发包人所在地仲裁委员会</w:t>
            </w:r>
            <w:r>
              <w:rPr>
                <w:rFonts w:hint="eastAsia" w:ascii="宋体" w:hAnsi="宋体" w:eastAsia="宋体" w:cs="宋体"/>
                <w:sz w:val="21"/>
                <w:szCs w:val="21"/>
                <w:u w:val="single" w:color="auto"/>
              </w:rPr>
              <w:t xml:space="preserve">  </w:t>
            </w:r>
          </w:p>
        </w:tc>
      </w:tr>
      <w:tr w14:paraId="217A1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657" w:type="dxa"/>
            <w:tcBorders>
              <w:left w:val="single" w:color="000000" w:sz="6" w:space="0"/>
            </w:tcBorders>
            <w:vAlign w:val="top"/>
          </w:tcPr>
          <w:p w14:paraId="0BE47280">
            <w:pPr>
              <w:keepNext/>
              <w:snapToGrid w:val="0"/>
              <w:spacing w:before="135" w:line="195" w:lineRule="auto"/>
              <w:ind w:left="162" w:leftChars="0"/>
              <w:rPr>
                <w:rFonts w:hint="eastAsia" w:ascii="宋体" w:hAnsi="宋体" w:eastAsia="宋体" w:cs="宋体"/>
                <w:sz w:val="21"/>
                <w:szCs w:val="21"/>
                <w:lang w:val="en-US" w:eastAsia="zh-CN"/>
              </w:rPr>
            </w:pPr>
            <w:r>
              <w:rPr>
                <w:rFonts w:hint="eastAsia" w:ascii="宋体" w:hAnsi="宋体" w:eastAsia="宋体" w:cs="宋体"/>
                <w:sz w:val="21"/>
                <w:szCs w:val="21"/>
              </w:rPr>
              <w:t>5</w:t>
            </w:r>
            <w:r>
              <w:rPr>
                <w:rFonts w:hint="eastAsia" w:ascii="宋体" w:hAnsi="宋体" w:eastAsia="宋体" w:cs="宋体"/>
                <w:sz w:val="21"/>
                <w:szCs w:val="21"/>
                <w:lang w:val="en-US" w:eastAsia="zh-CN"/>
              </w:rPr>
              <w:t>3</w:t>
            </w:r>
          </w:p>
        </w:tc>
        <w:tc>
          <w:tcPr>
            <w:tcW w:w="936" w:type="dxa"/>
            <w:vAlign w:val="top"/>
          </w:tcPr>
          <w:p w14:paraId="5EBCC71B">
            <w:pPr>
              <w:keepNext/>
              <w:snapToGrid w:val="0"/>
              <w:spacing w:before="135" w:line="195" w:lineRule="auto"/>
              <w:ind w:left="445" w:leftChars="0"/>
              <w:rPr>
                <w:rFonts w:hint="eastAsia" w:ascii="宋体" w:hAnsi="宋体" w:eastAsia="宋体" w:cs="宋体"/>
                <w:spacing w:val="-6"/>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5</w:t>
            </w:r>
          </w:p>
        </w:tc>
        <w:tc>
          <w:tcPr>
            <w:tcW w:w="7226" w:type="dxa"/>
            <w:tcBorders>
              <w:right w:val="single" w:color="000000" w:sz="6" w:space="0"/>
            </w:tcBorders>
            <w:vAlign w:val="top"/>
          </w:tcPr>
          <w:p w14:paraId="0CF7D0CD">
            <w:pPr>
              <w:keepNext/>
              <w:snapToGrid w:val="0"/>
              <w:spacing w:before="138" w:line="228" w:lineRule="auto"/>
              <w:ind w:left="114"/>
              <w:rPr>
                <w:rFonts w:hint="eastAsia" w:ascii="宋体" w:hAnsi="宋体" w:eastAsia="宋体" w:cs="宋体"/>
                <w:sz w:val="21"/>
                <w:szCs w:val="21"/>
              </w:rPr>
            </w:pPr>
            <w:r>
              <w:rPr>
                <w:rFonts w:hint="eastAsia" w:ascii="宋体" w:hAnsi="宋体" w:eastAsia="宋体" w:cs="宋体"/>
                <w:spacing w:val="16"/>
                <w:sz w:val="21"/>
                <w:szCs w:val="21"/>
              </w:rPr>
              <w:t>为加</w:t>
            </w:r>
            <w:r>
              <w:rPr>
                <w:rFonts w:hint="eastAsia" w:ascii="宋体" w:hAnsi="宋体" w:eastAsia="宋体" w:cs="宋体"/>
                <w:spacing w:val="15"/>
                <w:sz w:val="21"/>
                <w:szCs w:val="21"/>
              </w:rPr>
              <w:t>强</w:t>
            </w:r>
            <w:r>
              <w:rPr>
                <w:rFonts w:hint="eastAsia" w:ascii="宋体" w:hAnsi="宋体" w:eastAsia="宋体" w:cs="宋体"/>
                <w:spacing w:val="8"/>
                <w:sz w:val="21"/>
                <w:szCs w:val="21"/>
              </w:rPr>
              <w:t>安全生产管理工作，规范本工程交通封闭作业行为，在合同执行过程中，</w:t>
            </w:r>
            <w:r>
              <w:rPr>
                <w:rFonts w:hint="eastAsia" w:ascii="宋体" w:hAnsi="宋体" w:eastAsia="宋体" w:cs="宋体"/>
                <w:spacing w:val="14"/>
                <w:sz w:val="21"/>
                <w:szCs w:val="21"/>
              </w:rPr>
              <w:t>结</w:t>
            </w:r>
            <w:r>
              <w:rPr>
                <w:rFonts w:hint="eastAsia" w:ascii="宋体" w:hAnsi="宋体" w:eastAsia="宋体" w:cs="宋体"/>
                <w:spacing w:val="9"/>
                <w:sz w:val="21"/>
                <w:szCs w:val="21"/>
              </w:rPr>
              <w:t>合项目施工特点，严格按照相关要求开展道路交通封闭施工作业。</w:t>
            </w:r>
          </w:p>
          <w:p w14:paraId="2D41CD46">
            <w:pPr>
              <w:keepNext/>
              <w:snapToGrid w:val="0"/>
              <w:spacing w:before="153" w:line="369" w:lineRule="auto"/>
              <w:ind w:left="109" w:right="102" w:firstLine="207"/>
              <w:rPr>
                <w:rFonts w:hint="eastAsia" w:ascii="宋体" w:hAnsi="宋体" w:eastAsia="宋体" w:cs="宋体"/>
                <w:sz w:val="21"/>
                <w:szCs w:val="21"/>
              </w:rPr>
            </w:pPr>
            <w:r>
              <w:rPr>
                <w:rFonts w:hint="eastAsia" w:ascii="宋体" w:hAnsi="宋体" w:eastAsia="宋体" w:cs="宋体"/>
                <w:spacing w:val="15"/>
                <w:sz w:val="21"/>
                <w:szCs w:val="21"/>
              </w:rPr>
              <w:t>施</w:t>
            </w:r>
            <w:r>
              <w:rPr>
                <w:rFonts w:hint="eastAsia" w:ascii="宋体" w:hAnsi="宋体" w:eastAsia="宋体" w:cs="宋体"/>
                <w:spacing w:val="12"/>
                <w:sz w:val="21"/>
                <w:szCs w:val="21"/>
              </w:rPr>
              <w:t>工结束时，承包人必须将因施工而损坏的路面及附属设施恢复到原有良好状</w:t>
            </w:r>
            <w:r>
              <w:rPr>
                <w:rFonts w:hint="eastAsia" w:ascii="宋体" w:hAnsi="宋体" w:eastAsia="宋体" w:cs="宋体"/>
                <w:sz w:val="21"/>
                <w:szCs w:val="21"/>
              </w:rPr>
              <w:t xml:space="preserve"> </w:t>
            </w:r>
            <w:r>
              <w:rPr>
                <w:rFonts w:hint="eastAsia" w:ascii="宋体" w:hAnsi="宋体" w:eastAsia="宋体" w:cs="宋体"/>
                <w:spacing w:val="14"/>
                <w:sz w:val="21"/>
                <w:szCs w:val="21"/>
              </w:rPr>
              <w:t>态</w:t>
            </w:r>
            <w:r>
              <w:rPr>
                <w:rFonts w:hint="eastAsia" w:ascii="宋体" w:hAnsi="宋体" w:eastAsia="宋体" w:cs="宋体"/>
                <w:spacing w:val="12"/>
                <w:sz w:val="21"/>
                <w:szCs w:val="21"/>
              </w:rPr>
              <w:t>。及时施划道路标志、标线，确保道路标志、标线的完整有效。拆除安全隔离</w:t>
            </w:r>
            <w:r>
              <w:rPr>
                <w:rFonts w:hint="eastAsia" w:ascii="宋体" w:hAnsi="宋体" w:eastAsia="宋体" w:cs="宋体"/>
                <w:spacing w:val="14"/>
                <w:sz w:val="21"/>
                <w:szCs w:val="21"/>
              </w:rPr>
              <w:t>设</w:t>
            </w:r>
            <w:r>
              <w:rPr>
                <w:rFonts w:hint="eastAsia" w:ascii="宋体" w:hAnsi="宋体" w:eastAsia="宋体" w:cs="宋体"/>
                <w:spacing w:val="12"/>
                <w:sz w:val="21"/>
                <w:szCs w:val="21"/>
              </w:rPr>
              <w:t>施，并报经所在路域分公司、公安交警大队进行验收合格后，方可撤离现场恢</w:t>
            </w:r>
            <w:r>
              <w:rPr>
                <w:rFonts w:hint="eastAsia" w:ascii="宋体" w:hAnsi="宋体" w:eastAsia="宋体" w:cs="宋体"/>
                <w:sz w:val="21"/>
                <w:szCs w:val="21"/>
              </w:rPr>
              <w:t xml:space="preserve"> </w:t>
            </w:r>
            <w:r>
              <w:rPr>
                <w:rFonts w:hint="eastAsia" w:ascii="宋体" w:hAnsi="宋体" w:eastAsia="宋体" w:cs="宋体"/>
                <w:spacing w:val="7"/>
                <w:sz w:val="21"/>
                <w:szCs w:val="21"/>
              </w:rPr>
              <w:t>复道路交通</w:t>
            </w:r>
            <w:r>
              <w:rPr>
                <w:rFonts w:hint="eastAsia" w:ascii="宋体" w:hAnsi="宋体" w:eastAsia="宋体" w:cs="宋体"/>
                <w:spacing w:val="5"/>
                <w:sz w:val="21"/>
                <w:szCs w:val="21"/>
              </w:rPr>
              <w:t>。</w:t>
            </w:r>
          </w:p>
          <w:p w14:paraId="3A78CAB6">
            <w:pPr>
              <w:keepNext/>
              <w:snapToGrid w:val="0"/>
              <w:spacing w:before="1" w:line="368" w:lineRule="auto"/>
              <w:ind w:left="111" w:right="156" w:firstLine="209"/>
              <w:rPr>
                <w:rFonts w:hint="eastAsia" w:ascii="宋体" w:hAnsi="宋体" w:eastAsia="宋体" w:cs="宋体"/>
                <w:sz w:val="21"/>
                <w:szCs w:val="21"/>
              </w:rPr>
            </w:pPr>
            <w:r>
              <w:rPr>
                <w:rFonts w:hint="eastAsia" w:ascii="宋体" w:hAnsi="宋体" w:eastAsia="宋体" w:cs="宋体"/>
                <w:spacing w:val="20"/>
                <w:sz w:val="21"/>
                <w:szCs w:val="21"/>
              </w:rPr>
              <w:t>工</w:t>
            </w:r>
            <w:r>
              <w:rPr>
                <w:rFonts w:hint="eastAsia" w:ascii="宋体" w:hAnsi="宋体" w:eastAsia="宋体" w:cs="宋体"/>
                <w:spacing w:val="17"/>
                <w:sz w:val="21"/>
                <w:szCs w:val="21"/>
              </w:rPr>
              <w:t>程</w:t>
            </w:r>
            <w:r>
              <w:rPr>
                <w:rFonts w:hint="eastAsia" w:ascii="宋体" w:hAnsi="宋体" w:eastAsia="宋体" w:cs="宋体"/>
                <w:spacing w:val="10"/>
                <w:sz w:val="21"/>
                <w:szCs w:val="21"/>
              </w:rPr>
              <w:t>正式开工前，承包人必须向监理及发包人上报详细的交通封闭组织方案，</w:t>
            </w:r>
            <w:r>
              <w:rPr>
                <w:rFonts w:hint="eastAsia" w:ascii="宋体" w:hAnsi="宋体" w:eastAsia="宋体" w:cs="宋体"/>
                <w:sz w:val="21"/>
                <w:szCs w:val="21"/>
              </w:rPr>
              <w:t xml:space="preserve"> </w:t>
            </w:r>
            <w:r>
              <w:rPr>
                <w:rFonts w:hint="eastAsia" w:ascii="宋体" w:hAnsi="宋体" w:eastAsia="宋体" w:cs="宋体"/>
                <w:spacing w:val="16"/>
                <w:sz w:val="21"/>
                <w:szCs w:val="21"/>
              </w:rPr>
              <w:t>经</w:t>
            </w:r>
            <w:r>
              <w:rPr>
                <w:rFonts w:hint="eastAsia" w:ascii="宋体" w:hAnsi="宋体" w:eastAsia="宋体" w:cs="宋体"/>
                <w:spacing w:val="11"/>
                <w:sz w:val="21"/>
                <w:szCs w:val="21"/>
              </w:rPr>
              <w:t>发</w:t>
            </w:r>
            <w:r>
              <w:rPr>
                <w:rFonts w:hint="eastAsia" w:ascii="宋体" w:hAnsi="宋体" w:eastAsia="宋体" w:cs="宋体"/>
                <w:spacing w:val="8"/>
                <w:sz w:val="21"/>
                <w:szCs w:val="21"/>
              </w:rPr>
              <w:t>包人审核通过后，方可正式施工。</w:t>
            </w:r>
          </w:p>
          <w:p w14:paraId="7D9CD534">
            <w:pPr>
              <w:keepNext/>
              <w:snapToGrid w:val="0"/>
              <w:spacing w:before="2" w:line="369" w:lineRule="auto"/>
              <w:ind w:left="111" w:leftChars="0" w:right="102" w:rightChars="0" w:firstLine="207" w:firstLineChars="0"/>
              <w:rPr>
                <w:rFonts w:hint="eastAsia" w:ascii="宋体" w:hAnsi="宋体" w:eastAsia="宋体" w:cs="宋体"/>
                <w:sz w:val="21"/>
                <w:szCs w:val="21"/>
              </w:rPr>
            </w:pPr>
            <w:r>
              <w:rPr>
                <w:rFonts w:hint="eastAsia" w:ascii="宋体" w:hAnsi="宋体" w:eastAsia="宋体" w:cs="宋体"/>
                <w:spacing w:val="14"/>
                <w:sz w:val="21"/>
                <w:szCs w:val="21"/>
              </w:rPr>
              <w:t>承</w:t>
            </w:r>
            <w:r>
              <w:rPr>
                <w:rFonts w:hint="eastAsia" w:ascii="宋体" w:hAnsi="宋体" w:eastAsia="宋体" w:cs="宋体"/>
                <w:spacing w:val="12"/>
                <w:sz w:val="21"/>
                <w:szCs w:val="21"/>
              </w:rPr>
              <w:t>包人应充分考虑本项目施工过程中执行上述交通封闭作业要求所需的相关费</w:t>
            </w:r>
            <w:r>
              <w:rPr>
                <w:rFonts w:hint="eastAsia" w:ascii="宋体" w:hAnsi="宋体" w:eastAsia="宋体" w:cs="宋体"/>
                <w:sz w:val="21"/>
                <w:szCs w:val="21"/>
              </w:rPr>
              <w:t xml:space="preserve"> </w:t>
            </w:r>
            <w:r>
              <w:rPr>
                <w:rFonts w:hint="eastAsia" w:ascii="宋体" w:hAnsi="宋体" w:eastAsia="宋体" w:cs="宋体"/>
                <w:spacing w:val="12"/>
                <w:sz w:val="21"/>
                <w:szCs w:val="21"/>
              </w:rPr>
              <w:t>用，且交通封闭规范化作业费用已包含在本合同的相关报价中，发包人将不另行</w:t>
            </w:r>
            <w:r>
              <w:rPr>
                <w:rFonts w:hint="eastAsia" w:ascii="宋体" w:hAnsi="宋体" w:eastAsia="宋体" w:cs="宋体"/>
                <w:spacing w:val="3"/>
                <w:sz w:val="21"/>
                <w:szCs w:val="21"/>
              </w:rPr>
              <w:t>支付</w:t>
            </w:r>
            <w:r>
              <w:rPr>
                <w:rFonts w:hint="eastAsia" w:ascii="宋体" w:hAnsi="宋体" w:eastAsia="宋体" w:cs="宋体"/>
                <w:spacing w:val="2"/>
                <w:sz w:val="21"/>
                <w:szCs w:val="21"/>
              </w:rPr>
              <w:t>。</w:t>
            </w:r>
          </w:p>
        </w:tc>
      </w:tr>
    </w:tbl>
    <w:p w14:paraId="2AE01EAF">
      <w:pPr>
        <w:rPr>
          <w:rFonts w:hint="eastAsia" w:ascii="宋体" w:hAnsi="宋体" w:eastAsia="宋体" w:cs="宋体"/>
          <w:sz w:val="21"/>
          <w:szCs w:val="21"/>
        </w:rPr>
        <w:sectPr>
          <w:headerReference r:id="rId33" w:type="default"/>
          <w:footerReference r:id="rId34" w:type="default"/>
          <w:pgSz w:w="11907" w:h="16840"/>
          <w:pgMar w:top="1165" w:right="1301" w:bottom="1333" w:left="1299" w:header="883" w:footer="1173" w:gutter="0"/>
          <w:cols w:space="720" w:num="1"/>
        </w:sectPr>
      </w:pPr>
    </w:p>
    <w:p w14:paraId="03B32A97">
      <w:pPr>
        <w:pStyle w:val="2"/>
        <w:pageBreakBefore w:val="0"/>
        <w:kinsoku/>
        <w:wordWrap w:val="0"/>
        <w:bidi w:val="0"/>
        <w:spacing w:before="240" w:after="240" w:line="380" w:lineRule="atLeast"/>
        <w:jc w:val="center"/>
        <w:rPr>
          <w:rFonts w:hint="default" w:ascii="Times New Roman" w:hAnsi="Times New Roman" w:eastAsia="黑体" w:cs="Times New Roman"/>
          <w:b w:val="0"/>
          <w:color w:val="auto"/>
          <w:sz w:val="32"/>
          <w:szCs w:val="32"/>
          <w:highlight w:val="none"/>
        </w:rPr>
      </w:pPr>
      <w:bookmarkStart w:id="1716" w:name="_Toc28935"/>
      <w:bookmarkStart w:id="1717" w:name="_Toc206"/>
      <w:bookmarkStart w:id="1718" w:name="_Toc1829"/>
      <w:bookmarkStart w:id="1719" w:name="_Toc21888"/>
      <w:r>
        <w:rPr>
          <w:rFonts w:hint="default" w:ascii="Times New Roman" w:hAnsi="Times New Roman" w:eastAsia="黑体" w:cs="Times New Roman"/>
          <w:b w:val="0"/>
          <w:color w:val="auto"/>
          <w:sz w:val="32"/>
          <w:szCs w:val="32"/>
          <w:highlight w:val="none"/>
        </w:rPr>
        <w:t>项目专用合同条款</w:t>
      </w:r>
      <w:bookmarkEnd w:id="1715"/>
      <w:bookmarkEnd w:id="1716"/>
      <w:r>
        <w:rPr>
          <w:rStyle w:val="47"/>
          <w:rFonts w:hint="default" w:ascii="Times New Roman" w:hAnsi="Times New Roman" w:eastAsia="黑体" w:cs="Times New Roman"/>
          <w:b w:val="0"/>
          <w:color w:val="auto"/>
          <w:sz w:val="32"/>
          <w:szCs w:val="32"/>
          <w:highlight w:val="none"/>
        </w:rPr>
        <w:footnoteReference w:id="47"/>
      </w:r>
      <w:bookmarkEnd w:id="1717"/>
      <w:bookmarkEnd w:id="1718"/>
      <w:bookmarkEnd w:id="1719"/>
    </w:p>
    <w:p w14:paraId="369530D1">
      <w:pPr>
        <w:pageBreakBefore w:val="0"/>
        <w:kinsoku/>
        <w:wordWrap w:val="0"/>
        <w:bidi w:val="0"/>
        <w:rPr>
          <w:rFonts w:hint="default" w:ascii="Times New Roman" w:hAnsi="Times New Roman" w:cs="Times New Roman"/>
          <w:color w:val="auto"/>
          <w:highlight w:val="none"/>
        </w:rPr>
      </w:pPr>
    </w:p>
    <w:p w14:paraId="043D0EB4">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说明：</w:t>
      </w:r>
      <w:r>
        <w:rPr>
          <w:rFonts w:hint="default" w:ascii="Times New Roman" w:hAnsi="Times New Roman" w:eastAsia="楷体_GB2312" w:cs="Times New Roman"/>
          <w:color w:val="auto"/>
          <w:sz w:val="24"/>
          <w:highlight w:val="none"/>
        </w:rPr>
        <w:t>本部分所列的项目专用合同条款是对</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公路工程专用合同条款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中规定必须在项目专用合同条款中明确的内容的集中，招标人编制的</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项目专用合同条款</w:t>
      </w:r>
      <w:r>
        <w:rPr>
          <w:rFonts w:hint="eastAsia" w:ascii="宋体" w:hAnsi="宋体" w:eastAsia="宋体" w:cs="宋体"/>
          <w:color w:val="auto"/>
          <w:sz w:val="24"/>
          <w:highlight w:val="none"/>
        </w:rPr>
        <w:t>”</w:t>
      </w:r>
      <w:r>
        <w:rPr>
          <w:rFonts w:hint="default" w:ascii="Times New Roman" w:hAnsi="Times New Roman" w:eastAsia="楷体_GB2312" w:cs="Times New Roman"/>
          <w:color w:val="auto"/>
          <w:sz w:val="24"/>
          <w:highlight w:val="none"/>
        </w:rPr>
        <w:t>不限于本部分所列内容。</w:t>
      </w:r>
    </w:p>
    <w:p w14:paraId="3826B93D">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20" w:name="_Toc22768"/>
      <w:bookmarkStart w:id="1721" w:name="_Toc23600"/>
      <w:bookmarkStart w:id="1722" w:name="_Toc234833223"/>
      <w:bookmarkStart w:id="1723" w:name="_Toc5802"/>
      <w:bookmarkStart w:id="1724" w:name="_Toc3467"/>
      <w:r>
        <w:rPr>
          <w:rFonts w:hint="default" w:ascii="Times New Roman" w:hAnsi="Times New Roman" w:eastAsia="黑体" w:cs="Times New Roman"/>
          <w:b w:val="0"/>
          <w:color w:val="auto"/>
          <w:sz w:val="24"/>
          <w:szCs w:val="24"/>
          <w:highlight w:val="none"/>
        </w:rPr>
        <w:t>4.1 承包人的一般义务</w:t>
      </w:r>
      <w:bookmarkEnd w:id="1720"/>
      <w:bookmarkEnd w:id="1721"/>
      <w:bookmarkEnd w:id="1722"/>
      <w:bookmarkEnd w:id="1723"/>
      <w:bookmarkEnd w:id="1724"/>
    </w:p>
    <w:p w14:paraId="41840D47">
      <w:pPr>
        <w:pageBreakBefore w:val="0"/>
        <w:kinsoku/>
        <w:wordWrap w:val="0"/>
        <w:bidi w:val="0"/>
        <w:spacing w:line="400" w:lineRule="atLeast"/>
        <w:ind w:firstLine="470" w:firstLineChars="196"/>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 xml:space="preserve">4.1.10 </w:t>
      </w:r>
      <w:r>
        <w:rPr>
          <w:rFonts w:hint="default" w:ascii="Times New Roman" w:hAnsi="Times New Roman" w:eastAsia="黑体" w:cs="Times New Roman"/>
          <w:color w:val="auto"/>
          <w:sz w:val="24"/>
          <w:highlight w:val="none"/>
        </w:rPr>
        <w:t>其他义务</w:t>
      </w:r>
    </w:p>
    <w:p w14:paraId="71CCA05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）承包人应履行的其他义务：</w:t>
      </w:r>
      <w:r>
        <w:rPr>
          <w:rFonts w:hint="default" w:ascii="Times New Roman" w:hAnsi="Times New Roman" w:cs="Times New Roman"/>
          <w:color w:val="auto"/>
          <w:sz w:val="24"/>
          <w:highlight w:val="none"/>
          <w:u w:val="single"/>
        </w:rPr>
        <w:t xml:space="preserve">                       </w:t>
      </w:r>
    </w:p>
    <w:p w14:paraId="03E44DD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25" w:name="_Toc18399"/>
      <w:bookmarkStart w:id="1726" w:name="_Toc21641"/>
      <w:bookmarkStart w:id="1727" w:name="_Toc12950"/>
      <w:bookmarkStart w:id="1728" w:name="_Toc234833224"/>
      <w:bookmarkStart w:id="1729" w:name="_Toc121"/>
      <w:r>
        <w:rPr>
          <w:rFonts w:hint="default" w:ascii="Times New Roman" w:hAnsi="Times New Roman" w:eastAsia="黑体" w:cs="Times New Roman"/>
          <w:b w:val="0"/>
          <w:color w:val="auto"/>
          <w:sz w:val="24"/>
          <w:szCs w:val="24"/>
          <w:highlight w:val="none"/>
        </w:rPr>
        <w:t>4.</w:t>
      </w:r>
      <w:r>
        <w:rPr>
          <w:rFonts w:hint="eastAsia" w:cs="Times New Roman"/>
          <w:b w:val="0"/>
          <w:color w:val="auto"/>
          <w:sz w:val="24"/>
          <w:szCs w:val="24"/>
          <w:highlight w:val="none"/>
          <w:lang w:val="en-US" w:eastAsia="zh-CN"/>
        </w:rPr>
        <w:t>6</w:t>
      </w:r>
      <w:r>
        <w:rPr>
          <w:rFonts w:hint="default" w:ascii="Times New Roman" w:hAnsi="Times New Roman" w:eastAsia="黑体" w:cs="Times New Roman"/>
          <w:b w:val="0"/>
          <w:color w:val="auto"/>
          <w:sz w:val="24"/>
          <w:szCs w:val="24"/>
          <w:highlight w:val="none"/>
        </w:rPr>
        <w:t xml:space="preserve"> 承包人人员的管理</w:t>
      </w:r>
      <w:bookmarkEnd w:id="1725"/>
    </w:p>
    <w:p w14:paraId="68BD01D1">
      <w:pPr>
        <w:pageBreakBefore w:val="0"/>
        <w:kinsoku/>
        <w:wordWrap/>
        <w:bidi w:val="0"/>
        <w:spacing w:before="240" w:after="240" w:line="420" w:lineRule="exact"/>
        <w:ind w:firstLine="480" w:firstLineChars="200"/>
        <w:rPr>
          <w:rFonts w:hint="default" w:ascii="Times New Roman" w:hAnsi="Times New Roman" w:eastAsia="宋体" w:cs="Times New Roman"/>
          <w:b w:val="0"/>
          <w:color w:val="auto"/>
          <w:sz w:val="24"/>
          <w:szCs w:val="24"/>
          <w:highlight w:val="none"/>
        </w:rPr>
      </w:pPr>
      <w:r>
        <w:rPr>
          <w:rFonts w:hint="default" w:ascii="Times New Roman" w:hAnsi="Times New Roman" w:cs="Times New Roman"/>
          <w:color w:val="auto"/>
          <w:sz w:val="24"/>
          <w:highlight w:val="none"/>
        </w:rPr>
        <w:t>4.</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default" w:cs="Times New Roman"/>
          <w:color w:val="auto"/>
          <w:sz w:val="24"/>
          <w:highlight w:val="none"/>
          <w:lang w:val="en-US" w:eastAsia="zh-CN"/>
        </w:rPr>
        <w:t>6</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承包人（总承包单位和分包单位）</w:t>
      </w:r>
      <w:r>
        <w:rPr>
          <w:rFonts w:hint="default" w:ascii="Times New Roman" w:hAnsi="Times New Roman" w:cs="Times New Roman"/>
          <w:color w:val="auto"/>
          <w:sz w:val="24"/>
          <w:highlight w:val="none"/>
        </w:rPr>
        <w:t>应严格执行辽宁省交通运输厅关于印发《辽宁省公路工程施工现场主要人员履约监督管理办法》的通知</w:t>
      </w:r>
      <w:r>
        <w:rPr>
          <w:rFonts w:hint="eastAsia" w:cs="Times New Roman"/>
          <w:color w:val="auto"/>
          <w:sz w:val="24"/>
          <w:highlight w:val="none"/>
          <w:lang w:eastAsia="zh-CN"/>
        </w:rPr>
        <w:t>（辽交公路规</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2025</w:t>
      </w:r>
      <w:r>
        <w:rPr>
          <w:rFonts w:hint="eastAsia" w:ascii="宋体" w:hAnsi="宋体" w:eastAsia="宋体" w:cs="宋体"/>
          <w:color w:val="auto"/>
          <w:sz w:val="24"/>
          <w:highlight w:val="none"/>
          <w:lang w:eastAsia="zh-CN"/>
        </w:rPr>
        <w:t>﹞</w:t>
      </w:r>
      <w:r>
        <w:rPr>
          <w:rFonts w:hint="eastAsia" w:cs="Times New Roman"/>
          <w:color w:val="auto"/>
          <w:sz w:val="24"/>
          <w:highlight w:val="none"/>
          <w:lang w:eastAsia="zh-CN"/>
        </w:rPr>
        <w:t>3号）</w:t>
      </w:r>
      <w:r>
        <w:rPr>
          <w:rFonts w:hint="eastAsia" w:cs="Times New Roman"/>
          <w:color w:val="auto"/>
          <w:sz w:val="24"/>
          <w:highlight w:val="none"/>
          <w:lang w:val="en-US" w:eastAsia="zh-CN"/>
        </w:rPr>
        <w:t>中关于主要人员履约考核管理的规定。</w:t>
      </w:r>
    </w:p>
    <w:p w14:paraId="70E7173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0" w:name="_Toc9683"/>
      <w:r>
        <w:rPr>
          <w:rFonts w:hint="default" w:ascii="Times New Roman" w:hAnsi="Times New Roman" w:eastAsia="黑体" w:cs="Times New Roman"/>
          <w:b w:val="0"/>
          <w:color w:val="auto"/>
          <w:sz w:val="24"/>
          <w:szCs w:val="24"/>
          <w:highlight w:val="none"/>
        </w:rPr>
        <w:t>4.11 不利物质条件</w:t>
      </w:r>
      <w:bookmarkEnd w:id="1726"/>
      <w:bookmarkEnd w:id="1727"/>
      <w:bookmarkEnd w:id="1728"/>
      <w:bookmarkEnd w:id="1729"/>
      <w:bookmarkEnd w:id="1730"/>
    </w:p>
    <w:p w14:paraId="383C36D0">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4.11.1 不利物质条件的范围：</w:t>
      </w:r>
      <w:r>
        <w:rPr>
          <w:rFonts w:hint="default" w:ascii="Times New Roman" w:hAnsi="Times New Roman" w:cs="Times New Roman"/>
          <w:color w:val="auto"/>
          <w:sz w:val="24"/>
          <w:highlight w:val="none"/>
          <w:u w:val="single"/>
        </w:rPr>
        <w:t xml:space="preserve">                       </w:t>
      </w:r>
    </w:p>
    <w:p w14:paraId="51F62B96">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1" w:name="_Toc18605"/>
      <w:bookmarkStart w:id="1732" w:name="_Toc6510"/>
      <w:bookmarkStart w:id="1733" w:name="_Toc9469"/>
      <w:bookmarkStart w:id="1734" w:name="_Toc234833225"/>
      <w:bookmarkStart w:id="1735" w:name="_Toc1967"/>
      <w:r>
        <w:rPr>
          <w:rFonts w:hint="default" w:ascii="Times New Roman" w:hAnsi="Times New Roman" w:eastAsia="黑体" w:cs="Times New Roman"/>
          <w:b w:val="0"/>
          <w:color w:val="auto"/>
          <w:sz w:val="24"/>
          <w:szCs w:val="24"/>
          <w:highlight w:val="none"/>
        </w:rPr>
        <w:t>10.1 合同进度计划</w:t>
      </w:r>
      <w:bookmarkEnd w:id="1731"/>
      <w:bookmarkEnd w:id="1732"/>
      <w:bookmarkEnd w:id="1733"/>
      <w:bookmarkEnd w:id="1734"/>
      <w:bookmarkEnd w:id="1735"/>
    </w:p>
    <w:p w14:paraId="3EFFFE73">
      <w:pPr>
        <w:pageBreakBefore w:val="0"/>
        <w:kinsoku/>
        <w:wordWrap w:val="0"/>
        <w:bidi w:val="0"/>
        <w:spacing w:line="38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承包人编制施工方案的内容：</w:t>
      </w:r>
      <w:r>
        <w:rPr>
          <w:rFonts w:hint="default" w:ascii="Times New Roman" w:hAnsi="Times New Roman" w:cs="Times New Roman"/>
          <w:color w:val="auto"/>
          <w:sz w:val="24"/>
          <w:highlight w:val="none"/>
          <w:u w:val="single"/>
        </w:rPr>
        <w:t xml:space="preserve">              </w:t>
      </w:r>
    </w:p>
    <w:p w14:paraId="3787ABFF">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36" w:name="_Toc19055"/>
      <w:bookmarkStart w:id="1737" w:name="_Toc12199"/>
      <w:bookmarkStart w:id="1738" w:name="_Toc5467"/>
      <w:bookmarkStart w:id="1739" w:name="_Toc234833226"/>
      <w:bookmarkStart w:id="1740" w:name="_Toc24011"/>
      <w:r>
        <w:rPr>
          <w:rFonts w:hint="default" w:ascii="Times New Roman" w:hAnsi="Times New Roman" w:eastAsia="黑体" w:cs="Times New Roman"/>
          <w:b w:val="0"/>
          <w:color w:val="auto"/>
          <w:sz w:val="24"/>
          <w:szCs w:val="24"/>
          <w:highlight w:val="none"/>
        </w:rPr>
        <w:t>11.4异常恶劣的气候条件</w:t>
      </w:r>
      <w:bookmarkEnd w:id="1736"/>
      <w:bookmarkEnd w:id="1737"/>
      <w:bookmarkEnd w:id="1738"/>
      <w:bookmarkEnd w:id="1739"/>
      <w:bookmarkEnd w:id="1740"/>
    </w:p>
    <w:p w14:paraId="77936BE2">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异常恶劣的气候条件的范围：</w:t>
      </w:r>
      <w:r>
        <w:rPr>
          <w:rFonts w:hint="default" w:ascii="Times New Roman" w:hAnsi="Times New Roman" w:cs="Times New Roman"/>
          <w:color w:val="auto"/>
          <w:sz w:val="24"/>
          <w:highlight w:val="none"/>
          <w:u w:val="single"/>
        </w:rPr>
        <w:t xml:space="preserve">              </w:t>
      </w:r>
    </w:p>
    <w:p w14:paraId="5E53134A">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41" w:name="_Toc3031"/>
      <w:bookmarkStart w:id="1742" w:name="_Toc27699"/>
      <w:bookmarkStart w:id="1743" w:name="_Toc234833227"/>
      <w:bookmarkStart w:id="1744" w:name="_Toc3471"/>
      <w:bookmarkStart w:id="1745" w:name="_Toc9009"/>
      <w:r>
        <w:rPr>
          <w:rFonts w:hint="default" w:ascii="Times New Roman" w:hAnsi="Times New Roman" w:eastAsia="黑体" w:cs="Times New Roman"/>
          <w:b w:val="0"/>
          <w:color w:val="auto"/>
          <w:sz w:val="24"/>
          <w:szCs w:val="24"/>
          <w:highlight w:val="none"/>
        </w:rPr>
        <w:t>12.1 承包人暂停施工的责任</w:t>
      </w:r>
      <w:bookmarkEnd w:id="1741"/>
      <w:bookmarkEnd w:id="1742"/>
      <w:bookmarkEnd w:id="1743"/>
      <w:bookmarkEnd w:id="1744"/>
      <w:bookmarkEnd w:id="1745"/>
    </w:p>
    <w:p w14:paraId="0A8D290F">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12.1 （6）由承包人承担的其他暂停施工：</w:t>
      </w:r>
      <w:r>
        <w:rPr>
          <w:rFonts w:hint="default" w:ascii="Times New Roman" w:hAnsi="Times New Roman" w:cs="Times New Roman"/>
          <w:color w:val="auto"/>
          <w:sz w:val="24"/>
          <w:highlight w:val="none"/>
          <w:u w:val="single"/>
        </w:rPr>
        <w:t xml:space="preserve">                       </w:t>
      </w:r>
    </w:p>
    <w:p w14:paraId="7812DC6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lang w:eastAsia="zh-CN"/>
        </w:rPr>
      </w:pPr>
      <w:bookmarkStart w:id="1746" w:name="_Toc18562"/>
      <w:bookmarkStart w:id="1747" w:name="_Toc6894"/>
      <w:bookmarkStart w:id="1748" w:name="_Toc30476"/>
      <w:bookmarkStart w:id="1749" w:name="_Toc31576"/>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7</w:t>
      </w:r>
      <w:r>
        <w:rPr>
          <w:rFonts w:hint="default" w:ascii="Times New Roman" w:hAnsi="Times New Roman" w:eastAsia="黑体" w:cs="Times New Roman"/>
          <w:b w:val="0"/>
          <w:color w:val="auto"/>
          <w:sz w:val="24"/>
          <w:szCs w:val="24"/>
          <w:highlight w:val="none"/>
        </w:rPr>
        <w:t>.1</w:t>
      </w:r>
      <w:r>
        <w:rPr>
          <w:rFonts w:hint="default" w:ascii="Times New Roman" w:hAnsi="Times New Roman" w:eastAsia="黑体" w:cs="Times New Roman"/>
          <w:b w:val="0"/>
          <w:color w:val="auto"/>
          <w:sz w:val="24"/>
          <w:szCs w:val="24"/>
          <w:highlight w:val="none"/>
          <w:lang w:eastAsia="zh-CN"/>
        </w:rPr>
        <w:t xml:space="preserve"> 计量</w:t>
      </w:r>
      <w:bookmarkEnd w:id="1746"/>
      <w:bookmarkEnd w:id="1747"/>
      <w:bookmarkEnd w:id="1748"/>
      <w:bookmarkEnd w:id="1749"/>
    </w:p>
    <w:p w14:paraId="51697B0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17.1.5 本项目工程量清单中总额价子目的支付原则和支付进度：</w:t>
      </w:r>
      <w:r>
        <w:rPr>
          <w:rFonts w:hint="default" w:ascii="Times New Roman" w:hAnsi="Times New Roman" w:cs="Times New Roman"/>
          <w:color w:val="auto"/>
          <w:sz w:val="24"/>
          <w:highlight w:val="none"/>
          <w:u w:val="single"/>
        </w:rPr>
        <w:t xml:space="preserve">            </w:t>
      </w:r>
    </w:p>
    <w:p w14:paraId="4C25053C">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50" w:name="_Toc30430"/>
      <w:bookmarkStart w:id="1751" w:name="_Toc16941"/>
      <w:bookmarkStart w:id="1752" w:name="_Toc6486"/>
      <w:bookmarkStart w:id="1753" w:name="_Toc12223"/>
      <w:bookmarkStart w:id="1754" w:name="_Toc234833228"/>
      <w:r>
        <w:rPr>
          <w:rFonts w:hint="default" w:ascii="Times New Roman" w:hAnsi="Times New Roman" w:eastAsia="黑体" w:cs="Times New Roman"/>
          <w:b w:val="0"/>
          <w:color w:val="auto"/>
          <w:sz w:val="24"/>
          <w:szCs w:val="24"/>
          <w:highlight w:val="none"/>
        </w:rPr>
        <w:t>17.3 工程进度付款</w:t>
      </w:r>
      <w:bookmarkEnd w:id="1750"/>
      <w:bookmarkEnd w:id="1751"/>
      <w:bookmarkEnd w:id="1752"/>
      <w:bookmarkEnd w:id="1753"/>
    </w:p>
    <w:p w14:paraId="46B297AF">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17.3.5 农民工工资保证金的缴存时间：</w:t>
      </w:r>
      <w:r>
        <w:rPr>
          <w:rFonts w:hint="default" w:ascii="Times New Roman" w:hAnsi="Times New Roman" w:cs="Times New Roman"/>
          <w:color w:val="auto"/>
          <w:sz w:val="24"/>
          <w:highlight w:val="none"/>
          <w:u w:val="single"/>
        </w:rPr>
        <w:t xml:space="preserve">                       </w:t>
      </w:r>
    </w:p>
    <w:p w14:paraId="37356351">
      <w:pPr>
        <w:pageBreakBefore w:val="0"/>
        <w:kinsoku/>
        <w:wordWrap w:val="0"/>
        <w:bidi w:val="0"/>
        <w:spacing w:line="42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农民工工资保证金的缴存金额：</w:t>
      </w:r>
      <w:r>
        <w:rPr>
          <w:rFonts w:hint="default" w:ascii="Times New Roman" w:hAnsi="Times New Roman" w:cs="Times New Roman"/>
          <w:color w:val="auto"/>
          <w:sz w:val="24"/>
          <w:highlight w:val="none"/>
          <w:u w:val="single"/>
        </w:rPr>
        <w:t xml:space="preserve">                       </w:t>
      </w:r>
    </w:p>
    <w:p w14:paraId="695E7595">
      <w:pPr>
        <w:pageBreakBefore w:val="0"/>
        <w:kinsoku/>
        <w:wordWrap w:val="0"/>
        <w:bidi w:val="0"/>
        <w:spacing w:line="420" w:lineRule="atLeast"/>
        <w:ind w:firstLine="470" w:firstLineChars="196"/>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农民工工资保证金的扣留条件：</w:t>
      </w:r>
      <w:r>
        <w:rPr>
          <w:rFonts w:hint="default" w:ascii="Times New Roman" w:hAnsi="Times New Roman" w:cs="Times New Roman"/>
          <w:color w:val="auto"/>
          <w:sz w:val="24"/>
          <w:highlight w:val="none"/>
          <w:u w:val="single"/>
        </w:rPr>
        <w:t xml:space="preserve">                       </w:t>
      </w:r>
    </w:p>
    <w:p w14:paraId="2333F159">
      <w:pPr>
        <w:pageBreakBefore w:val="0"/>
        <w:widowControl/>
        <w:kinsoku/>
        <w:wordWrap w:val="0"/>
        <w:bidi w:val="0"/>
        <w:spacing w:line="420" w:lineRule="atLeast"/>
        <w:ind w:firstLine="480" w:firstLineChars="200"/>
        <w:rPr>
          <w:rFonts w:hint="default" w:ascii="Times New Roman" w:hAnsi="Times New Roman" w:eastAsia="黑体" w:cs="Times New Roman"/>
          <w:b/>
          <w:color w:val="auto"/>
          <w:sz w:val="24"/>
          <w:highlight w:val="none"/>
        </w:rPr>
      </w:pPr>
      <w:r>
        <w:rPr>
          <w:rFonts w:hint="default" w:ascii="Times New Roman" w:hAnsi="Times New Roman" w:cs="Times New Roman"/>
          <w:color w:val="auto"/>
          <w:sz w:val="24"/>
          <w:highlight w:val="none"/>
        </w:rPr>
        <w:t>农民工工资保证金的返还时间：</w:t>
      </w:r>
      <w:r>
        <w:rPr>
          <w:rFonts w:hint="default" w:ascii="Times New Roman" w:hAnsi="Times New Roman" w:cs="Times New Roman"/>
          <w:color w:val="auto"/>
          <w:sz w:val="24"/>
          <w:highlight w:val="none"/>
          <w:u w:val="single"/>
        </w:rPr>
        <w:t xml:space="preserve">                       </w:t>
      </w:r>
    </w:p>
    <w:p w14:paraId="2744F5EB">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55" w:name="_Toc27005"/>
      <w:bookmarkStart w:id="1756" w:name="_Toc13982"/>
      <w:bookmarkStart w:id="1757" w:name="_Toc29939"/>
      <w:bookmarkStart w:id="1758" w:name="_Toc22128"/>
      <w:r>
        <w:rPr>
          <w:rFonts w:hint="default" w:ascii="Times New Roman" w:hAnsi="Times New Roman" w:eastAsia="黑体" w:cs="Times New Roman"/>
          <w:b w:val="0"/>
          <w:color w:val="auto"/>
          <w:sz w:val="24"/>
          <w:szCs w:val="24"/>
          <w:highlight w:val="none"/>
        </w:rPr>
        <w:t>21.1 不可抗力的确认</w:t>
      </w:r>
      <w:bookmarkEnd w:id="1754"/>
      <w:bookmarkEnd w:id="1755"/>
      <w:bookmarkEnd w:id="1756"/>
      <w:bookmarkEnd w:id="1757"/>
      <w:bookmarkEnd w:id="1758"/>
    </w:p>
    <w:p w14:paraId="5F73BBBE">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21.1.1 （6）不可抗力的其他情形：</w:t>
      </w:r>
      <w:r>
        <w:rPr>
          <w:rFonts w:hint="default" w:ascii="Times New Roman" w:hAnsi="Times New Roman" w:cs="Times New Roman"/>
          <w:color w:val="auto"/>
          <w:sz w:val="24"/>
          <w:highlight w:val="none"/>
          <w:u w:val="single"/>
        </w:rPr>
        <w:t xml:space="preserve">                            </w:t>
      </w:r>
    </w:p>
    <w:p w14:paraId="533B8681">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59" w:name="_Toc28435"/>
      <w:bookmarkStart w:id="1760" w:name="_Toc1677"/>
      <w:bookmarkStart w:id="1761" w:name="_Toc527"/>
      <w:bookmarkStart w:id="1762" w:name="_Toc234833229"/>
      <w:bookmarkStart w:id="1763" w:name="_Toc21348"/>
      <w:r>
        <w:rPr>
          <w:rFonts w:hint="default" w:ascii="Times New Roman" w:hAnsi="Times New Roman" w:eastAsia="黑体" w:cs="Times New Roman"/>
          <w:b w:val="0"/>
          <w:color w:val="auto"/>
          <w:sz w:val="24"/>
          <w:szCs w:val="24"/>
          <w:highlight w:val="none"/>
        </w:rPr>
        <w:t>22.1 承包人违约</w:t>
      </w:r>
      <w:bookmarkEnd w:id="1759"/>
      <w:bookmarkEnd w:id="1760"/>
      <w:bookmarkEnd w:id="1761"/>
      <w:bookmarkEnd w:id="1762"/>
      <w:bookmarkEnd w:id="1763"/>
    </w:p>
    <w:p w14:paraId="4950C786">
      <w:pPr>
        <w:pageBreakBefore w:val="0"/>
        <w:kinsoku/>
        <w:wordWrap w:val="0"/>
        <w:bidi w:val="0"/>
        <w:spacing w:line="400" w:lineRule="atLeast"/>
        <w:ind w:firstLine="480" w:firstLineChars="2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22.1.2 当承包人发生第22.1.1项约定的违约情况时，发包人有权向承包人课以违约金，具体约定如下：</w:t>
      </w:r>
      <w:r>
        <w:rPr>
          <w:rFonts w:hint="default" w:ascii="Times New Roman" w:hAnsi="Times New Roman" w:cs="Times New Roman"/>
          <w:color w:val="auto"/>
          <w:sz w:val="24"/>
          <w:highlight w:val="none"/>
          <w:u w:val="single"/>
        </w:rPr>
        <w:t xml:space="preserve">                               </w:t>
      </w:r>
    </w:p>
    <w:p w14:paraId="5465AB98">
      <w:pPr>
        <w:pStyle w:val="2"/>
        <w:pageBreakBefore w:val="0"/>
        <w:kinsoku/>
        <w:wordWrap w:val="0"/>
        <w:bidi w:val="0"/>
        <w:spacing w:before="240" w:after="240" w:line="380" w:lineRule="atLeast"/>
        <w:rPr>
          <w:rFonts w:hint="default" w:ascii="Times New Roman" w:hAnsi="Times New Roman" w:eastAsia="黑体" w:cs="Times New Roman"/>
          <w:b w:val="0"/>
          <w:color w:val="auto"/>
          <w:sz w:val="24"/>
          <w:szCs w:val="24"/>
          <w:highlight w:val="none"/>
        </w:rPr>
      </w:pPr>
      <w:bookmarkStart w:id="1764" w:name="_Toc10655"/>
      <w:bookmarkStart w:id="1765" w:name="_Toc29318"/>
      <w:bookmarkStart w:id="1766" w:name="_Toc8006"/>
      <w:bookmarkStart w:id="1767" w:name="_Toc27242"/>
      <w:r>
        <w:rPr>
          <w:rFonts w:hint="default" w:ascii="Times New Roman" w:hAnsi="Times New Roman" w:eastAsia="黑体" w:cs="Times New Roman"/>
          <w:b w:val="0"/>
          <w:color w:val="auto"/>
          <w:sz w:val="24"/>
          <w:szCs w:val="24"/>
          <w:highlight w:val="none"/>
        </w:rPr>
        <w:t>22.2 发包人违约</w:t>
      </w:r>
      <w:bookmarkEnd w:id="1764"/>
      <w:bookmarkEnd w:id="1765"/>
      <w:bookmarkEnd w:id="1766"/>
      <w:bookmarkEnd w:id="1767"/>
    </w:p>
    <w:p w14:paraId="012F70E4">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22.2.2发包人无正当理由不按时返还履约保证金、质量保证金或农民工工资保证金的，发包人应向承包人支付的违约金如下：</w:t>
      </w:r>
      <w:r>
        <w:rPr>
          <w:rFonts w:hint="default" w:ascii="Times New Roman" w:hAnsi="Times New Roman" w:cs="Times New Roman"/>
          <w:color w:val="auto"/>
          <w:sz w:val="24"/>
          <w:highlight w:val="none"/>
          <w:u w:val="single"/>
        </w:rPr>
        <w:t xml:space="preserve">                               </w:t>
      </w:r>
    </w:p>
    <w:p w14:paraId="04C6214F">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p>
    <w:p w14:paraId="38A493C0">
      <w:pPr>
        <w:pageBreakBefore w:val="0"/>
        <w:kinsoku/>
        <w:wordWrap w:val="0"/>
        <w:bidi w:val="0"/>
        <w:spacing w:line="380" w:lineRule="atLeas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4"/>
          <w:highlight w:val="none"/>
        </w:rPr>
        <w:br w:type="page"/>
      </w:r>
    </w:p>
    <w:p w14:paraId="1B04BDD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bookmarkStart w:id="1768" w:name="_Toc234833230"/>
    </w:p>
    <w:p w14:paraId="319043F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32FD07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4575E1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616C9F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21EA2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251173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FEE4CD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DC671E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12114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F319B1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8EE1027">
      <w:pPr>
        <w:pStyle w:val="2"/>
        <w:pageBreakBefore w:val="0"/>
        <w:kinsoku/>
        <w:wordWrap w:val="0"/>
        <w:bidi w:val="0"/>
        <w:spacing w:before="240" w:after="240" w:line="380" w:lineRule="atLeast"/>
        <w:jc w:val="center"/>
        <w:outlineLvl w:val="1"/>
        <w:rPr>
          <w:rFonts w:hint="default" w:ascii="Times New Roman" w:hAnsi="Times New Roman" w:eastAsia="黑体" w:cs="Times New Roman"/>
          <w:b w:val="0"/>
          <w:color w:val="auto"/>
          <w:sz w:val="42"/>
          <w:szCs w:val="42"/>
          <w:highlight w:val="none"/>
        </w:rPr>
      </w:pPr>
      <w:bookmarkStart w:id="1769" w:name="_Toc25493"/>
      <w:bookmarkStart w:id="1770" w:name="_Toc20691"/>
      <w:bookmarkStart w:id="1771" w:name="_Toc26085"/>
      <w:r>
        <w:rPr>
          <w:rFonts w:hint="default" w:ascii="Times New Roman" w:hAnsi="Times New Roman" w:eastAsia="黑体" w:cs="Times New Roman"/>
          <w:b w:val="0"/>
          <w:color w:val="auto"/>
          <w:sz w:val="42"/>
          <w:szCs w:val="42"/>
          <w:highlight w:val="none"/>
        </w:rPr>
        <w:t>第三节  合同附件格式</w:t>
      </w:r>
      <w:bookmarkEnd w:id="1768"/>
      <w:bookmarkEnd w:id="1769"/>
      <w:bookmarkEnd w:id="1770"/>
      <w:bookmarkEnd w:id="1771"/>
    </w:p>
    <w:p w14:paraId="768B4AE8">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0934D755">
      <w:pPr>
        <w:pStyle w:val="2"/>
        <w:pageBreakBefore w:val="0"/>
        <w:kinsoku/>
        <w:wordWrap w:val="0"/>
        <w:bidi w:val="0"/>
        <w:spacing w:before="0" w:after="0" w:line="380" w:lineRule="atLeast"/>
        <w:outlineLvl w:val="0"/>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0"/>
          <w:szCs w:val="20"/>
          <w:highlight w:val="none"/>
        </w:rPr>
        <w:br w:type="page"/>
      </w:r>
      <w:bookmarkStart w:id="1772" w:name="_Toc17942"/>
      <w:bookmarkStart w:id="1773" w:name="_Toc234833231"/>
      <w:bookmarkStart w:id="1774" w:name="_Toc24256"/>
      <w:bookmarkStart w:id="1775" w:name="_Toc3639"/>
      <w:bookmarkStart w:id="1776" w:name="_Toc24087"/>
      <w:r>
        <w:rPr>
          <w:rFonts w:hint="default" w:ascii="Times New Roman" w:hAnsi="Times New Roman" w:eastAsia="黑体" w:cs="Times New Roman"/>
          <w:b w:val="0"/>
          <w:color w:val="auto"/>
          <w:sz w:val="24"/>
          <w:szCs w:val="24"/>
          <w:highlight w:val="none"/>
        </w:rPr>
        <w:t>附件一</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合同协议书</w:t>
      </w:r>
      <w:bookmarkEnd w:id="1772"/>
      <w:bookmarkEnd w:id="1773"/>
      <w:bookmarkEnd w:id="1774"/>
      <w:bookmarkEnd w:id="1775"/>
      <w:bookmarkEnd w:id="1776"/>
    </w:p>
    <w:p w14:paraId="554A0E2C">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合 同 协 议 书</w:t>
      </w:r>
    </w:p>
    <w:p w14:paraId="58FB67E5">
      <w:pPr>
        <w:pageBreakBefore w:val="0"/>
        <w:kinsoku/>
        <w:wordWrap w:val="0"/>
        <w:bidi w:val="0"/>
        <w:spacing w:line="440" w:lineRule="exact"/>
        <w:ind w:firstLine="480" w:firstLineChars="200"/>
        <w:rPr>
          <w:rFonts w:hint="default" w:ascii="Times New Roman" w:hAnsi="Times New Roman" w:cs="Times New Roman"/>
          <w:color w:val="auto"/>
          <w:sz w:val="24"/>
          <w:highlight w:val="none"/>
          <w:u w:val="single"/>
        </w:rPr>
      </w:pPr>
    </w:p>
    <w:p w14:paraId="647425D7">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）为实施</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（项目名称），已接受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）对该项目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标段施工的投标。发包人和承包人共同达成如下协议。</w:t>
      </w:r>
    </w:p>
    <w:p w14:paraId="39F379EB">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标段由K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至K</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，长约</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km，公路等级为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，设计速度为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路面，有</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立交</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处；特大桥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m；大中桥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m；隧道</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座，计长</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m以及其他构造物工程等。</w:t>
      </w:r>
    </w:p>
    <w:p w14:paraId="6B3D5790">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下列文件应视为构成合同文件的组成部分：</w:t>
      </w:r>
    </w:p>
    <w:p w14:paraId="58A171D6">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（1）本协议书及各种合同附件（含评标期间和合同谈判过程中的澄清文件和补充资料）；</w:t>
      </w:r>
    </w:p>
    <w:p w14:paraId="0815A783">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（2）中标通知书；</w:t>
      </w:r>
    </w:p>
    <w:p w14:paraId="2F7700DF">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（3）投标函及投标函附录；</w:t>
      </w:r>
    </w:p>
    <w:p w14:paraId="7D1BFCBD">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（4）项目专用合同条款；</w:t>
      </w:r>
    </w:p>
    <w:p w14:paraId="4ACBD5F1">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（5）公路工程专用合同条款；</w:t>
      </w:r>
    </w:p>
    <w:p w14:paraId="2836DECE">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（6）通用合同条款；</w:t>
      </w:r>
    </w:p>
    <w:p w14:paraId="0AE87A41">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（7）工程量清单计量规则；</w:t>
      </w:r>
    </w:p>
    <w:p w14:paraId="211814DB">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（8）技术规范；</w:t>
      </w:r>
    </w:p>
    <w:p w14:paraId="33FEA214">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（9）图纸；</w:t>
      </w:r>
    </w:p>
    <w:p w14:paraId="5BAB0E0F">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（10）已标价工程量清单；</w:t>
      </w:r>
    </w:p>
    <w:p w14:paraId="78639FBC">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（11）承包人有关人员、设备投入的承诺及投标文件中的施工组织设计；</w:t>
      </w:r>
    </w:p>
    <w:p w14:paraId="5CE5BCB5">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（12）其他合同文件。</w:t>
      </w:r>
    </w:p>
    <w:p w14:paraId="49D37493">
      <w:pPr>
        <w:pageBreakBefore w:val="0"/>
        <w:kinsoku/>
        <w:wordWrap w:val="0"/>
        <w:bidi w:val="0"/>
        <w:spacing w:line="440" w:lineRule="exact"/>
        <w:ind w:right="34" w:rightChars="16"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上述合同文件互相补充和解释。如果合同文件之间存在矛盾或不一致之处，以上述文件的排列顺序在先者为准。</w:t>
      </w:r>
    </w:p>
    <w:p w14:paraId="08F76F5D">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根据工程量清单所列的预计数量和单价或总额价计算的签约合同价：人民币（大写）________元（¥________）。</w:t>
      </w:r>
    </w:p>
    <w:p w14:paraId="1A8B818C">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4. 承包人项目经理：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。承包人项目总工：</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7C6397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工程质量符合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标准。工程安全目标：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1767A123">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承包人承诺按合同约定承担工程的实施、完成及缺陷修复。</w:t>
      </w:r>
    </w:p>
    <w:p w14:paraId="46D3F569">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发包人承诺按合同约定的条件、时间和方式向承包人支付合同价款。</w:t>
      </w:r>
    </w:p>
    <w:p w14:paraId="79F5C55D">
      <w:pPr>
        <w:pageBreakBefore w:val="0"/>
        <w:kinsoku/>
        <w:wordWrap w:val="0"/>
        <w:bidi w:val="0"/>
        <w:spacing w:line="440" w:lineRule="exact"/>
        <w:ind w:right="34" w:rightChars="16"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承包人应按照监理人指示开工，工期为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1DE6EA5E">
      <w:pPr>
        <w:pageBreakBefore w:val="0"/>
        <w:kinsoku/>
        <w:wordWrap w:val="0"/>
        <w:bidi w:val="0"/>
        <w:spacing w:line="440" w:lineRule="exac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 本协议书在承包人提供履约保证金后，由双方法定代表人或其委托代理人签署并加盖单位章后生效。全部工程完工后经交工验收合格、缺陷责任期满签发缺陷责任终止证书后失效。</w:t>
      </w:r>
    </w:p>
    <w:p w14:paraId="139B7EC1">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 本协议书正本二份、副本____份，合同双方各执正本一份，副本____份，当正本与副本的内容不一致时，以正本为准。</w:t>
      </w:r>
    </w:p>
    <w:p w14:paraId="2F8313FE">
      <w:pPr>
        <w:pageBreakBefore w:val="0"/>
        <w:kinsoku/>
        <w:wordWrap w:val="0"/>
        <w:bidi w:val="0"/>
        <w:spacing w:line="440" w:lineRule="exac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合同未尽事宜，双方另行签订补充协议。补充协议是合同的组成部分。</w:t>
      </w:r>
    </w:p>
    <w:p w14:paraId="7C282A05">
      <w:pPr>
        <w:pageBreakBefore w:val="0"/>
        <w:kinsoku/>
        <w:wordWrap w:val="0"/>
        <w:bidi w:val="0"/>
        <w:spacing w:line="440" w:lineRule="exact"/>
        <w:rPr>
          <w:rFonts w:hint="default" w:ascii="Times New Roman" w:hAnsi="Times New Roman" w:cs="Times New Roman"/>
          <w:color w:val="auto"/>
          <w:sz w:val="24"/>
          <w:highlight w:val="none"/>
        </w:rPr>
      </w:pPr>
    </w:p>
    <w:p w14:paraId="43C9A3E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71D17E1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70775595">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538CB053">
      <w:pPr>
        <w:pageBreakBefore w:val="0"/>
        <w:kinsoku/>
        <w:wordWrap w:val="0"/>
        <w:bidi w:val="0"/>
        <w:spacing w:line="440" w:lineRule="exact"/>
        <w:rPr>
          <w:rFonts w:hint="default" w:ascii="Times New Roman" w:hAnsi="Times New Roman" w:cs="Times New Roman"/>
          <w:color w:val="auto"/>
          <w:sz w:val="24"/>
          <w:highlight w:val="none"/>
        </w:rPr>
      </w:pPr>
    </w:p>
    <w:p w14:paraId="0E1C7913">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77" w:name="_Toc22527"/>
      <w:bookmarkStart w:id="1778" w:name="_Toc5419"/>
      <w:bookmarkStart w:id="1779" w:name="_Toc234833232"/>
      <w:bookmarkStart w:id="1780" w:name="_Toc7242"/>
      <w:bookmarkStart w:id="1781" w:name="_Toc6478"/>
      <w:r>
        <w:rPr>
          <w:rFonts w:hint="default" w:ascii="Times New Roman" w:hAnsi="Times New Roman" w:eastAsia="黑体" w:cs="Times New Roman"/>
          <w:b w:val="0"/>
          <w:color w:val="auto"/>
          <w:sz w:val="24"/>
          <w:szCs w:val="24"/>
          <w:highlight w:val="none"/>
        </w:rPr>
        <w:t>附件二</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廉政合同</w:t>
      </w:r>
      <w:bookmarkEnd w:id="1777"/>
      <w:bookmarkEnd w:id="1778"/>
      <w:bookmarkEnd w:id="1779"/>
      <w:bookmarkEnd w:id="1780"/>
      <w:bookmarkEnd w:id="1781"/>
    </w:p>
    <w:p w14:paraId="1CF6C2A9">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 政 合 同</w:t>
      </w:r>
    </w:p>
    <w:p w14:paraId="18EBE8D8">
      <w:pPr>
        <w:pageBreakBefore w:val="0"/>
        <w:kinsoku/>
        <w:wordWrap w:val="0"/>
        <w:bidi w:val="0"/>
        <w:spacing w:line="400" w:lineRule="atLeast"/>
        <w:rPr>
          <w:rFonts w:hint="default" w:ascii="Times New Roman" w:hAnsi="Times New Roman" w:eastAsia="黑体" w:cs="Times New Roman"/>
          <w:b/>
          <w:color w:val="auto"/>
          <w:spacing w:val="30"/>
          <w:sz w:val="24"/>
          <w:highlight w:val="none"/>
        </w:rPr>
      </w:pPr>
    </w:p>
    <w:p w14:paraId="3EF51E3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（项目名称）的项目法人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（项目法人名称，以下简称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）与该项目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标段的施工单位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（施工单位名称，以下简称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），特订立如下合同。</w:t>
      </w:r>
    </w:p>
    <w:p w14:paraId="03161376">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2" w:name="_Toc16895"/>
      <w:r>
        <w:rPr>
          <w:rFonts w:hint="default" w:ascii="Times New Roman" w:hAnsi="Times New Roman" w:eastAsia="黑体" w:cs="Times New Roman"/>
          <w:color w:val="auto"/>
          <w:sz w:val="24"/>
          <w:highlight w:val="none"/>
        </w:rPr>
        <w:t>1. 发包人和承包人双方的权利和义务</w:t>
      </w:r>
      <w:bookmarkEnd w:id="1782"/>
    </w:p>
    <w:p w14:paraId="4F20916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（1）严格遵守党的政策规定和国家有关法律法规及交通运输部的有关规定。</w:t>
      </w:r>
    </w:p>
    <w:p w14:paraId="1EF3CB3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（2）严格执行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标段施工合同文件，自觉按合同办事。</w:t>
      </w:r>
    </w:p>
    <w:p w14:paraId="50ED658E">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（3）双方的业务活动坚持公开、公正、诚信、透明的原则（法律认定的商业秘密和合同文件另有规定除外），不得损害国家和集体利益，不得违反工程建设管理规章制度。</w:t>
      </w:r>
    </w:p>
    <w:p w14:paraId="2177E6E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（4）建立健全廉政制度，开展廉政教育，设立廉政告示牌，公布举报电话，监督并认真查处违法违纪行为。</w:t>
      </w:r>
    </w:p>
    <w:p w14:paraId="2A9124CB">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（5）发现对方在业务活动中有违反廉政规定的行为，有及时提醒对方纠正的权利和义务。</w:t>
      </w:r>
    </w:p>
    <w:p w14:paraId="07B9EBC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（6）发现对方严重违反本合同义务条款的行为，有向其上级有关部门举报、建议给予处理并要求告知处理结果的权利。</w:t>
      </w:r>
    </w:p>
    <w:p w14:paraId="088972E4">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3" w:name="_Toc26938"/>
      <w:r>
        <w:rPr>
          <w:rFonts w:hint="default" w:ascii="Times New Roman" w:hAnsi="Times New Roman" w:eastAsia="黑体" w:cs="Times New Roman"/>
          <w:color w:val="auto"/>
          <w:sz w:val="24"/>
          <w:highlight w:val="none"/>
        </w:rPr>
        <w:t>2. 发包人的义务</w:t>
      </w:r>
      <w:bookmarkEnd w:id="1783"/>
    </w:p>
    <w:p w14:paraId="62737DF6">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（1）发包人及其工作人员不得索要或接受承包人的礼金、有价证券和贵重物品，不得让承包人报销任何应由发包人或发包人工作人员个人支付的费用等。</w:t>
      </w:r>
    </w:p>
    <w:p w14:paraId="78BEAFC4">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（2）发包人工作人员不得参加承包人安排的超标准宴请和娱乐活动；不得接受承包人提供的通信工具、交通工具和高档办公用品等。</w:t>
      </w:r>
    </w:p>
    <w:p w14:paraId="0BB0AD8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（3）发包人及其工作人员不得要求或者接受承包人为其住房装修、婚丧嫁娶活动、配偶子女的工作安排以及出国出境、旅游等提供方便等。</w:t>
      </w:r>
    </w:p>
    <w:p w14:paraId="2851B575">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（4）发包人工作人员及其配偶、子女不得从事与发包人工程有关的材料设备供应、工程分包、劳务等经济活动等。</w:t>
      </w:r>
    </w:p>
    <w:p w14:paraId="4C26E43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（5）发包人及其工作人员不得以任何理由向承包人推荐分包单位或推销材料，不得要求承包人购买合同规定外的材料和设备。</w:t>
      </w:r>
    </w:p>
    <w:p w14:paraId="2BC150BB">
      <w:pPr>
        <w:pageBreakBefore w:val="0"/>
        <w:kinsoku/>
        <w:wordWrap w:val="0"/>
        <w:bidi w:val="0"/>
        <w:spacing w:line="400" w:lineRule="atLeast"/>
        <w:ind w:firstLine="616" w:firstLineChars="257"/>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（6）发包人工作人员要秉公办事，不准营私舞弊，不准利用职权从事各种个人有偿中介活动和安排个人施工队伍。</w:t>
      </w:r>
    </w:p>
    <w:p w14:paraId="6D74CAF4">
      <w:pPr>
        <w:pageBreakBefore w:val="0"/>
        <w:kinsoku/>
        <w:wordWrap w:val="0"/>
        <w:bidi w:val="0"/>
        <w:spacing w:line="400" w:lineRule="atLeast"/>
        <w:ind w:firstLine="616" w:firstLineChars="257"/>
        <w:outlineLvl w:val="9"/>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3. 承包人的义务</w:t>
      </w:r>
    </w:p>
    <w:p w14:paraId="15AAD95D">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（1）承包人不得以任何理由向发包人及其工作人员行贿或馈赠礼金、有价证券、贵重礼品。</w:t>
      </w:r>
    </w:p>
    <w:p w14:paraId="30DA41C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（2）承包人不得以任何名义为发包人及其工作人员报销应由发包人单位或个人支付的任何费用。</w:t>
      </w:r>
    </w:p>
    <w:p w14:paraId="401518D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（3）承包人不得以任何理由安排发包人工作人员参加超标准宴请及娱乐活动。</w:t>
      </w:r>
    </w:p>
    <w:p w14:paraId="371ADB1C">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（4）承包人不得为发包人单位和个人购置或提供通信工具、交通工具和高档办公用品等。</w:t>
      </w:r>
    </w:p>
    <w:p w14:paraId="12083C30">
      <w:pPr>
        <w:pageBreakBefore w:val="0"/>
        <w:kinsoku/>
        <w:wordWrap w:val="0"/>
        <w:bidi w:val="0"/>
        <w:spacing w:line="400" w:lineRule="atLeast"/>
        <w:ind w:firstLine="616" w:firstLineChars="257"/>
        <w:outlineLvl w:val="2"/>
        <w:rPr>
          <w:rFonts w:hint="default" w:ascii="Times New Roman" w:hAnsi="Times New Roman" w:eastAsia="黑体" w:cs="Times New Roman"/>
          <w:color w:val="auto"/>
          <w:sz w:val="24"/>
          <w:highlight w:val="none"/>
        </w:rPr>
      </w:pPr>
      <w:bookmarkStart w:id="1784" w:name="_Toc21007"/>
      <w:r>
        <w:rPr>
          <w:rFonts w:hint="default" w:ascii="Times New Roman" w:hAnsi="Times New Roman" w:eastAsia="黑体" w:cs="Times New Roman"/>
          <w:color w:val="auto"/>
          <w:sz w:val="24"/>
          <w:highlight w:val="none"/>
        </w:rPr>
        <w:t>4. 违约责任</w:t>
      </w:r>
      <w:bookmarkEnd w:id="1784"/>
    </w:p>
    <w:p w14:paraId="7581BD0F">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（1）发包人及其工作人员违反本合同第1、2条，按管理权限，依据有关规定给予党纪、政纪或组织处理；涉嫌犯罪的，移交司法机关追究刑事责任；给承包人单位造成经济损失的，应予以赔偿。</w:t>
      </w:r>
    </w:p>
    <w:p w14:paraId="59995806">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4C240631">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5.</w:t>
      </w:r>
      <w:r>
        <w:rPr>
          <w:rFonts w:hint="default" w:ascii="Times New Roman" w:hAnsi="Times New Roman" w:cs="Times New Roman"/>
          <w:color w:val="auto"/>
          <w:sz w:val="24"/>
          <w:highlight w:val="none"/>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3D043DB7">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6. </w:t>
      </w:r>
      <w:r>
        <w:rPr>
          <w:rFonts w:hint="default" w:ascii="Times New Roman" w:hAnsi="Times New Roman" w:cs="Times New Roman"/>
          <w:color w:val="auto"/>
          <w:sz w:val="24"/>
          <w:highlight w:val="none"/>
        </w:rPr>
        <w:t>本合同有效期为发包人和承包人签署之日起至该工程项目竣工验收后止。</w:t>
      </w:r>
    </w:p>
    <w:p w14:paraId="5FE50149">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 xml:space="preserve">7. </w:t>
      </w:r>
      <w:r>
        <w:rPr>
          <w:rFonts w:hint="default" w:ascii="Times New Roman" w:hAnsi="Times New Roman" w:cs="Times New Roman"/>
          <w:color w:val="auto"/>
          <w:sz w:val="24"/>
          <w:highlight w:val="none"/>
        </w:rPr>
        <w:t>本合同作为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标段施工合同的附件，与工程施工合同具有同等的法律效力，经合同双方签署后立即生效。</w:t>
      </w:r>
    </w:p>
    <w:p w14:paraId="0B1DA5A3">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rPr>
        <w:t>8.</w:t>
      </w:r>
      <w:r>
        <w:rPr>
          <w:rFonts w:hint="default" w:ascii="Times New Roman" w:hAnsi="Times New Roman" w:cs="Times New Roman"/>
          <w:color w:val="auto"/>
          <w:sz w:val="24"/>
          <w:highlight w:val="none"/>
        </w:rPr>
        <w:t xml:space="preserve"> 本合同一式四份，由发包人和承包人各执一份，送交发包人和承包人的监督单位各一份。</w:t>
      </w:r>
    </w:p>
    <w:p w14:paraId="593E528F">
      <w:pPr>
        <w:pageBreakBefore w:val="0"/>
        <w:kinsoku/>
        <w:wordWrap w:val="0"/>
        <w:bidi w:val="0"/>
        <w:spacing w:line="400" w:lineRule="atLeast"/>
        <w:rPr>
          <w:rFonts w:hint="default" w:ascii="Times New Roman" w:hAnsi="Times New Roman" w:cs="Times New Roman"/>
          <w:color w:val="auto"/>
          <w:sz w:val="24"/>
          <w:highlight w:val="none"/>
        </w:rPr>
      </w:pPr>
    </w:p>
    <w:p w14:paraId="617533DF">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3FAE2DF0">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0F7EFD92">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CD936AC">
      <w:pPr>
        <w:pageBreakBefore w:val="0"/>
        <w:kinsoku/>
        <w:wordWrap w:val="0"/>
        <w:bidi w:val="0"/>
        <w:spacing w:line="440" w:lineRule="exact"/>
        <w:ind w:firstLine="360" w:firstLineChars="150"/>
        <w:rPr>
          <w:rFonts w:hint="default" w:ascii="Times New Roman" w:hAnsi="Times New Roman" w:cs="Times New Roman"/>
          <w:color w:val="auto"/>
          <w:sz w:val="24"/>
          <w:highlight w:val="none"/>
        </w:rPr>
      </w:pPr>
    </w:p>
    <w:p w14:paraId="5DBEE80E">
      <w:pPr>
        <w:pageBreakBefore w:val="0"/>
        <w:kinsoku/>
        <w:wordWrap w:val="0"/>
        <w:bidi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发包人监督单位：</w:t>
      </w:r>
      <w:r>
        <w:rPr>
          <w:rFonts w:hint="default" w:ascii="Times New Roman" w:hAnsi="Times New Roman" w:cs="Times New Roman"/>
          <w:color w:val="auto"/>
          <w:sz w:val="24"/>
          <w:highlight w:val="none"/>
          <w:u w:val="single"/>
        </w:rPr>
        <w:t>（全称）（盖单位章）</w:t>
      </w:r>
      <w:r>
        <w:rPr>
          <w:rFonts w:hint="default" w:ascii="Times New Roman" w:hAnsi="Times New Roman" w:cs="Times New Roman"/>
          <w:color w:val="auto"/>
          <w:sz w:val="24"/>
          <w:highlight w:val="none"/>
        </w:rPr>
        <w:t xml:space="preserve">     承包人监督单位：</w:t>
      </w:r>
      <w:r>
        <w:rPr>
          <w:rFonts w:hint="default" w:ascii="Times New Roman" w:hAnsi="Times New Roman" w:cs="Times New Roman"/>
          <w:color w:val="auto"/>
          <w:sz w:val="24"/>
          <w:highlight w:val="none"/>
          <w:u w:val="single"/>
        </w:rPr>
        <w:t>（全称）（盖单位章）</w:t>
      </w:r>
    </w:p>
    <w:p w14:paraId="0DF098D0">
      <w:pPr>
        <w:pageBreakBefore w:val="0"/>
        <w:kinsoku/>
        <w:wordWrap w:val="0"/>
        <w:bidi w:val="0"/>
        <w:spacing w:line="400" w:lineRule="atLeast"/>
        <w:rPr>
          <w:rFonts w:hint="default" w:ascii="Times New Roman" w:hAnsi="Times New Roman" w:cs="Times New Roman"/>
          <w:color w:val="auto"/>
          <w:sz w:val="24"/>
          <w:highlight w:val="none"/>
        </w:rPr>
      </w:pPr>
    </w:p>
    <w:p w14:paraId="365284D4">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785" w:name="_Toc20728"/>
      <w:bookmarkStart w:id="1786" w:name="_Toc29870"/>
      <w:bookmarkStart w:id="1787" w:name="_Toc1095"/>
      <w:bookmarkStart w:id="1788" w:name="_Toc234833233"/>
      <w:bookmarkStart w:id="1789" w:name="_Toc7071"/>
      <w:r>
        <w:rPr>
          <w:rFonts w:hint="default" w:ascii="Times New Roman" w:hAnsi="Times New Roman" w:eastAsia="黑体" w:cs="Times New Roman"/>
          <w:b w:val="0"/>
          <w:color w:val="auto"/>
          <w:sz w:val="24"/>
          <w:szCs w:val="24"/>
          <w:highlight w:val="none"/>
        </w:rPr>
        <w:t>附件三</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安全生产合同</w:t>
      </w:r>
      <w:bookmarkEnd w:id="1785"/>
      <w:bookmarkEnd w:id="1786"/>
      <w:bookmarkEnd w:id="1787"/>
      <w:bookmarkEnd w:id="1788"/>
      <w:bookmarkEnd w:id="1789"/>
    </w:p>
    <w:p w14:paraId="19D13936">
      <w:pPr>
        <w:pageBreakBefore w:val="0"/>
        <w:kinsoku/>
        <w:wordWrap w:val="0"/>
        <w:bidi w:val="0"/>
        <w:spacing w:line="39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安全生产合同</w:t>
      </w:r>
    </w:p>
    <w:p w14:paraId="5E547AFC">
      <w:pPr>
        <w:pageBreakBefore w:val="0"/>
        <w:kinsoku/>
        <w:wordWrap w:val="0"/>
        <w:bidi w:val="0"/>
        <w:spacing w:line="390" w:lineRule="atLeast"/>
        <w:rPr>
          <w:rFonts w:hint="default" w:ascii="Times New Roman" w:hAnsi="Times New Roman" w:eastAsia="黑体" w:cs="Times New Roman"/>
          <w:b/>
          <w:color w:val="auto"/>
          <w:sz w:val="24"/>
          <w:highlight w:val="none"/>
        </w:rPr>
      </w:pPr>
    </w:p>
    <w:p w14:paraId="17076550">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标段施工合同的实施过程中创造安全、高效的施工环境，切实搞好本项目的安全管理工作，本项目发包人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）与承包人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）特此签订安全生产合同。</w:t>
      </w:r>
    </w:p>
    <w:p w14:paraId="28E8161D">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0" w:name="_Toc19308"/>
      <w:r>
        <w:rPr>
          <w:rFonts w:hint="default" w:ascii="Times New Roman" w:hAnsi="Times New Roman" w:eastAsia="黑体" w:cs="Times New Roman"/>
          <w:color w:val="auto"/>
          <w:sz w:val="24"/>
          <w:highlight w:val="none"/>
        </w:rPr>
        <w:t>1.发包人职责</w:t>
      </w:r>
      <w:bookmarkEnd w:id="1790"/>
    </w:p>
    <w:p w14:paraId="260DEA28">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（1）严格遵守国家有关安全生产的法律法规，认真执行工程承包合同中的有关安全要求。</w:t>
      </w:r>
    </w:p>
    <w:p w14:paraId="55294507">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（2）按照</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的原则进行安全生产管理，做到生产与安全工作同时计划、布置、检查、总结和评比。</w:t>
      </w:r>
    </w:p>
    <w:p w14:paraId="177770E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（3）重要的安全设施必须坚持与主体工程</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三同时</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的原则，即：同时设计、审批，同时施工，同时验收，投入使用。</w:t>
      </w:r>
    </w:p>
    <w:p w14:paraId="5897190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（4）定期召开安全生产调度会，及时传达中央及地方有关安全生产的精神。</w:t>
      </w:r>
    </w:p>
    <w:p w14:paraId="49CE02E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（5）组织对承包人施工现场进行安全生产检查，监督承包人及时处理发现的各种安全隐患。</w:t>
      </w:r>
    </w:p>
    <w:p w14:paraId="74448AF1">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1" w:name="_Toc18835"/>
      <w:r>
        <w:rPr>
          <w:rFonts w:hint="default" w:ascii="Times New Roman" w:hAnsi="Times New Roman" w:eastAsia="黑体" w:cs="Times New Roman"/>
          <w:color w:val="auto"/>
          <w:sz w:val="24"/>
          <w:highlight w:val="none"/>
        </w:rPr>
        <w:t>2.承包人职责</w:t>
      </w:r>
      <w:bookmarkEnd w:id="1791"/>
    </w:p>
    <w:p w14:paraId="22D7B832">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33F8BBC6">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安全第一、预防为主、综合治理</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和</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管生产必须管安全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60FF688">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57DE624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（4）承包人在任何时候都应采取各种合理的预防措施，防止其员工发生任何违法、违禁、暴力或妨碍治安的行为。</w:t>
      </w:r>
    </w:p>
    <w:p w14:paraId="5AAD974D">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5FEF7C4D">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人，或允许、容忍上述同样行为。</w:t>
      </w:r>
    </w:p>
    <w:p w14:paraId="79FD5033">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（7）操作人员上岗，必须按规定穿戴防护用品。施工负责人和安全检查员应随时检查劳动防护用品的穿戴情况，不按规定穿戴防护用品的人员不得上岗。</w:t>
      </w:r>
    </w:p>
    <w:p w14:paraId="3E4C52B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（8）所有施工机具设备和高空作业的设备均应定期检查，并有安全员的签字记录，保证其经常处于完好状态；不合格的机具、设备和劳动保护用品严禁使用。</w:t>
      </w:r>
    </w:p>
    <w:p w14:paraId="43FCB3A9">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（9）施工中采用新技术、新工艺、新设备、新材料时，必须制定相应的安全技术措施，施工现场必须具有相关的安全标志牌。</w:t>
      </w:r>
    </w:p>
    <w:p w14:paraId="7B9F96FA">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四不放过</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的原则，严肃处理相关责任人。</w:t>
      </w:r>
    </w:p>
    <w:p w14:paraId="7B2B74BF">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（11）安全生产费用按照</w:t>
      </w:r>
      <w:bookmarkStart w:id="1792" w:name="_Toc187470650"/>
      <w:r>
        <w:rPr>
          <w:rFonts w:hint="default" w:ascii="Times New Roman" w:hAnsi="Times New Roman" w:cs="Times New Roman"/>
          <w:color w:val="auto"/>
          <w:sz w:val="24"/>
          <w:highlight w:val="none"/>
        </w:rPr>
        <w:t>《公路水运工程安全生产监督管理办法</w:t>
      </w:r>
      <w:bookmarkEnd w:id="1792"/>
      <w:r>
        <w:rPr>
          <w:rFonts w:hint="default" w:ascii="Times New Roman" w:hAnsi="Times New Roman" w:cs="Times New Roman"/>
          <w:color w:val="auto"/>
          <w:sz w:val="24"/>
          <w:highlight w:val="none"/>
        </w:rPr>
        <w:t>》的相关规定使用和管理。</w:t>
      </w:r>
    </w:p>
    <w:p w14:paraId="7E3D07E0">
      <w:pPr>
        <w:pageBreakBefore w:val="0"/>
        <w:kinsoku/>
        <w:wordWrap w:val="0"/>
        <w:bidi w:val="0"/>
        <w:spacing w:line="390" w:lineRule="atLeast"/>
        <w:ind w:firstLine="616" w:firstLineChars="257"/>
        <w:outlineLvl w:val="2"/>
        <w:rPr>
          <w:rFonts w:hint="default" w:ascii="Times New Roman" w:hAnsi="Times New Roman" w:eastAsia="黑体" w:cs="Times New Roman"/>
          <w:color w:val="auto"/>
          <w:sz w:val="24"/>
          <w:highlight w:val="none"/>
        </w:rPr>
      </w:pPr>
      <w:bookmarkStart w:id="1793" w:name="_Toc19815"/>
      <w:r>
        <w:rPr>
          <w:rFonts w:hint="default" w:ascii="Times New Roman" w:hAnsi="Times New Roman" w:eastAsia="黑体" w:cs="Times New Roman"/>
          <w:color w:val="auto"/>
          <w:sz w:val="24"/>
          <w:highlight w:val="none"/>
        </w:rPr>
        <w:t>3.违约责任</w:t>
      </w:r>
      <w:bookmarkEnd w:id="1793"/>
    </w:p>
    <w:p w14:paraId="27EE87B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如因发包人或承包人违约造成安全事故，将依法追究责任。</w:t>
      </w:r>
    </w:p>
    <w:p w14:paraId="1CCD83A1">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本合同由双方法定代表人或其授权的代理人签署并加盖单位章后生效，全部工程竣工验收后失效。</w:t>
      </w:r>
    </w:p>
    <w:p w14:paraId="56E16B6B">
      <w:pPr>
        <w:pageBreakBefore w:val="0"/>
        <w:kinsoku/>
        <w:wordWrap w:val="0"/>
        <w:bidi w:val="0"/>
        <w:spacing w:line="39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本合同正本二份、副本____份，合同双方各执正本一份，副本____份，当正本与副本的内容不一致时，以正本为准。</w:t>
      </w:r>
    </w:p>
    <w:p w14:paraId="014AA892">
      <w:pPr>
        <w:pageBreakBefore w:val="0"/>
        <w:kinsoku/>
        <w:wordWrap w:val="0"/>
        <w:bidi w:val="0"/>
        <w:spacing w:line="400" w:lineRule="atLeast"/>
        <w:ind w:firstLine="525"/>
        <w:rPr>
          <w:rFonts w:hint="default" w:ascii="Times New Roman" w:hAnsi="Times New Roman" w:cs="Times New Roman"/>
          <w:color w:val="auto"/>
          <w:sz w:val="24"/>
          <w:highlight w:val="none"/>
        </w:rPr>
      </w:pPr>
    </w:p>
    <w:p w14:paraId="26F3159A">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1B83DD77">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i/>
          <w:color w:val="auto"/>
          <w:sz w:val="24"/>
          <w:highlight w:val="none"/>
        </w:rPr>
        <w:t>（</w:t>
      </w:r>
      <w:r>
        <w:rPr>
          <w:rFonts w:hint="default" w:ascii="Times New Roman" w:hAnsi="Times New Roman" w:cs="Times New Roman"/>
          <w:color w:val="auto"/>
          <w:sz w:val="24"/>
          <w:highlight w:val="none"/>
        </w:rPr>
        <w:t>签字）  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2DEF6352">
      <w:pPr>
        <w:pageBreakBefore w:val="0"/>
        <w:kinsoku/>
        <w:wordWrap w:val="0"/>
        <w:bidi w:val="0"/>
        <w:spacing w:line="440" w:lineRule="exact"/>
        <w:ind w:firstLine="840" w:firstLineChars="3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日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6AB41FA2">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94" w:name="_Toc24497"/>
      <w:bookmarkStart w:id="1795" w:name="_Toc234833234"/>
      <w:bookmarkStart w:id="1796" w:name="_Toc5077"/>
      <w:bookmarkStart w:id="1797" w:name="_Toc30403"/>
      <w:bookmarkStart w:id="1798" w:name="_Toc14696"/>
      <w:r>
        <w:rPr>
          <w:rFonts w:hint="default" w:ascii="Times New Roman" w:hAnsi="Times New Roman" w:eastAsia="黑体" w:cs="Times New Roman"/>
          <w:b w:val="0"/>
          <w:color w:val="auto"/>
          <w:sz w:val="24"/>
          <w:szCs w:val="24"/>
          <w:highlight w:val="none"/>
        </w:rPr>
        <w:t>附件四</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 xml:space="preserve">其他管理和技术人员最低要求 </w:t>
      </w:r>
      <w:r>
        <w:rPr>
          <w:rFonts w:hint="default" w:ascii="Times New Roman" w:hAnsi="Times New Roman" w:cs="Times New Roman"/>
          <w:color w:val="auto"/>
          <w:kern w:val="2"/>
          <w:sz w:val="24"/>
          <w:szCs w:val="24"/>
          <w:highlight w:val="none"/>
          <w:vertAlign w:val="superscript"/>
        </w:rPr>
        <w:footnoteReference w:id="48"/>
      </w:r>
      <w:bookmarkEnd w:id="1794"/>
      <w:bookmarkEnd w:id="1795"/>
      <w:bookmarkEnd w:id="1796"/>
      <w:bookmarkEnd w:id="1797"/>
      <w:bookmarkEnd w:id="1798"/>
    </w:p>
    <w:p w14:paraId="60812B6D">
      <w:pPr>
        <w:pageBreakBefore w:val="0"/>
        <w:kinsoku/>
        <w:wordWrap w:val="0"/>
        <w:bidi w:val="0"/>
        <w:adjustRightInd w:val="0"/>
        <w:snapToGrid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3B7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52A2FFA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  员</w:t>
            </w:r>
          </w:p>
        </w:tc>
        <w:tc>
          <w:tcPr>
            <w:tcW w:w="2161" w:type="dxa"/>
            <w:noWrap w:val="0"/>
            <w:vAlign w:val="center"/>
          </w:tcPr>
          <w:p w14:paraId="4FF88BD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数  量</w:t>
            </w:r>
          </w:p>
        </w:tc>
        <w:tc>
          <w:tcPr>
            <w:tcW w:w="4282" w:type="dxa"/>
            <w:noWrap w:val="0"/>
            <w:vAlign w:val="center"/>
          </w:tcPr>
          <w:p w14:paraId="34A045D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资 格 要 求</w:t>
            </w:r>
          </w:p>
        </w:tc>
      </w:tr>
      <w:tr w14:paraId="1F2A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AE9999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F9FED5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49B1CCC">
            <w:pPr>
              <w:pageBreakBefore w:val="0"/>
              <w:kinsoku/>
              <w:wordWrap w:val="0"/>
              <w:bidi w:val="0"/>
              <w:spacing w:line="400" w:lineRule="atLeast"/>
              <w:rPr>
                <w:rFonts w:hint="default" w:ascii="Times New Roman" w:hAnsi="Times New Roman" w:cs="Times New Roman"/>
                <w:color w:val="auto"/>
                <w:sz w:val="24"/>
                <w:highlight w:val="none"/>
              </w:rPr>
            </w:pPr>
          </w:p>
        </w:tc>
      </w:tr>
      <w:tr w14:paraId="2EED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B9A22E">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45A47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DA7C695">
            <w:pPr>
              <w:pageBreakBefore w:val="0"/>
              <w:kinsoku/>
              <w:wordWrap w:val="0"/>
              <w:bidi w:val="0"/>
              <w:spacing w:line="400" w:lineRule="atLeast"/>
              <w:rPr>
                <w:rFonts w:hint="default" w:ascii="Times New Roman" w:hAnsi="Times New Roman" w:cs="Times New Roman"/>
                <w:color w:val="auto"/>
                <w:sz w:val="24"/>
                <w:highlight w:val="none"/>
              </w:rPr>
            </w:pPr>
          </w:p>
        </w:tc>
      </w:tr>
      <w:tr w14:paraId="77D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98719AB">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013CC2E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018C5BB4">
            <w:pPr>
              <w:pageBreakBefore w:val="0"/>
              <w:kinsoku/>
              <w:wordWrap w:val="0"/>
              <w:bidi w:val="0"/>
              <w:spacing w:line="400" w:lineRule="atLeast"/>
              <w:rPr>
                <w:rFonts w:hint="default" w:ascii="Times New Roman" w:hAnsi="Times New Roman" w:cs="Times New Roman"/>
                <w:color w:val="auto"/>
                <w:sz w:val="24"/>
                <w:highlight w:val="none"/>
              </w:rPr>
            </w:pPr>
          </w:p>
        </w:tc>
      </w:tr>
      <w:tr w14:paraId="539F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43CF542">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291F041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B07ADC7">
            <w:pPr>
              <w:pageBreakBefore w:val="0"/>
              <w:kinsoku/>
              <w:wordWrap w:val="0"/>
              <w:bidi w:val="0"/>
              <w:spacing w:line="400" w:lineRule="atLeast"/>
              <w:rPr>
                <w:rFonts w:hint="default" w:ascii="Times New Roman" w:hAnsi="Times New Roman" w:cs="Times New Roman"/>
                <w:color w:val="auto"/>
                <w:sz w:val="24"/>
                <w:highlight w:val="none"/>
              </w:rPr>
            </w:pPr>
          </w:p>
        </w:tc>
      </w:tr>
      <w:tr w14:paraId="4C64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879AB81">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666C2C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F6DBE77">
            <w:pPr>
              <w:pageBreakBefore w:val="0"/>
              <w:kinsoku/>
              <w:wordWrap w:val="0"/>
              <w:bidi w:val="0"/>
              <w:spacing w:line="400" w:lineRule="atLeast"/>
              <w:rPr>
                <w:rFonts w:hint="default" w:ascii="Times New Roman" w:hAnsi="Times New Roman" w:cs="Times New Roman"/>
                <w:color w:val="auto"/>
                <w:sz w:val="24"/>
                <w:highlight w:val="none"/>
              </w:rPr>
            </w:pPr>
          </w:p>
        </w:tc>
      </w:tr>
      <w:tr w14:paraId="2088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10B88BA">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A28E9E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28297BE">
            <w:pPr>
              <w:pageBreakBefore w:val="0"/>
              <w:kinsoku/>
              <w:wordWrap w:val="0"/>
              <w:bidi w:val="0"/>
              <w:spacing w:line="400" w:lineRule="atLeast"/>
              <w:rPr>
                <w:rFonts w:hint="default" w:ascii="Times New Roman" w:hAnsi="Times New Roman" w:cs="Times New Roman"/>
                <w:color w:val="auto"/>
                <w:sz w:val="24"/>
                <w:highlight w:val="none"/>
              </w:rPr>
            </w:pPr>
          </w:p>
        </w:tc>
      </w:tr>
      <w:tr w14:paraId="0932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EFE01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89BA22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596F8D4">
            <w:pPr>
              <w:pageBreakBefore w:val="0"/>
              <w:kinsoku/>
              <w:wordWrap w:val="0"/>
              <w:bidi w:val="0"/>
              <w:spacing w:line="400" w:lineRule="atLeast"/>
              <w:rPr>
                <w:rFonts w:hint="default" w:ascii="Times New Roman" w:hAnsi="Times New Roman" w:cs="Times New Roman"/>
                <w:color w:val="auto"/>
                <w:sz w:val="24"/>
                <w:highlight w:val="none"/>
              </w:rPr>
            </w:pPr>
          </w:p>
        </w:tc>
      </w:tr>
      <w:tr w14:paraId="108B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1D57B6FF">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9F667F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2DF63B4">
            <w:pPr>
              <w:pageBreakBefore w:val="0"/>
              <w:kinsoku/>
              <w:wordWrap w:val="0"/>
              <w:bidi w:val="0"/>
              <w:spacing w:line="400" w:lineRule="atLeast"/>
              <w:rPr>
                <w:rFonts w:hint="default" w:ascii="Times New Roman" w:hAnsi="Times New Roman" w:cs="Times New Roman"/>
                <w:color w:val="auto"/>
                <w:sz w:val="24"/>
                <w:highlight w:val="none"/>
              </w:rPr>
            </w:pPr>
          </w:p>
        </w:tc>
      </w:tr>
      <w:tr w14:paraId="67FD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E86177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E939284">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BB14064">
            <w:pPr>
              <w:pageBreakBefore w:val="0"/>
              <w:kinsoku/>
              <w:wordWrap w:val="0"/>
              <w:bidi w:val="0"/>
              <w:spacing w:line="400" w:lineRule="atLeast"/>
              <w:rPr>
                <w:rFonts w:hint="default" w:ascii="Times New Roman" w:hAnsi="Times New Roman" w:cs="Times New Roman"/>
                <w:color w:val="auto"/>
                <w:sz w:val="24"/>
                <w:highlight w:val="none"/>
              </w:rPr>
            </w:pPr>
          </w:p>
        </w:tc>
      </w:tr>
      <w:tr w14:paraId="252D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7114918D">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EADD0E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4FA6EE78">
            <w:pPr>
              <w:pageBreakBefore w:val="0"/>
              <w:kinsoku/>
              <w:wordWrap w:val="0"/>
              <w:bidi w:val="0"/>
              <w:spacing w:line="400" w:lineRule="atLeast"/>
              <w:rPr>
                <w:rFonts w:hint="default" w:ascii="Times New Roman" w:hAnsi="Times New Roman" w:cs="Times New Roman"/>
                <w:color w:val="auto"/>
                <w:sz w:val="24"/>
                <w:highlight w:val="none"/>
              </w:rPr>
            </w:pPr>
          </w:p>
        </w:tc>
      </w:tr>
      <w:tr w14:paraId="3232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E2169DC">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655E69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1438082">
            <w:pPr>
              <w:pageBreakBefore w:val="0"/>
              <w:kinsoku/>
              <w:wordWrap w:val="0"/>
              <w:bidi w:val="0"/>
              <w:spacing w:line="400" w:lineRule="atLeast"/>
              <w:rPr>
                <w:rFonts w:hint="default" w:ascii="Times New Roman" w:hAnsi="Times New Roman" w:cs="Times New Roman"/>
                <w:color w:val="auto"/>
                <w:sz w:val="24"/>
                <w:highlight w:val="none"/>
              </w:rPr>
            </w:pPr>
          </w:p>
        </w:tc>
      </w:tr>
      <w:tr w14:paraId="574D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351E9F4">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501EAC2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3566DA93">
            <w:pPr>
              <w:pageBreakBefore w:val="0"/>
              <w:kinsoku/>
              <w:wordWrap w:val="0"/>
              <w:bidi w:val="0"/>
              <w:spacing w:line="400" w:lineRule="atLeast"/>
              <w:rPr>
                <w:rFonts w:hint="default" w:ascii="Times New Roman" w:hAnsi="Times New Roman" w:cs="Times New Roman"/>
                <w:color w:val="auto"/>
                <w:sz w:val="24"/>
                <w:highlight w:val="none"/>
              </w:rPr>
            </w:pPr>
          </w:p>
        </w:tc>
      </w:tr>
      <w:tr w14:paraId="39A2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70952F63">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7E8CA07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5373738B">
            <w:pPr>
              <w:pageBreakBefore w:val="0"/>
              <w:kinsoku/>
              <w:wordWrap w:val="0"/>
              <w:bidi w:val="0"/>
              <w:spacing w:line="400" w:lineRule="atLeast"/>
              <w:rPr>
                <w:rFonts w:hint="default" w:ascii="Times New Roman" w:hAnsi="Times New Roman" w:cs="Times New Roman"/>
                <w:color w:val="auto"/>
                <w:sz w:val="24"/>
                <w:highlight w:val="none"/>
              </w:rPr>
            </w:pPr>
          </w:p>
        </w:tc>
      </w:tr>
      <w:tr w14:paraId="641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1725C65">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17FDD693">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1FAAB6C4">
            <w:pPr>
              <w:pageBreakBefore w:val="0"/>
              <w:kinsoku/>
              <w:wordWrap w:val="0"/>
              <w:bidi w:val="0"/>
              <w:spacing w:line="400" w:lineRule="atLeast"/>
              <w:rPr>
                <w:rFonts w:hint="default" w:ascii="Times New Roman" w:hAnsi="Times New Roman" w:cs="Times New Roman"/>
                <w:color w:val="auto"/>
                <w:sz w:val="24"/>
                <w:highlight w:val="none"/>
              </w:rPr>
            </w:pPr>
          </w:p>
        </w:tc>
      </w:tr>
      <w:tr w14:paraId="3E1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1D15F040">
            <w:pPr>
              <w:pageBreakBefore w:val="0"/>
              <w:kinsoku/>
              <w:wordWrap w:val="0"/>
              <w:bidi w:val="0"/>
              <w:spacing w:line="400" w:lineRule="atLeast"/>
              <w:jc w:val="center"/>
              <w:rPr>
                <w:rFonts w:hint="default" w:ascii="Times New Roman" w:hAnsi="Times New Roman" w:cs="Times New Roman"/>
                <w:color w:val="auto"/>
                <w:sz w:val="24"/>
                <w:highlight w:val="none"/>
              </w:rPr>
            </w:pPr>
          </w:p>
        </w:tc>
        <w:tc>
          <w:tcPr>
            <w:tcW w:w="2161" w:type="dxa"/>
            <w:noWrap w:val="0"/>
            <w:vAlign w:val="center"/>
          </w:tcPr>
          <w:p w14:paraId="32BE21A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4282" w:type="dxa"/>
            <w:noWrap w:val="0"/>
            <w:vAlign w:val="center"/>
          </w:tcPr>
          <w:p w14:paraId="28B6D4E9">
            <w:pPr>
              <w:pageBreakBefore w:val="0"/>
              <w:kinsoku/>
              <w:wordWrap w:val="0"/>
              <w:bidi w:val="0"/>
              <w:spacing w:line="400" w:lineRule="atLeast"/>
              <w:rPr>
                <w:rFonts w:hint="default" w:ascii="Times New Roman" w:hAnsi="Times New Roman" w:cs="Times New Roman"/>
                <w:color w:val="auto"/>
                <w:sz w:val="24"/>
                <w:highlight w:val="none"/>
              </w:rPr>
            </w:pPr>
          </w:p>
        </w:tc>
      </w:tr>
    </w:tbl>
    <w:p w14:paraId="4936E647">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799" w:name="_Toc22982"/>
      <w:bookmarkStart w:id="1800" w:name="_Toc3353"/>
      <w:bookmarkStart w:id="1801" w:name="_Toc28672"/>
      <w:bookmarkStart w:id="1802" w:name="_Toc234833235"/>
      <w:bookmarkStart w:id="1803" w:name="_Toc28190"/>
      <w:r>
        <w:rPr>
          <w:rFonts w:hint="default" w:ascii="Times New Roman" w:hAnsi="Times New Roman" w:eastAsia="黑体" w:cs="Times New Roman"/>
          <w:b w:val="0"/>
          <w:color w:val="auto"/>
          <w:sz w:val="24"/>
          <w:szCs w:val="24"/>
          <w:highlight w:val="none"/>
        </w:rPr>
        <w:t>附件五</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主要机械设备和试验检测设备最低要求</w:t>
      </w:r>
      <w:r>
        <w:rPr>
          <w:rFonts w:hint="default" w:ascii="Times New Roman" w:hAnsi="Times New Roman" w:cs="Times New Roman"/>
          <w:color w:val="auto"/>
          <w:sz w:val="24"/>
          <w:szCs w:val="24"/>
          <w:highlight w:val="none"/>
          <w:vertAlign w:val="superscript"/>
        </w:rPr>
        <w:footnoteReference w:id="49"/>
      </w:r>
      <w:bookmarkEnd w:id="1799"/>
      <w:bookmarkEnd w:id="1800"/>
      <w:bookmarkEnd w:id="1801"/>
      <w:bookmarkEnd w:id="1802"/>
      <w:bookmarkEnd w:id="1803"/>
    </w:p>
    <w:p w14:paraId="64765A12">
      <w:pPr>
        <w:pageBreakBefore w:val="0"/>
        <w:kinsoku/>
        <w:wordWrap w:val="0"/>
        <w:bidi w:val="0"/>
        <w:adjustRightInd w:val="0"/>
        <w:snapToGrid w:val="0"/>
        <w:spacing w:line="400" w:lineRule="atLeast"/>
        <w:rPr>
          <w:rFonts w:hint="default" w:ascii="Times New Roman" w:hAnsi="Times New Roman" w:cs="Times New Roman"/>
          <w:bCs/>
          <w:color w:val="auto"/>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67F5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022457E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设备名称</w:t>
            </w:r>
          </w:p>
        </w:tc>
        <w:tc>
          <w:tcPr>
            <w:tcW w:w="2745" w:type="dxa"/>
            <w:noWrap w:val="0"/>
            <w:vAlign w:val="center"/>
          </w:tcPr>
          <w:p w14:paraId="4A12D5FE">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规格、功率及容量</w:t>
            </w:r>
          </w:p>
        </w:tc>
        <w:tc>
          <w:tcPr>
            <w:tcW w:w="1386" w:type="dxa"/>
            <w:noWrap w:val="0"/>
            <w:vAlign w:val="center"/>
          </w:tcPr>
          <w:p w14:paraId="7F42ED7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单位</w:t>
            </w:r>
          </w:p>
        </w:tc>
        <w:tc>
          <w:tcPr>
            <w:tcW w:w="2194" w:type="dxa"/>
            <w:noWrap w:val="0"/>
            <w:vAlign w:val="center"/>
          </w:tcPr>
          <w:p w14:paraId="1A656A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最低数量要求</w:t>
            </w:r>
          </w:p>
        </w:tc>
      </w:tr>
      <w:tr w14:paraId="49AC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10A2A00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5106A18A">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70704E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3BDFA144">
            <w:pPr>
              <w:pageBreakBefore w:val="0"/>
              <w:kinsoku/>
              <w:wordWrap w:val="0"/>
              <w:bidi w:val="0"/>
              <w:spacing w:line="400" w:lineRule="atLeast"/>
              <w:rPr>
                <w:rFonts w:hint="default" w:ascii="Times New Roman" w:hAnsi="Times New Roman" w:cs="Times New Roman"/>
                <w:color w:val="auto"/>
                <w:sz w:val="24"/>
                <w:highlight w:val="none"/>
              </w:rPr>
            </w:pPr>
          </w:p>
        </w:tc>
      </w:tr>
      <w:tr w14:paraId="093E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431BA5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2726C2A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366B21D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52F392B0">
            <w:pPr>
              <w:pageBreakBefore w:val="0"/>
              <w:kinsoku/>
              <w:wordWrap w:val="0"/>
              <w:bidi w:val="0"/>
              <w:spacing w:line="400" w:lineRule="atLeast"/>
              <w:rPr>
                <w:rFonts w:hint="default" w:ascii="Times New Roman" w:hAnsi="Times New Roman" w:cs="Times New Roman"/>
                <w:color w:val="auto"/>
                <w:sz w:val="24"/>
                <w:highlight w:val="none"/>
              </w:rPr>
            </w:pPr>
          </w:p>
        </w:tc>
      </w:tr>
      <w:tr w14:paraId="52CB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0E1CC23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noWrap w:val="0"/>
            <w:vAlign w:val="center"/>
          </w:tcPr>
          <w:p w14:paraId="5D976A74">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noWrap w:val="0"/>
            <w:vAlign w:val="center"/>
          </w:tcPr>
          <w:p w14:paraId="612E48F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noWrap w:val="0"/>
            <w:vAlign w:val="center"/>
          </w:tcPr>
          <w:p w14:paraId="1B60814B">
            <w:pPr>
              <w:pageBreakBefore w:val="0"/>
              <w:kinsoku/>
              <w:wordWrap w:val="0"/>
              <w:bidi w:val="0"/>
              <w:spacing w:line="400" w:lineRule="atLeast"/>
              <w:rPr>
                <w:rFonts w:hint="default" w:ascii="Times New Roman" w:hAnsi="Times New Roman" w:cs="Times New Roman"/>
                <w:color w:val="auto"/>
                <w:sz w:val="24"/>
                <w:highlight w:val="none"/>
              </w:rPr>
            </w:pPr>
          </w:p>
        </w:tc>
      </w:tr>
      <w:tr w14:paraId="352E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2AC7EBB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787D7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DD8CEF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55CB2A14">
            <w:pPr>
              <w:pageBreakBefore w:val="0"/>
              <w:kinsoku/>
              <w:wordWrap w:val="0"/>
              <w:bidi w:val="0"/>
              <w:spacing w:line="400" w:lineRule="atLeast"/>
              <w:rPr>
                <w:rFonts w:hint="default" w:ascii="Times New Roman" w:hAnsi="Times New Roman" w:cs="Times New Roman"/>
                <w:color w:val="auto"/>
                <w:sz w:val="24"/>
                <w:highlight w:val="none"/>
              </w:rPr>
            </w:pPr>
          </w:p>
        </w:tc>
      </w:tr>
      <w:tr w14:paraId="1D97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25FC5BE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6B3F6FB">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E5A774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7B59065">
            <w:pPr>
              <w:pageBreakBefore w:val="0"/>
              <w:kinsoku/>
              <w:wordWrap w:val="0"/>
              <w:bidi w:val="0"/>
              <w:spacing w:line="400" w:lineRule="atLeast"/>
              <w:rPr>
                <w:rFonts w:hint="default" w:ascii="Times New Roman" w:hAnsi="Times New Roman" w:cs="Times New Roman"/>
                <w:color w:val="auto"/>
                <w:sz w:val="24"/>
                <w:highlight w:val="none"/>
              </w:rPr>
            </w:pPr>
          </w:p>
        </w:tc>
      </w:tr>
      <w:tr w14:paraId="6BD5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E2B0C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548E780">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2F9BA06">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C18EF53">
            <w:pPr>
              <w:pageBreakBefore w:val="0"/>
              <w:kinsoku/>
              <w:wordWrap w:val="0"/>
              <w:bidi w:val="0"/>
              <w:spacing w:line="400" w:lineRule="atLeast"/>
              <w:rPr>
                <w:rFonts w:hint="default" w:ascii="Times New Roman" w:hAnsi="Times New Roman" w:cs="Times New Roman"/>
                <w:color w:val="auto"/>
                <w:sz w:val="24"/>
                <w:highlight w:val="none"/>
              </w:rPr>
            </w:pPr>
          </w:p>
        </w:tc>
      </w:tr>
      <w:tr w14:paraId="428D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EBBCC8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B6D479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764DA8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7460F321">
            <w:pPr>
              <w:pageBreakBefore w:val="0"/>
              <w:kinsoku/>
              <w:wordWrap w:val="0"/>
              <w:bidi w:val="0"/>
              <w:spacing w:line="400" w:lineRule="atLeast"/>
              <w:rPr>
                <w:rFonts w:hint="default" w:ascii="Times New Roman" w:hAnsi="Times New Roman" w:cs="Times New Roman"/>
                <w:color w:val="auto"/>
                <w:sz w:val="24"/>
                <w:highlight w:val="none"/>
              </w:rPr>
            </w:pPr>
          </w:p>
        </w:tc>
      </w:tr>
      <w:tr w14:paraId="498E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6353459">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27477C">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34C17B">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568971A">
            <w:pPr>
              <w:pageBreakBefore w:val="0"/>
              <w:kinsoku/>
              <w:wordWrap w:val="0"/>
              <w:bidi w:val="0"/>
              <w:spacing w:line="400" w:lineRule="atLeast"/>
              <w:rPr>
                <w:rFonts w:hint="default" w:ascii="Times New Roman" w:hAnsi="Times New Roman" w:cs="Times New Roman"/>
                <w:color w:val="auto"/>
                <w:sz w:val="24"/>
                <w:highlight w:val="none"/>
              </w:rPr>
            </w:pPr>
          </w:p>
        </w:tc>
      </w:tr>
      <w:tr w14:paraId="7BE1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E6EBDA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5B120C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368CAD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59DE44BF">
            <w:pPr>
              <w:pageBreakBefore w:val="0"/>
              <w:kinsoku/>
              <w:wordWrap w:val="0"/>
              <w:bidi w:val="0"/>
              <w:spacing w:line="400" w:lineRule="atLeast"/>
              <w:rPr>
                <w:rFonts w:hint="default" w:ascii="Times New Roman" w:hAnsi="Times New Roman" w:cs="Times New Roman"/>
                <w:color w:val="auto"/>
                <w:sz w:val="24"/>
                <w:highlight w:val="none"/>
              </w:rPr>
            </w:pPr>
          </w:p>
        </w:tc>
      </w:tr>
      <w:tr w14:paraId="2BB9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1F9BDCA">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55A0E2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702435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C68510">
            <w:pPr>
              <w:pageBreakBefore w:val="0"/>
              <w:kinsoku/>
              <w:wordWrap w:val="0"/>
              <w:bidi w:val="0"/>
              <w:spacing w:line="400" w:lineRule="atLeast"/>
              <w:rPr>
                <w:rFonts w:hint="default" w:ascii="Times New Roman" w:hAnsi="Times New Roman" w:cs="Times New Roman"/>
                <w:color w:val="auto"/>
                <w:sz w:val="24"/>
                <w:highlight w:val="none"/>
              </w:rPr>
            </w:pPr>
          </w:p>
        </w:tc>
      </w:tr>
      <w:tr w14:paraId="2014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D175977">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12CF4D9">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E216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F5A7B82">
            <w:pPr>
              <w:pageBreakBefore w:val="0"/>
              <w:kinsoku/>
              <w:wordWrap w:val="0"/>
              <w:bidi w:val="0"/>
              <w:spacing w:line="400" w:lineRule="atLeast"/>
              <w:rPr>
                <w:rFonts w:hint="default" w:ascii="Times New Roman" w:hAnsi="Times New Roman" w:cs="Times New Roman"/>
                <w:color w:val="auto"/>
                <w:sz w:val="24"/>
                <w:highlight w:val="none"/>
              </w:rPr>
            </w:pPr>
          </w:p>
        </w:tc>
      </w:tr>
      <w:tr w14:paraId="1349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5B37823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BC90872">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CABDF81">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827E6B7">
            <w:pPr>
              <w:pageBreakBefore w:val="0"/>
              <w:kinsoku/>
              <w:wordWrap w:val="0"/>
              <w:bidi w:val="0"/>
              <w:spacing w:line="400" w:lineRule="atLeast"/>
              <w:rPr>
                <w:rFonts w:hint="default" w:ascii="Times New Roman" w:hAnsi="Times New Roman" w:cs="Times New Roman"/>
                <w:color w:val="auto"/>
                <w:sz w:val="24"/>
                <w:highlight w:val="none"/>
              </w:rPr>
            </w:pPr>
          </w:p>
        </w:tc>
      </w:tr>
      <w:tr w14:paraId="078F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898D522">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03E513">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264725CF">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DFCF529">
            <w:pPr>
              <w:pageBreakBefore w:val="0"/>
              <w:kinsoku/>
              <w:wordWrap w:val="0"/>
              <w:bidi w:val="0"/>
              <w:spacing w:line="400" w:lineRule="atLeast"/>
              <w:rPr>
                <w:rFonts w:hint="default" w:ascii="Times New Roman" w:hAnsi="Times New Roman" w:cs="Times New Roman"/>
                <w:color w:val="auto"/>
                <w:sz w:val="24"/>
                <w:highlight w:val="none"/>
              </w:rPr>
            </w:pPr>
          </w:p>
        </w:tc>
      </w:tr>
      <w:tr w14:paraId="30FC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17FA1BC">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B7F2DDE">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1BB16BD">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A15B7C3">
            <w:pPr>
              <w:pageBreakBefore w:val="0"/>
              <w:kinsoku/>
              <w:wordWrap w:val="0"/>
              <w:bidi w:val="0"/>
              <w:spacing w:line="400" w:lineRule="atLeast"/>
              <w:rPr>
                <w:rFonts w:hint="default" w:ascii="Times New Roman" w:hAnsi="Times New Roman" w:cs="Times New Roman"/>
                <w:color w:val="auto"/>
                <w:sz w:val="24"/>
                <w:highlight w:val="none"/>
              </w:rPr>
            </w:pPr>
          </w:p>
        </w:tc>
      </w:tr>
      <w:tr w14:paraId="00D5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966F5E5">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D123DAF">
            <w:pPr>
              <w:pageBreakBefore w:val="0"/>
              <w:kinsoku/>
              <w:wordWrap w:val="0"/>
              <w:bidi w:val="0"/>
              <w:spacing w:line="400" w:lineRule="atLeast"/>
              <w:rPr>
                <w:rFonts w:hint="default" w:ascii="Times New Roman" w:hAnsi="Times New Roman" w:cs="Times New Roman"/>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F6B6AC8">
            <w:pPr>
              <w:pageBreakBefore w:val="0"/>
              <w:kinsoku/>
              <w:wordWrap w:val="0"/>
              <w:bidi w:val="0"/>
              <w:adjustRightInd w:val="0"/>
              <w:snapToGrid w:val="0"/>
              <w:spacing w:line="400" w:lineRule="atLeast"/>
              <w:jc w:val="center"/>
              <w:rPr>
                <w:rFonts w:hint="default" w:ascii="Times New Roman" w:hAnsi="Times New Roman" w:cs="Times New Roman"/>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1F3CD01F">
            <w:pPr>
              <w:pageBreakBefore w:val="0"/>
              <w:kinsoku/>
              <w:wordWrap w:val="0"/>
              <w:bidi w:val="0"/>
              <w:spacing w:line="400" w:lineRule="atLeast"/>
              <w:rPr>
                <w:rFonts w:hint="default" w:ascii="Times New Roman" w:hAnsi="Times New Roman" w:cs="Times New Roman"/>
                <w:color w:val="auto"/>
                <w:sz w:val="24"/>
                <w:highlight w:val="none"/>
              </w:rPr>
            </w:pPr>
          </w:p>
        </w:tc>
      </w:tr>
    </w:tbl>
    <w:p w14:paraId="2DC0CC53">
      <w:pPr>
        <w:pageBreakBefore w:val="0"/>
        <w:kinsoku/>
        <w:wordWrap w:val="0"/>
        <w:bidi w:val="0"/>
        <w:spacing w:line="400" w:lineRule="atLeast"/>
        <w:rPr>
          <w:rFonts w:hint="default" w:ascii="Times New Roman" w:hAnsi="Times New Roman" w:eastAsia="黑体" w:cs="Times New Roman"/>
          <w:color w:val="auto"/>
          <w:sz w:val="24"/>
          <w:highlight w:val="none"/>
        </w:rPr>
      </w:pPr>
    </w:p>
    <w:p w14:paraId="4ED4F958">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bookmarkStart w:id="1804" w:name="_Toc234833236"/>
      <w:bookmarkStart w:id="1805" w:name="_Toc13117"/>
      <w:bookmarkStart w:id="1806" w:name="_Toc16392"/>
      <w:bookmarkStart w:id="1807" w:name="_Toc9623"/>
      <w:bookmarkStart w:id="1808" w:name="_Toc32399"/>
      <w:r>
        <w:rPr>
          <w:rFonts w:hint="default" w:ascii="Times New Roman" w:hAnsi="Times New Roman" w:eastAsia="黑体" w:cs="Times New Roman"/>
          <w:b w:val="0"/>
          <w:color w:val="auto"/>
          <w:sz w:val="24"/>
          <w:szCs w:val="24"/>
          <w:highlight w:val="none"/>
        </w:rPr>
        <w:t>附件六</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项目经理委任书</w:t>
      </w:r>
      <w:bookmarkEnd w:id="1804"/>
      <w:bookmarkEnd w:id="1805"/>
      <w:bookmarkEnd w:id="1806"/>
      <w:bookmarkEnd w:id="1807"/>
      <w:bookmarkEnd w:id="1808"/>
    </w:p>
    <w:p w14:paraId="6E395060">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u w:val="single"/>
        </w:rPr>
      </w:pPr>
      <w:r>
        <w:rPr>
          <w:rFonts w:hint="default" w:ascii="Times New Roman" w:hAnsi="Times New Roman" w:eastAsia="黑体" w:cs="Times New Roman"/>
          <w:color w:val="auto"/>
          <w:sz w:val="28"/>
          <w:szCs w:val="28"/>
          <w:highlight w:val="none"/>
          <w:u w:val="single"/>
        </w:rPr>
        <w:t>（承包人全称）</w:t>
      </w:r>
    </w:p>
    <w:p w14:paraId="0F3F5D78">
      <w:pPr>
        <w:pageBreakBefore w:val="0"/>
        <w:kinsoku/>
        <w:wordWrap w:val="0"/>
        <w:bidi w:val="0"/>
        <w:snapToGrid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（合同工程名称） </w:t>
      </w:r>
      <w:r>
        <w:rPr>
          <w:rFonts w:hint="default" w:ascii="Times New Roman" w:hAnsi="Times New Roman" w:eastAsia="黑体" w:cs="Times New Roman"/>
          <w:color w:val="auto"/>
          <w:sz w:val="28"/>
          <w:szCs w:val="28"/>
          <w:highlight w:val="none"/>
        </w:rPr>
        <w:t>项目经理委任书</w:t>
      </w:r>
    </w:p>
    <w:p w14:paraId="104D86CF">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53A141E1">
      <w:pPr>
        <w:pageBreakBefore w:val="0"/>
        <w:kinsoku/>
        <w:wordWrap w:val="0"/>
        <w:bidi w:val="0"/>
        <w:snapToGrid w:val="0"/>
        <w:spacing w:line="400" w:lineRule="atLeast"/>
        <w:rPr>
          <w:rFonts w:hint="default" w:ascii="Times New Roman" w:hAnsi="Times New Roman" w:eastAsia="黑体" w:cs="Times New Roman"/>
          <w:color w:val="auto"/>
          <w:sz w:val="24"/>
          <w:highlight w:val="none"/>
        </w:rPr>
      </w:pPr>
    </w:p>
    <w:p w14:paraId="0A8F1F0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（发包人全称）</w:t>
      </w:r>
    </w:p>
    <w:p w14:paraId="4454DB42">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（承包人全称） </w:t>
      </w: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代表本单位委任</w:t>
      </w:r>
      <w:r>
        <w:rPr>
          <w:rFonts w:hint="default" w:ascii="Times New Roman" w:hAnsi="Times New Roman" w:cs="Times New Roman"/>
          <w:color w:val="auto"/>
          <w:sz w:val="24"/>
          <w:highlight w:val="none"/>
          <w:u w:val="single"/>
        </w:rPr>
        <w:t xml:space="preserve"> （职务、姓名） </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u w:val="single"/>
        </w:rPr>
        <w:t>（合同工程名称）</w:t>
      </w:r>
      <w:r>
        <w:rPr>
          <w:rFonts w:hint="default" w:ascii="Times New Roman" w:hAnsi="Times New Roman" w:cs="Times New Roman"/>
          <w:color w:val="auto"/>
          <w:sz w:val="24"/>
          <w:highlight w:val="none"/>
        </w:rPr>
        <w:t>的项目经理。凡本合同执行中的有关技术、工程进度、现场管理、质量检验、结算与支付等方面工作，由</w:t>
      </w:r>
      <w:r>
        <w:rPr>
          <w:rFonts w:hint="default" w:ascii="Times New Roman" w:hAnsi="Times New Roman" w:cs="Times New Roman"/>
          <w:color w:val="auto"/>
          <w:sz w:val="24"/>
          <w:highlight w:val="none"/>
          <w:u w:val="single"/>
        </w:rPr>
        <w:t xml:space="preserve">  （姓名） </w:t>
      </w:r>
      <w:r>
        <w:rPr>
          <w:rFonts w:hint="default" w:ascii="Times New Roman" w:hAnsi="Times New Roman" w:cs="Times New Roman"/>
          <w:color w:val="auto"/>
          <w:sz w:val="24"/>
          <w:highlight w:val="none"/>
        </w:rPr>
        <w:t>代表本单位全面负责。</w:t>
      </w:r>
    </w:p>
    <w:p w14:paraId="34B65CA8">
      <w:pPr>
        <w:pageBreakBefore w:val="0"/>
        <w:kinsoku/>
        <w:wordWrap w:val="0"/>
        <w:bidi w:val="0"/>
        <w:spacing w:line="400" w:lineRule="atLeast"/>
        <w:ind w:firstLine="616" w:firstLineChars="257"/>
        <w:rPr>
          <w:rFonts w:hint="default" w:ascii="Times New Roman" w:hAnsi="Times New Roman" w:cs="Times New Roman"/>
          <w:color w:val="auto"/>
          <w:sz w:val="24"/>
          <w:highlight w:val="none"/>
        </w:rPr>
      </w:pPr>
    </w:p>
    <w:p w14:paraId="6D611109">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00F596D1">
      <w:pPr>
        <w:pageBreakBefore w:val="0"/>
        <w:kinsoku/>
        <w:wordWrap w:val="0"/>
        <w:bidi w:val="0"/>
        <w:snapToGrid w:val="0"/>
        <w:spacing w:line="400" w:lineRule="atLeast"/>
        <w:ind w:firstLine="4603" w:firstLineChars="1918"/>
        <w:jc w:val="lef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（职务）        </w:t>
      </w:r>
    </w:p>
    <w:p w14:paraId="1C250463">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（姓名）       </w:t>
      </w:r>
    </w:p>
    <w:p w14:paraId="1EC44DBA">
      <w:pPr>
        <w:pageBreakBefore w:val="0"/>
        <w:kinsoku/>
        <w:wordWrap w:val="0"/>
        <w:bidi w:val="0"/>
        <w:snapToGrid w:val="0"/>
        <w:spacing w:line="400" w:lineRule="atLeast"/>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（签字）       </w:t>
      </w:r>
    </w:p>
    <w:p w14:paraId="7271D6FA">
      <w:pPr>
        <w:pageBreakBefore w:val="0"/>
        <w:kinsoku/>
        <w:wordWrap w:val="0"/>
        <w:bidi w:val="0"/>
        <w:snapToGrid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942BC9C">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p>
    <w:p w14:paraId="16AC1F15">
      <w:pPr>
        <w:pStyle w:val="27"/>
        <w:pageBreakBefore w:val="0"/>
        <w:tabs>
          <w:tab w:val="clear" w:pos="4153"/>
          <w:tab w:val="clear" w:pos="8306"/>
        </w:tabs>
        <w:kinsoku/>
        <w:wordWrap w:val="0"/>
        <w:bidi w:val="0"/>
        <w:spacing w:line="400" w:lineRule="atLeast"/>
        <w:rPr>
          <w:rFonts w:hint="default" w:ascii="Times New Roman" w:hAnsi="Times New Roman" w:cs="Times New Roman"/>
          <w:color w:val="auto"/>
          <w:sz w:val="24"/>
          <w:szCs w:val="24"/>
          <w:highlight w:val="none"/>
        </w:rPr>
      </w:pPr>
    </w:p>
    <w:p w14:paraId="04EA1318">
      <w:pPr>
        <w:pageBreakBefore w:val="0"/>
        <w:kinsoku/>
        <w:wordWrap w:val="0"/>
        <w:bidi w:val="0"/>
        <w:snapToGrid w:val="0"/>
        <w:spacing w:line="400" w:lineRule="atLeast"/>
        <w:rPr>
          <w:rFonts w:hint="default" w:ascii="Times New Roman" w:hAnsi="Times New Roman" w:cs="Times New Roman"/>
          <w:color w:val="auto"/>
          <w:sz w:val="24"/>
          <w:highlight w:val="none"/>
        </w:rPr>
      </w:pPr>
    </w:p>
    <w:p w14:paraId="5B974FE2">
      <w:pPr>
        <w:pageBreakBefore w:val="0"/>
        <w:kinsoku/>
        <w:wordWrap w:val="0"/>
        <w:bidi w:val="0"/>
        <w:snapToGrid w:val="0"/>
        <w:spacing w:line="400" w:lineRule="atLeast"/>
        <w:rPr>
          <w:rFonts w:hint="default" w:ascii="Times New Roman" w:hAnsi="Times New Roman" w:eastAsia="黑体" w:cs="Times New Roman"/>
          <w:bCs/>
          <w:color w:val="auto"/>
          <w:kern w:val="44"/>
          <w:sz w:val="24"/>
          <w:highlight w:val="none"/>
        </w:rPr>
      </w:pPr>
      <w:r>
        <w:rPr>
          <w:rFonts w:hint="default" w:ascii="Times New Roman" w:hAnsi="Times New Roman" w:cs="Times New Roman"/>
          <w:color w:val="auto"/>
          <w:sz w:val="24"/>
          <w:highlight w:val="none"/>
        </w:rPr>
        <w:t>抄送：</w:t>
      </w:r>
      <w:r>
        <w:rPr>
          <w:rFonts w:hint="default" w:ascii="Times New Roman" w:hAnsi="Times New Roman" w:cs="Times New Roman"/>
          <w:color w:val="auto"/>
          <w:sz w:val="24"/>
          <w:highlight w:val="none"/>
          <w:u w:val="single"/>
        </w:rPr>
        <w:t xml:space="preserve">  （监理人）  </w:t>
      </w:r>
      <w:r>
        <w:rPr>
          <w:rFonts w:hint="default" w:ascii="Times New Roman" w:hAnsi="Times New Roman" w:cs="Times New Roman"/>
          <w:color w:val="auto"/>
          <w:sz w:val="24"/>
          <w:highlight w:val="none"/>
        </w:rPr>
        <w:br w:type="page"/>
      </w:r>
      <w:r>
        <w:rPr>
          <w:rFonts w:hint="default" w:ascii="Times New Roman" w:hAnsi="Times New Roman" w:eastAsia="黑体" w:cs="Times New Roman"/>
          <w:bCs/>
          <w:color w:val="auto"/>
          <w:kern w:val="44"/>
          <w:sz w:val="24"/>
          <w:highlight w:val="none"/>
        </w:rPr>
        <w:t>附件七 履约保证金格式</w:t>
      </w:r>
    </w:p>
    <w:p w14:paraId="78CE23F1">
      <w:pPr>
        <w:pageBreakBefore w:val="0"/>
        <w:kinsoku/>
        <w:wordWrap w:val="0"/>
        <w:bidi w:val="0"/>
        <w:spacing w:line="400" w:lineRule="atLeast"/>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如采用银行保函，格式如下。</w:t>
      </w:r>
    </w:p>
    <w:p w14:paraId="6BDCE1BF">
      <w:pPr>
        <w:pageBreakBefore w:val="0"/>
        <w:kinsoku/>
        <w:wordWrap w:val="0"/>
        <w:bidi w:val="0"/>
        <w:spacing w:line="400" w:lineRule="atLeast"/>
        <w:ind w:firstLine="3360" w:firstLineChars="1200"/>
        <w:rPr>
          <w:rFonts w:hint="default" w:ascii="Times New Roman" w:hAnsi="Times New Roman" w:eastAsia="黑体" w:cs="Times New Roman"/>
          <w:color w:val="auto"/>
          <w:sz w:val="28"/>
          <w:szCs w:val="28"/>
          <w:highlight w:val="none"/>
        </w:rPr>
      </w:pPr>
    </w:p>
    <w:p w14:paraId="7B437576">
      <w:pPr>
        <w:pageBreakBefore w:val="0"/>
        <w:kinsoku/>
        <w:wordWrap w:val="0"/>
        <w:bidi w:val="0"/>
        <w:spacing w:line="40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履约保证金</w:t>
      </w:r>
    </w:p>
    <w:p w14:paraId="223730E9">
      <w:pPr>
        <w:pageBreakBefore w:val="0"/>
        <w:kinsoku/>
        <w:wordWrap w:val="0"/>
        <w:bidi w:val="0"/>
        <w:spacing w:line="400" w:lineRule="atLeast"/>
        <w:rPr>
          <w:rFonts w:hint="default" w:ascii="Times New Roman" w:hAnsi="Times New Roman" w:cs="Times New Roman"/>
          <w:color w:val="auto"/>
          <w:sz w:val="24"/>
          <w:highlight w:val="none"/>
        </w:rPr>
      </w:pPr>
    </w:p>
    <w:p w14:paraId="36EE146C">
      <w:pPr>
        <w:pageBreakBefore w:val="0"/>
        <w:kinsoku/>
        <w:wordWrap w:val="0"/>
        <w:bidi w:val="0"/>
        <w:spacing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w:t>
      </w:r>
    </w:p>
    <w:p w14:paraId="0B0FBBEC">
      <w:pPr>
        <w:pageBreakBefore w:val="0"/>
        <w:kinsoku/>
        <w:wordWrap w:val="0"/>
        <w:bidi w:val="0"/>
        <w:spacing w:line="400" w:lineRule="atLeast"/>
        <w:rPr>
          <w:rFonts w:hint="default" w:ascii="Times New Roman" w:hAnsi="Times New Roman" w:cs="Times New Roman"/>
          <w:color w:val="auto"/>
          <w:sz w:val="24"/>
          <w:highlight w:val="none"/>
        </w:rPr>
      </w:pPr>
    </w:p>
    <w:p w14:paraId="70AD876B">
      <w:pPr>
        <w:pageBreakBefore w:val="0"/>
        <w:kinsoku/>
        <w:wordWrap w:val="0"/>
        <w:bidi w:val="0"/>
        <w:spacing w:line="400" w:lineRule="atLeast"/>
        <w:ind w:firstLine="600" w:firstLineChars="2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（发包人名称，以下简称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发包人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）接受</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（承包人名称，以下简称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标段施工的投标。我方愿意无条件地、不可撤销地就承包人履行与你方订立的合同，向你方提供担保。</w:t>
      </w:r>
    </w:p>
    <w:p w14:paraId="2D7B600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担保金额人民币（大写）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478BFD0">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color w:val="auto"/>
          <w:sz w:val="28"/>
          <w:szCs w:val="28"/>
          <w:highlight w:val="none"/>
        </w:rPr>
        <w:footnoteReference w:id="50"/>
      </w:r>
    </w:p>
    <w:p w14:paraId="3980081E">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在本担保有效期内，因承包人违反合同约定的义务给你方造成经济损失时，我方在收到你方以书面形式提出的在担保金额内的赔偿要求后，在7日内无条件支付，无须你方出具证明或陈述理由。</w:t>
      </w:r>
    </w:p>
    <w:p w14:paraId="51FD11FD">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发包人和承包人按合同条款第15条变更合同时，无论我方是否收到该变更，我方承担本担保规定的义务不变。</w:t>
      </w:r>
    </w:p>
    <w:p w14:paraId="3633C680">
      <w:pPr>
        <w:pageBreakBefore w:val="0"/>
        <w:kinsoku/>
        <w:wordWrap w:val="0"/>
        <w:bidi w:val="0"/>
        <w:spacing w:line="400" w:lineRule="atLeast"/>
        <w:rPr>
          <w:rFonts w:hint="default" w:ascii="Times New Roman" w:hAnsi="Times New Roman" w:cs="Times New Roman"/>
          <w:color w:val="auto"/>
          <w:sz w:val="24"/>
          <w:highlight w:val="none"/>
        </w:rPr>
      </w:pPr>
    </w:p>
    <w:p w14:paraId="1E647AF3">
      <w:pPr>
        <w:pageBreakBefore w:val="0"/>
        <w:kinsoku/>
        <w:wordWrap w:val="0"/>
        <w:bidi w:val="0"/>
        <w:spacing w:line="400" w:lineRule="atLeast"/>
        <w:rPr>
          <w:rFonts w:hint="default" w:ascii="Times New Roman" w:hAnsi="Times New Roman" w:cs="Times New Roman"/>
          <w:color w:val="auto"/>
          <w:sz w:val="24"/>
          <w:highlight w:val="none"/>
        </w:rPr>
      </w:pPr>
    </w:p>
    <w:p w14:paraId="7A001459">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61E2DCCE">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p>
    <w:p w14:paraId="3E0B0689">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36AE5918">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r>
        <w:rPr>
          <w:rFonts w:hint="default" w:ascii="Times New Roman" w:hAnsi="Times New Roman" w:cs="Times New Roman"/>
          <w:color w:val="auto"/>
          <w:sz w:val="24"/>
          <w:highlight w:val="none"/>
          <w:u w:val="single"/>
        </w:rPr>
        <w:tab/>
      </w:r>
    </w:p>
    <w:p w14:paraId="1629D67B">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BEA1E94">
      <w:pPr>
        <w:pageBreakBefore w:val="0"/>
        <w:kinsoku/>
        <w:wordWrap w:val="0"/>
        <w:bidi w:val="0"/>
        <w:spacing w:line="400" w:lineRule="atLeast"/>
        <w:ind w:firstLine="3496" w:firstLineChars="1457"/>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A3C14B4">
      <w:pPr>
        <w:pageBreakBefore w:val="0"/>
        <w:kinsoku/>
        <w:wordWrap w:val="0"/>
        <w:bidi w:val="0"/>
        <w:spacing w:line="400" w:lineRule="atLeast"/>
        <w:ind w:firstLine="4216" w:firstLineChars="1757"/>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4B88168">
      <w:pPr>
        <w:pageBreakBefore w:val="0"/>
        <w:kinsoku/>
        <w:wordWrap w:val="0"/>
        <w:bidi w:val="0"/>
        <w:spacing w:line="400" w:lineRule="atLeast"/>
        <w:rPr>
          <w:rFonts w:hint="default" w:ascii="Times New Roman" w:hAnsi="Times New Roman" w:cs="Times New Roman"/>
          <w:color w:val="auto"/>
          <w:sz w:val="24"/>
          <w:highlight w:val="none"/>
        </w:rPr>
      </w:pPr>
    </w:p>
    <w:p w14:paraId="7E1E4AAC">
      <w:pPr>
        <w:pageBreakBefore w:val="0"/>
        <w:kinsoku/>
        <w:wordWrap w:val="0"/>
        <w:bidi w:val="0"/>
        <w:spacing w:line="400" w:lineRule="atLeast"/>
        <w:rPr>
          <w:rFonts w:hint="default" w:ascii="Times New Roman" w:hAnsi="Times New Roman" w:eastAsia="黑体" w:cs="Times New Roman"/>
          <w:color w:val="auto"/>
          <w:sz w:val="24"/>
          <w:highlight w:val="none"/>
        </w:rPr>
      </w:pPr>
    </w:p>
    <w:p w14:paraId="15C4AA38">
      <w:pPr>
        <w:pStyle w:val="2"/>
        <w:pageBreakBefore w:val="0"/>
        <w:kinsoku/>
        <w:wordWrap w:val="0"/>
        <w:bidi w:val="0"/>
        <w:spacing w:before="0" w:after="0" w:line="380" w:lineRule="atLeast"/>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809" w:name="_Toc18852"/>
      <w:bookmarkStart w:id="1810" w:name="_Toc234833238"/>
      <w:bookmarkStart w:id="1811" w:name="_Toc32209"/>
      <w:bookmarkStart w:id="1812" w:name="_Toc21835"/>
      <w:bookmarkStart w:id="1813" w:name="_Toc24417"/>
      <w:r>
        <w:rPr>
          <w:rFonts w:hint="default" w:ascii="Times New Roman" w:hAnsi="Times New Roman" w:eastAsia="黑体" w:cs="Times New Roman"/>
          <w:b w:val="0"/>
          <w:color w:val="auto"/>
          <w:sz w:val="24"/>
          <w:szCs w:val="24"/>
          <w:highlight w:val="none"/>
        </w:rPr>
        <w:t>附件八</w:t>
      </w:r>
      <w:r>
        <w:rPr>
          <w:rFonts w:hint="default" w:ascii="Times New Roman" w:hAnsi="Times New Roman" w:eastAsia="黑体" w:cs="Times New Roman"/>
          <w:b w:val="0"/>
          <w:color w:val="auto"/>
          <w:sz w:val="24"/>
          <w:szCs w:val="24"/>
          <w:highlight w:val="none"/>
          <w:lang w:eastAsia="zh-CN"/>
        </w:rPr>
        <w:t xml:space="preserve"> </w:t>
      </w:r>
      <w:r>
        <w:rPr>
          <w:rFonts w:hint="default" w:ascii="Times New Roman" w:hAnsi="Times New Roman" w:eastAsia="黑体" w:cs="Times New Roman"/>
          <w:b w:val="0"/>
          <w:color w:val="auto"/>
          <w:sz w:val="24"/>
          <w:szCs w:val="24"/>
          <w:highlight w:val="none"/>
        </w:rPr>
        <w:t>工程资金监管协议格式</w:t>
      </w:r>
      <w:bookmarkEnd w:id="1809"/>
      <w:bookmarkEnd w:id="1810"/>
      <w:bookmarkEnd w:id="1811"/>
      <w:bookmarkEnd w:id="1812"/>
      <w:bookmarkEnd w:id="1813"/>
    </w:p>
    <w:p w14:paraId="5F98D05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（发包人与承包人签订合同协议书时应与发包人指定的银行签署工程资金监管协议，工程资金监管协议内容在保证本项目资金有效监管的前提下由三方共同商定）</w:t>
      </w:r>
    </w:p>
    <w:p w14:paraId="1FE5F38F">
      <w:pPr>
        <w:pageBreakBefore w:val="0"/>
        <w:kinsoku/>
        <w:wordWrap w:val="0"/>
        <w:bidi w:val="0"/>
        <w:spacing w:line="380" w:lineRule="atLeast"/>
        <w:rPr>
          <w:rFonts w:hint="default" w:ascii="Times New Roman" w:hAnsi="Times New Roman" w:eastAsia="黑体" w:cs="Times New Roman"/>
          <w:color w:val="auto"/>
          <w:sz w:val="24"/>
          <w:highlight w:val="none"/>
        </w:rPr>
      </w:pPr>
    </w:p>
    <w:p w14:paraId="42522029">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工程资金监管协议</w:t>
      </w:r>
    </w:p>
    <w:p w14:paraId="343EF17D">
      <w:pPr>
        <w:pageBreakBefore w:val="0"/>
        <w:kinsoku/>
        <w:wordWrap w:val="0"/>
        <w:bidi w:val="0"/>
        <w:spacing w:line="380" w:lineRule="atLeast"/>
        <w:jc w:val="center"/>
        <w:rPr>
          <w:rFonts w:hint="default" w:ascii="Times New Roman" w:hAnsi="Times New Roman" w:eastAsia="黑体" w:cs="Times New Roman"/>
          <w:color w:val="auto"/>
          <w:sz w:val="28"/>
          <w:szCs w:val="28"/>
          <w:highlight w:val="none"/>
        </w:rPr>
      </w:pPr>
    </w:p>
    <w:p w14:paraId="7BF696FA">
      <w:pPr>
        <w:pageBreakBefore w:val="0"/>
        <w:kinsoku/>
        <w:wordWrap w:val="0"/>
        <w:bidi w:val="0"/>
        <w:spacing w:line="380" w:lineRule="atLeast"/>
        <w:rPr>
          <w:rFonts w:hint="default" w:ascii="Times New Roman" w:hAnsi="Times New Roman" w:cs="Times New Roman"/>
          <w:color w:val="auto"/>
          <w:sz w:val="24"/>
          <w:highlight w:val="none"/>
        </w:rPr>
      </w:pPr>
      <w:bookmarkStart w:id="1814" w:name="_Toc234833239"/>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甲方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bookmarkEnd w:id="1814"/>
    </w:p>
    <w:p w14:paraId="3C1C97DA">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1C51A544">
      <w:pPr>
        <w:pageBreakBefore w:val="0"/>
        <w:kinsoku/>
        <w:wordWrap w:val="0"/>
        <w:bidi w:val="0"/>
        <w:spacing w:line="38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丙方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2AA616EB">
      <w:pPr>
        <w:pageBreakBefore w:val="0"/>
        <w:kinsoku/>
        <w:wordWrap w:val="0"/>
        <w:bidi w:val="0"/>
        <w:spacing w:line="380" w:lineRule="atLeast"/>
        <w:jc w:val="left"/>
        <w:rPr>
          <w:rFonts w:hint="default" w:ascii="Times New Roman" w:hAnsi="Times New Roman" w:cs="Times New Roman"/>
          <w:color w:val="auto"/>
          <w:sz w:val="24"/>
          <w:highlight w:val="none"/>
        </w:rPr>
      </w:pPr>
    </w:p>
    <w:p w14:paraId="536EC574">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为了促进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（项目名称）的顺利实施，管好用好建设资金，确保工程资金专款专用，同时为承包人提供便捷有效的银行业务服务，根据</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（项目名称）合同条款有关规定，经甲、乙、丙三方协商，达成协议如下：</w:t>
      </w:r>
    </w:p>
    <w:p w14:paraId="79955B83">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 资金管理的内容</w:t>
      </w:r>
    </w:p>
    <w:p w14:paraId="2B03DF4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（1）乙方为完成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（项目名称）工程成立的项目经理部在丙方开设基本结算户；</w:t>
      </w:r>
    </w:p>
    <w:p w14:paraId="76A100F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（2）甲方应按合同规定将工程款汇入乙方在丙方开设的账户；</w:t>
      </w:r>
    </w:p>
    <w:p w14:paraId="76A1FA2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（3）乙方应将流动资金及甲方所拨付资金专项用于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p>
    <w:p w14:paraId="0D1F7DD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（4）丙方应为乙方提供便捷有效的银行业务服务，并接受甲方委托对乙方在丙方开设的基本结算户资金使用情况进行监督。</w:t>
      </w:r>
    </w:p>
    <w:p w14:paraId="7C02E827">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 甲方的权责</w:t>
      </w:r>
    </w:p>
    <w:p w14:paraId="3E916A0E">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（1）按照</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（项目名称）合同有关条款规定的时间和方式，向乙方支付工程款；</w:t>
      </w:r>
    </w:p>
    <w:p w14:paraId="12154F3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（2）在发现乙方将本项目资金挪用、转移时，甲方有权中止工程支付，直至乙方改正为止；</w:t>
      </w:r>
    </w:p>
    <w:p w14:paraId="5CEBE96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（3）不定期审查丙方对乙方的资金使用监督情况，如丙方不能履行其责任，甲方有权随时终止本协议；</w:t>
      </w:r>
    </w:p>
    <w:p w14:paraId="2E8838A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（4）在乙、丙双方发生争议时，甲方应负责协调、解决。</w:t>
      </w:r>
    </w:p>
    <w:p w14:paraId="774ED8A6">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 乙方的权责</w:t>
      </w:r>
    </w:p>
    <w:p w14:paraId="595CCD5F">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（1）项目经理部成立以后，乙方应尽快在丙方开设基本结算户；</w:t>
      </w:r>
    </w:p>
    <w:p w14:paraId="4D61B641">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（2）确保本项目资金专款专用，不发生挪用、转移资金的现象；保证不通过权益转让、抵押、担保承担债务等任何其他方式使用基本结算户的资金；</w:t>
      </w:r>
    </w:p>
    <w:p w14:paraId="11A47B2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（3）办理材料、设备等采购业务金额在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万元以上的，应出示购货合同、协议和发票；在办理总额超过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万元以上的采购业务时，应将合同、协议和发票复印件送丙方备案；购买应急材料、设备时可先办理支付手续，但事后必须补备有关资料；</w:t>
      </w:r>
    </w:p>
    <w:p w14:paraId="0335CA87">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（4）用银行转账支票办理支付款项时，必须将转账支票送交丙方，由丙方负责办理支票转付手续；</w:t>
      </w:r>
    </w:p>
    <w:p w14:paraId="01385E9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（5）向分包单位支付工程进度款时，应附甲方批准分包的文件；</w:t>
      </w:r>
    </w:p>
    <w:p w14:paraId="28A278E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（6）向上级单位缴纳管理费、机械设备及周转材料租赁摊销费等款项时，应附上级单位出具的转账通知等有关资料，以确保资金专款专用。</w:t>
      </w:r>
    </w:p>
    <w:p w14:paraId="0A4DAECA">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 丙方的权责</w:t>
      </w:r>
    </w:p>
    <w:p w14:paraId="2080809B">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（1）成立</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（项目名称）工程资金管理服务小组，明确业务流程，提高工作效率，杜绝</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压票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现象；</w:t>
      </w:r>
    </w:p>
    <w:p w14:paraId="78AC1A9C">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pacing w:val="-6"/>
          <w:sz w:val="24"/>
          <w:highlight w:val="none"/>
        </w:rPr>
        <w:t>根据乙方提供的购货合同、协议和发票，检查其所购材料、设备是否用于</w:t>
      </w:r>
      <w:r>
        <w:rPr>
          <w:rFonts w:hint="default" w:ascii="Times New Roman" w:hAnsi="Times New Roman" w:cs="Times New Roman"/>
          <w:color w:val="auto"/>
          <w:spacing w:val="-6"/>
          <w:sz w:val="24"/>
          <w:highlight w:val="none"/>
          <w:u w:val="single"/>
        </w:rPr>
        <w:t xml:space="preserve">   </w:t>
      </w:r>
      <w:r>
        <w:rPr>
          <w:rFonts w:hint="default" w:ascii="Times New Roman" w:hAnsi="Times New Roman" w:cs="Times New Roman"/>
          <w:color w:val="auto"/>
          <w:sz w:val="24"/>
          <w:highlight w:val="none"/>
        </w:rPr>
        <w:t>（项目名称）工程建设，对本标段以外的购货款项，有权拒绝办理，并及时报告甲方；</w:t>
      </w:r>
    </w:p>
    <w:p w14:paraId="1E7BF0F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（3）根据乙方与分包单位签订的合同及支付文件，检查其支付款项是否符合有关条件，向分包单位以外单位的支付有权拒绝办理，并及时报告甲方；</w:t>
      </w:r>
    </w:p>
    <w:p w14:paraId="6831D915">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（4）根据乙方提供的上级单位出具的转账通知等有关资料，办理管理费、机械设备及周转材料租赁摊销费等款项的支付；对超出转账通知等有关资料以外的支付，有权拒绝办理，并及时报告甲方；</w:t>
      </w:r>
    </w:p>
    <w:p w14:paraId="0EEAD2BA">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（5）定期将乙方前一个周期的支付情况，整理后书面报送甲方；乙方复印备案的材料一并送甲方。</w:t>
      </w:r>
    </w:p>
    <w:p w14:paraId="5814E5F8">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 甲、乙、丙三方都应履行保密责任，不得将其他两方的业务情况透露给三方以外的其他单位或个人。</w:t>
      </w:r>
    </w:p>
    <w:p w14:paraId="46C9B983">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 本协议有效期自乙方在丙方开户起，至工程交工验收甲方向乙方颁发交工验收证书后结束。</w:t>
      </w:r>
    </w:p>
    <w:p w14:paraId="0420FF37">
      <w:pPr>
        <w:pageBreakBefore w:val="0"/>
        <w:kinsoku/>
        <w:wordWrap w:val="0"/>
        <w:bidi w:val="0"/>
        <w:spacing w:line="380" w:lineRule="atLeast"/>
        <w:ind w:firstLine="480" w:firstLineChars="200"/>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 本协议未尽事宜，由甲方牵头，三方协商解决。</w:t>
      </w:r>
    </w:p>
    <w:p w14:paraId="49450A56">
      <w:pPr>
        <w:pageBreakBefore w:val="0"/>
        <w:kinsoku/>
        <w:wordWrap w:val="0"/>
        <w:bidi w:val="0"/>
        <w:spacing w:line="38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 本协议正本三份、副本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份。合同三方各执正本一份、副本</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份，当正本与副本内容不一致时，以正本为准。</w:t>
      </w:r>
    </w:p>
    <w:p w14:paraId="40B28F05">
      <w:pPr>
        <w:pageBreakBefore w:val="0"/>
        <w:kinsoku/>
        <w:wordWrap w:val="0"/>
        <w:bidi w:val="0"/>
        <w:spacing w:line="340" w:lineRule="atLeast"/>
        <w:outlineLvl w:val="9"/>
        <w:rPr>
          <w:rFonts w:hint="default" w:ascii="Times New Roman" w:hAnsi="Times New Roman" w:cs="Times New Roman"/>
          <w:b/>
          <w:color w:val="auto"/>
          <w:sz w:val="24"/>
          <w:highlight w:val="none"/>
        </w:rPr>
      </w:pPr>
    </w:p>
    <w:p w14:paraId="726C1C56">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发包人：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55741651">
      <w:pPr>
        <w:pageBreakBefore w:val="0"/>
        <w:kinsoku/>
        <w:wordWrap w:val="0"/>
        <w:bidi w:val="0"/>
        <w:spacing w:line="340" w:lineRule="atLeast"/>
        <w:outlineLvl w:val="9"/>
        <w:rPr>
          <w:rFonts w:hint="default" w:ascii="Times New Roman" w:hAnsi="Times New Roman" w:cs="Times New Roman"/>
          <w:color w:val="auto"/>
          <w:sz w:val="24"/>
          <w:highlight w:val="none"/>
        </w:rPr>
      </w:pPr>
      <w:bookmarkStart w:id="1815" w:name="_Toc25487"/>
      <w:bookmarkStart w:id="1816" w:name="_Toc27026"/>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bookmarkEnd w:id="1815"/>
      <w:bookmarkEnd w:id="1816"/>
      <w:r>
        <w:rPr>
          <w:rFonts w:hint="default" w:ascii="Times New Roman" w:hAnsi="Times New Roman" w:cs="Times New Roman"/>
          <w:color w:val="auto"/>
          <w:sz w:val="24"/>
          <w:highlight w:val="none"/>
        </w:rPr>
        <w:t xml:space="preserve">  </w:t>
      </w:r>
    </w:p>
    <w:p w14:paraId="1E20931D">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5FD737F1">
      <w:pPr>
        <w:pageBreakBefore w:val="0"/>
        <w:kinsoku/>
        <w:wordWrap w:val="0"/>
        <w:bidi w:val="0"/>
        <w:spacing w:line="340" w:lineRule="atLeast"/>
        <w:rPr>
          <w:rFonts w:hint="default" w:ascii="Times New Roman" w:hAnsi="Times New Roman" w:cs="Times New Roman"/>
          <w:color w:val="auto"/>
          <w:sz w:val="24"/>
          <w:highlight w:val="none"/>
        </w:rPr>
      </w:pPr>
    </w:p>
    <w:p w14:paraId="2532C9B9">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71636D6A">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2073FC82">
      <w:pPr>
        <w:pageBreakBefore w:val="0"/>
        <w:kinsoku/>
        <w:wordWrap w:val="0"/>
        <w:bidi w:val="0"/>
        <w:spacing w:line="340" w:lineRule="atLeast"/>
        <w:ind w:firstLine="1920" w:firstLineChars="800"/>
        <w:rPr>
          <w:rFonts w:hint="default" w:ascii="Times New Roman" w:hAnsi="Times New Roman" w:cs="Times New Roman"/>
          <w:b/>
          <w:bCs/>
          <w:color w:val="auto"/>
          <w:sz w:val="4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29C90851">
      <w:pPr>
        <w:pageBreakBefore w:val="0"/>
        <w:kinsoku/>
        <w:wordWrap w:val="0"/>
        <w:bidi w:val="0"/>
        <w:spacing w:line="340" w:lineRule="atLeast"/>
        <w:rPr>
          <w:rFonts w:hint="default" w:ascii="Times New Roman" w:hAnsi="Times New Roman" w:cs="Times New Roman"/>
          <w:color w:val="auto"/>
          <w:sz w:val="24"/>
          <w:highlight w:val="none"/>
        </w:rPr>
      </w:pPr>
    </w:p>
    <w:p w14:paraId="74255232">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经办银行：</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（盖单位章）    </w:t>
      </w:r>
    </w:p>
    <w:p w14:paraId="4210654D">
      <w:pPr>
        <w:pageBreakBefore w:val="0"/>
        <w:kinsoku/>
        <w:wordWrap w:val="0"/>
        <w:bidi w:val="0"/>
        <w:spacing w:line="34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（签字）  </w:t>
      </w:r>
    </w:p>
    <w:p w14:paraId="0960971C">
      <w:pPr>
        <w:pageBreakBefore w:val="0"/>
        <w:kinsoku/>
        <w:wordWrap w:val="0"/>
        <w:bidi w:val="0"/>
        <w:spacing w:line="340" w:lineRule="atLeast"/>
        <w:ind w:firstLine="1920" w:firstLineChars="800"/>
        <w:rPr>
          <w:rFonts w:hint="default" w:ascii="Times New Roman" w:hAnsi="Times New Roman" w:cs="Times New Roman"/>
          <w:color w:val="auto"/>
          <w:sz w:val="24"/>
          <w:highlight w:val="none"/>
        </w:rPr>
        <w:sectPr>
          <w:headerReference r:id="rId35" w:type="default"/>
          <w:footerReference r:id="rId36"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   </w:t>
      </w:r>
    </w:p>
    <w:p w14:paraId="07D6095F">
      <w:pPr>
        <w:pageBreakBefore w:val="0"/>
        <w:kinsoku/>
        <w:wordWrap w:val="0"/>
        <w:bidi w:val="0"/>
        <w:spacing w:line="340" w:lineRule="atLeast"/>
        <w:ind w:firstLine="3534" w:firstLineChars="800"/>
        <w:rPr>
          <w:rFonts w:hint="default" w:ascii="Times New Roman" w:hAnsi="Times New Roman" w:cs="Times New Roman"/>
          <w:b/>
          <w:bCs/>
          <w:color w:val="auto"/>
          <w:sz w:val="44"/>
          <w:highlight w:val="none"/>
        </w:rPr>
      </w:pPr>
    </w:p>
    <w:p w14:paraId="31670C83">
      <w:pPr>
        <w:pageBreakBefore w:val="0"/>
        <w:kinsoku/>
        <w:wordWrap w:val="0"/>
        <w:bidi w:val="0"/>
        <w:spacing w:line="400" w:lineRule="exact"/>
        <w:rPr>
          <w:rFonts w:hint="default" w:ascii="Times New Roman" w:hAnsi="Times New Roman" w:cs="Times New Roman"/>
          <w:color w:val="auto"/>
          <w:sz w:val="24"/>
          <w:highlight w:val="none"/>
        </w:rPr>
      </w:pPr>
    </w:p>
    <w:p w14:paraId="4698DAD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B4446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813B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513AE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E7342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CDB162">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3F4884D9">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2E6FB1D1">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56"/>
          <w:szCs w:val="56"/>
          <w:highlight w:val="none"/>
        </w:rPr>
      </w:pPr>
    </w:p>
    <w:p w14:paraId="34A12DB1">
      <w:pPr>
        <w:pageBreakBefore w:val="0"/>
        <w:kinsoku/>
        <w:wordWrap w:val="0"/>
        <w:bidi w:val="0"/>
        <w:spacing w:before="0" w:after="480" w:afterLines="200" w:line="380" w:lineRule="atLeast"/>
        <w:ind w:firstLine="1680" w:firstLineChars="300"/>
        <w:jc w:val="center"/>
        <w:outlineLvl w:val="0"/>
        <w:rPr>
          <w:rFonts w:hint="default" w:ascii="Times New Roman" w:hAnsi="Times New Roman" w:eastAsia="黑体" w:cs="Times New Roman"/>
          <w:b w:val="0"/>
          <w:color w:val="auto"/>
          <w:sz w:val="32"/>
          <w:szCs w:val="32"/>
          <w:highlight w:val="none"/>
        </w:rPr>
        <w:sectPr>
          <w:headerReference r:id="rId37" w:type="default"/>
          <w:footerReference r:id="rId38"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817" w:name="_Toc15757"/>
      <w:bookmarkStart w:id="1818" w:name="_Toc28723"/>
      <w:bookmarkStart w:id="1819" w:name="_Toc234833240"/>
      <w:bookmarkStart w:id="1820" w:name="_Toc234835927"/>
      <w:bookmarkStart w:id="1821" w:name="_Toc22372"/>
      <w:r>
        <w:rPr>
          <w:rFonts w:hint="default" w:ascii="Times New Roman" w:hAnsi="Times New Roman" w:eastAsia="黑体" w:cs="Times New Roman"/>
          <w:color w:val="auto"/>
          <w:sz w:val="56"/>
          <w:szCs w:val="56"/>
          <w:highlight w:val="none"/>
        </w:rPr>
        <w:t>第五章  工程量清单</w:t>
      </w:r>
      <w:bookmarkEnd w:id="1817"/>
      <w:bookmarkEnd w:id="1818"/>
      <w:bookmarkEnd w:id="1819"/>
      <w:bookmarkEnd w:id="1820"/>
      <w:bookmarkStart w:id="1822" w:name="_Toc234833241"/>
      <w:r>
        <w:rPr>
          <w:rStyle w:val="47"/>
          <w:rFonts w:hint="default" w:ascii="Times New Roman" w:hAnsi="Times New Roman" w:eastAsia="黑体" w:cs="Times New Roman"/>
          <w:b w:val="0"/>
          <w:color w:val="auto"/>
          <w:sz w:val="56"/>
          <w:szCs w:val="56"/>
          <w:highlight w:val="none"/>
        </w:rPr>
        <w:footnoteReference w:id="51"/>
      </w:r>
      <w:bookmarkEnd w:id="1821"/>
    </w:p>
    <w:p w14:paraId="25F2D036">
      <w:pPr>
        <w:pStyle w:val="2"/>
        <w:pageBreakBefore w:val="0"/>
        <w:kinsoku/>
        <w:wordWrap w:val="0"/>
        <w:bidi w:val="0"/>
        <w:spacing w:before="0" w:after="480" w:afterLines="200" w:line="380" w:lineRule="atLeast"/>
        <w:jc w:val="center"/>
        <w:rPr>
          <w:rFonts w:hint="default" w:ascii="Times New Roman" w:hAnsi="Times New Roman" w:eastAsia="黑体" w:cs="Times New Roman"/>
          <w:b w:val="0"/>
          <w:color w:val="auto"/>
          <w:sz w:val="32"/>
          <w:szCs w:val="32"/>
          <w:highlight w:val="none"/>
        </w:rPr>
      </w:pPr>
      <w:bookmarkStart w:id="1823" w:name="_Toc3537"/>
      <w:bookmarkStart w:id="1824" w:name="_Toc9304"/>
      <w:bookmarkStart w:id="1825" w:name="_Toc2221"/>
      <w:r>
        <w:rPr>
          <w:rFonts w:hint="default" w:ascii="Times New Roman" w:hAnsi="Times New Roman" w:eastAsia="黑体" w:cs="Times New Roman"/>
          <w:b w:val="0"/>
          <w:color w:val="auto"/>
          <w:sz w:val="32"/>
          <w:szCs w:val="32"/>
          <w:highlight w:val="none"/>
        </w:rPr>
        <w:t>第五章  工程量清单</w:t>
      </w:r>
      <w:bookmarkEnd w:id="1822"/>
      <w:bookmarkEnd w:id="1823"/>
      <w:bookmarkEnd w:id="1824"/>
      <w:bookmarkEnd w:id="1825"/>
    </w:p>
    <w:p w14:paraId="480201F3">
      <w:pPr>
        <w:pStyle w:val="2"/>
        <w:pageBreakBefore w:val="0"/>
        <w:kinsoku/>
        <w:wordWrap w:val="0"/>
        <w:bidi w:val="0"/>
        <w:spacing w:before="240" w:beforeLines="100" w:after="240" w:afterLines="100" w:line="380" w:lineRule="atLeast"/>
        <w:outlineLvl w:val="1"/>
        <w:rPr>
          <w:rFonts w:hint="default" w:ascii="Times New Roman" w:hAnsi="Times New Roman" w:eastAsia="黑体" w:cs="Times New Roman"/>
          <w:b w:val="0"/>
          <w:color w:val="auto"/>
          <w:sz w:val="28"/>
          <w:szCs w:val="28"/>
          <w:highlight w:val="none"/>
        </w:rPr>
      </w:pPr>
      <w:bookmarkStart w:id="1826" w:name="_Toc7467"/>
      <w:bookmarkStart w:id="1827" w:name="_Toc27980"/>
      <w:bookmarkStart w:id="1828" w:name="_Toc32385"/>
      <w:bookmarkStart w:id="1829" w:name="_Toc27094"/>
      <w:bookmarkStart w:id="1830" w:name="_Toc234833242"/>
      <w:r>
        <w:rPr>
          <w:rFonts w:hint="default" w:ascii="Times New Roman" w:hAnsi="Times New Roman" w:eastAsia="黑体" w:cs="Times New Roman"/>
          <w:b w:val="0"/>
          <w:color w:val="auto"/>
          <w:sz w:val="28"/>
          <w:szCs w:val="28"/>
          <w:highlight w:val="none"/>
        </w:rPr>
        <w:t>1. 工程量清单说明</w:t>
      </w:r>
      <w:bookmarkEnd w:id="1826"/>
      <w:bookmarkEnd w:id="1827"/>
      <w:bookmarkEnd w:id="1828"/>
      <w:bookmarkEnd w:id="1829"/>
      <w:bookmarkEnd w:id="1830"/>
    </w:p>
    <w:p w14:paraId="4A95EE12">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1BB3691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1.2 本工程量清单应与招标文件中的投标人须知、通用合同条款、专用合同条款、工程量清单计量规则、技术规范及图纸等一起阅读和理解。</w:t>
      </w:r>
    </w:p>
    <w:p w14:paraId="68AE024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1766A8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1.4 工程量清单各章是按第八章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的相应章次编号的，因此，工程量清单中各章的工程子目的范围与计量等应与</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工程量清单计量规则</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 xml:space="preserve"> </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相应章节的范围、计量与支付条款结合起来理解或解释。</w:t>
      </w:r>
    </w:p>
    <w:p w14:paraId="7D27B98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1.5 对作业和材料的一般说明或规定，未重复写入工程量清单内，在给工程量清单各子目标价前，应参阅第七章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技术规范</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的有关内容。</w:t>
      </w:r>
    </w:p>
    <w:p w14:paraId="46565AF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1.6 工程量清单中所列工程量的变动，丝毫不会降低或影响合同条款的效力，也不免除承包人按规定的标准进行施工和修复缺陷的责任。</w:t>
      </w:r>
    </w:p>
    <w:p w14:paraId="5CFE257D">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1.7 图纸中所列的工程数量表及数量汇总表仅是提供资料，不是工程量清单的外延。当图纸与工程量清单所列数量不一致时，以工程量清单所列数量作为报价的依据。</w:t>
      </w:r>
    </w:p>
    <w:p w14:paraId="1BE583B4">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31" w:name="_Toc29747"/>
      <w:bookmarkStart w:id="1832" w:name="_Toc8713"/>
      <w:bookmarkStart w:id="1833" w:name="_Toc26778"/>
      <w:bookmarkStart w:id="1834" w:name="_Toc234833243"/>
      <w:bookmarkStart w:id="1835" w:name="_Toc31685"/>
      <w:r>
        <w:rPr>
          <w:rFonts w:hint="default" w:ascii="Times New Roman" w:hAnsi="Times New Roman" w:eastAsia="黑体" w:cs="Times New Roman"/>
          <w:b w:val="0"/>
          <w:color w:val="auto"/>
          <w:sz w:val="28"/>
          <w:szCs w:val="28"/>
          <w:highlight w:val="none"/>
        </w:rPr>
        <w:t>2. 投标报价说明</w:t>
      </w:r>
      <w:bookmarkEnd w:id="1831"/>
      <w:bookmarkEnd w:id="1832"/>
      <w:bookmarkEnd w:id="1833"/>
      <w:bookmarkEnd w:id="1834"/>
      <w:bookmarkEnd w:id="1835"/>
    </w:p>
    <w:p w14:paraId="45C60EF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2.1 工程量清单中的每一子目须填入单价或价格，且只允许有一个报价。</w:t>
      </w:r>
    </w:p>
    <w:p w14:paraId="6218790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6B70046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0C6F134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2.4 符合合同条款规定的全部费用应认为已被计入有标价的工程量清单所列各子目之中，未列子目不予计量的工作，其费用应视为已分摊在本合同工程的有关子目的单价或总额价之中。</w:t>
      </w:r>
    </w:p>
    <w:p w14:paraId="45737C8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2.5 承包人用于本合同工程的各类装备的提供、运输、维护、拆卸、拼装等支付的费用，已包括在工程量清单的单价与总额价之中。</w:t>
      </w:r>
    </w:p>
    <w:p w14:paraId="3B63AC60">
      <w:pPr>
        <w:pageBreakBefore w:val="0"/>
        <w:kinsoku/>
        <w:wordWrap w:val="0"/>
        <w:bidi w:val="0"/>
        <w:spacing w:line="400" w:lineRule="atLeast"/>
        <w:ind w:firstLine="540" w:firstLineChars="225"/>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2.6 工程量清单中各项金额均以人民币（元）结算。</w:t>
      </w:r>
    </w:p>
    <w:p w14:paraId="45312B3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2.7 暂列金额（不含计日工总额）的数量及拟用子目的说明：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5CEEF7F6">
      <w:pPr>
        <w:pageBreakBefore w:val="0"/>
        <w:kinsoku/>
        <w:wordWrap w:val="0"/>
        <w:bidi w:val="0"/>
        <w:spacing w:line="400" w:lineRule="atLeast"/>
        <w:ind w:firstLine="540" w:firstLineChars="225"/>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2.8 暂估价的数量及拟用子目的说明：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40363E13">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36" w:name="_Toc14325"/>
      <w:bookmarkStart w:id="1837" w:name="_Toc19"/>
      <w:bookmarkStart w:id="1838" w:name="_Toc17259"/>
      <w:bookmarkStart w:id="1839" w:name="_Toc234833244"/>
      <w:bookmarkStart w:id="1840" w:name="_Toc3776"/>
      <w:r>
        <w:rPr>
          <w:rFonts w:hint="default" w:ascii="Times New Roman" w:hAnsi="Times New Roman" w:eastAsia="黑体" w:cs="Times New Roman"/>
          <w:b w:val="0"/>
          <w:color w:val="auto"/>
          <w:sz w:val="28"/>
          <w:szCs w:val="28"/>
          <w:highlight w:val="none"/>
        </w:rPr>
        <w:t>3. 计日工说明</w:t>
      </w:r>
      <w:bookmarkEnd w:id="1836"/>
      <w:bookmarkEnd w:id="1837"/>
      <w:bookmarkEnd w:id="1838"/>
      <w:bookmarkEnd w:id="1839"/>
      <w:bookmarkEnd w:id="1840"/>
    </w:p>
    <w:p w14:paraId="1305FB61">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1" w:name="_Toc4285"/>
      <w:r>
        <w:rPr>
          <w:rFonts w:hint="default" w:ascii="Times New Roman" w:hAnsi="Times New Roman" w:cs="Times New Roman"/>
          <w:color w:val="auto"/>
          <w:sz w:val="24"/>
          <w:highlight w:val="none"/>
        </w:rPr>
        <w:t>3.1 总则</w:t>
      </w:r>
      <w:bookmarkEnd w:id="1841"/>
    </w:p>
    <w:p w14:paraId="307DC388">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（1）本说明应参照通用合同条款第15.7款一并理解。</w:t>
      </w:r>
    </w:p>
    <w:p w14:paraId="390ED0E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（2）未经监理人书面指令，任何工程不得按计日工施工；接到监理人按计日工施工的书面指令，承包人也不得拒绝。</w:t>
      </w:r>
    </w:p>
    <w:p w14:paraId="222D6AB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882AFB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（4）计日工不调价。</w:t>
      </w:r>
    </w:p>
    <w:p w14:paraId="04D9E3C3">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2" w:name="_Toc20973"/>
      <w:r>
        <w:rPr>
          <w:rFonts w:hint="default" w:ascii="Times New Roman" w:hAnsi="Times New Roman" w:cs="Times New Roman"/>
          <w:color w:val="auto"/>
          <w:sz w:val="24"/>
          <w:highlight w:val="none"/>
        </w:rPr>
        <w:t>3.2 计日工劳务</w:t>
      </w:r>
      <w:bookmarkEnd w:id="1842"/>
    </w:p>
    <w:p w14:paraId="622831A0">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3B783D3">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（2）承包人可以得到用于计日工劳务的全部工时的支付，此支付按承包人填报的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计日工劳务单价表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所列单价计算，该单价应包括基本单价及承包人的管理费、税费、利润等所有附加费，说明如下：</w:t>
      </w:r>
    </w:p>
    <w:p w14:paraId="6EDD5CE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 劳务基本单价包括：承包人劳务的全部直接费用，如：工资、加班费、津贴、福利费及劳动保护费等。</w:t>
      </w:r>
    </w:p>
    <w:p w14:paraId="4E12663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 承包人的利润、管理、质检、保险、税费；易耗品的使用，水电及照明费，工作台、脚手架、临时设施费，手动机具与工具的使用及维修，以及上述各项伴随而来的费用。</w:t>
      </w:r>
    </w:p>
    <w:p w14:paraId="3AC5FECA">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3" w:name="_Toc6706"/>
      <w:r>
        <w:rPr>
          <w:rFonts w:hint="default" w:ascii="Times New Roman" w:hAnsi="Times New Roman" w:cs="Times New Roman"/>
          <w:color w:val="auto"/>
          <w:sz w:val="24"/>
          <w:highlight w:val="none"/>
        </w:rPr>
        <w:t>3.3 计日工材料</w:t>
      </w:r>
      <w:bookmarkEnd w:id="1843"/>
    </w:p>
    <w:p w14:paraId="1159ECBA">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承包人可以得到计日工使用的材料费用（上述3.2款已计入劳务费内的材料费用除外）的支付，此费用按承包人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计日工材料单价表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中所填报的单价计算，该单价应包括基本单价及承包人的管理费、税费、利润等所有附加费，说明如下：</w:t>
      </w:r>
    </w:p>
    <w:p w14:paraId="6429A135">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（1）材料基本单价按供货价加运杂费（到达承包人现场仓库）、保险费、仓库管理费以及运输损耗等计算；</w:t>
      </w:r>
    </w:p>
    <w:p w14:paraId="08C91321">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（2）承包人的利润、管理、质检、保险、税费及其他附加费；</w:t>
      </w:r>
    </w:p>
    <w:p w14:paraId="0FD8FB46">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（3）从现场运至使用地点的人工费和施工机械使用费不包括在上述基本单价内。</w:t>
      </w:r>
    </w:p>
    <w:p w14:paraId="59BF5E6E">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44" w:name="_Toc4756"/>
      <w:r>
        <w:rPr>
          <w:rFonts w:hint="default" w:ascii="Times New Roman" w:hAnsi="Times New Roman" w:cs="Times New Roman"/>
          <w:color w:val="auto"/>
          <w:sz w:val="24"/>
          <w:highlight w:val="none"/>
        </w:rPr>
        <w:t>3.4 计日工施工机械</w:t>
      </w:r>
      <w:bookmarkEnd w:id="1844"/>
    </w:p>
    <w:p w14:paraId="3A0C77C4">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（1）承包人可以得到用于计日工作的施工机械费用的支付，该费用按承包人填报的</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计日工施工机械单价表</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中的租价计算。该租价应包括施工机械的折旧、利息、维修、保养、零配件、油燃料、保险和其他消耗品的费用以及全部有关使用这些机械的管理费、税费、利润和司机与助手的劳务费等费用。</w:t>
      </w:r>
    </w:p>
    <w:p w14:paraId="4F11669E">
      <w:pPr>
        <w:pageBreakBefore w:val="0"/>
        <w:kinsoku/>
        <w:wordWrap w:val="0"/>
        <w:bidi w:val="0"/>
        <w:spacing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59540187">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bookmarkStart w:id="1845" w:name="_Toc6095"/>
      <w:bookmarkStart w:id="1846" w:name="_Toc2204"/>
      <w:bookmarkStart w:id="1847" w:name="_Toc28230"/>
      <w:bookmarkStart w:id="1848" w:name="_Toc234833245"/>
      <w:bookmarkStart w:id="1849" w:name="_Toc27598"/>
      <w:r>
        <w:rPr>
          <w:rFonts w:hint="default" w:ascii="Times New Roman" w:hAnsi="Times New Roman" w:eastAsia="黑体" w:cs="Times New Roman"/>
          <w:b w:val="0"/>
          <w:color w:val="auto"/>
          <w:sz w:val="28"/>
          <w:szCs w:val="28"/>
          <w:highlight w:val="none"/>
        </w:rPr>
        <w:t>4. 其他说明</w:t>
      </w:r>
      <w:bookmarkEnd w:id="1845"/>
      <w:bookmarkEnd w:id="1846"/>
      <w:bookmarkEnd w:id="1847"/>
      <w:bookmarkEnd w:id="1848"/>
      <w:bookmarkEnd w:id="1849"/>
    </w:p>
    <w:p w14:paraId="7E70714C">
      <w:pPr>
        <w:pStyle w:val="2"/>
        <w:pageBreakBefore w:val="0"/>
        <w:kinsoku/>
        <w:wordWrap w:val="0"/>
        <w:bidi w:val="0"/>
        <w:spacing w:before="360" w:beforeLines="150" w:after="240" w:afterLines="100" w:line="380" w:lineRule="atLeast"/>
        <w:outlineLvl w:val="1"/>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1850" w:name="_Toc18734"/>
      <w:bookmarkStart w:id="1851" w:name="_Toc234833246"/>
      <w:bookmarkStart w:id="1852" w:name="_Toc30213"/>
      <w:bookmarkStart w:id="1853" w:name="_Toc14229"/>
      <w:bookmarkStart w:id="1854" w:name="_Toc22314"/>
      <w:r>
        <w:rPr>
          <w:rFonts w:hint="default" w:ascii="Times New Roman" w:hAnsi="Times New Roman" w:eastAsia="黑体" w:cs="Times New Roman"/>
          <w:b w:val="0"/>
          <w:color w:val="auto"/>
          <w:sz w:val="28"/>
          <w:szCs w:val="28"/>
          <w:highlight w:val="none"/>
        </w:rPr>
        <w:t>5. 工程量清单</w:t>
      </w:r>
      <w:bookmarkEnd w:id="1850"/>
      <w:bookmarkEnd w:id="1851"/>
      <w:bookmarkEnd w:id="1852"/>
      <w:bookmarkEnd w:id="1853"/>
      <w:bookmarkEnd w:id="1854"/>
    </w:p>
    <w:p w14:paraId="53B6E405">
      <w:pPr>
        <w:pageBreakBefore w:val="0"/>
        <w:kinsoku/>
        <w:wordWrap w:val="0"/>
        <w:bidi w:val="0"/>
        <w:spacing w:line="400" w:lineRule="atLeast"/>
        <w:ind w:firstLine="540" w:firstLineChars="225"/>
        <w:outlineLvl w:val="2"/>
        <w:rPr>
          <w:rFonts w:hint="default" w:ascii="Times New Roman" w:hAnsi="Times New Roman" w:cs="Times New Roman"/>
          <w:color w:val="auto"/>
          <w:sz w:val="24"/>
          <w:highlight w:val="none"/>
        </w:rPr>
      </w:pPr>
      <w:bookmarkStart w:id="1855" w:name="_Toc7522"/>
      <w:r>
        <w:rPr>
          <w:rFonts w:hint="default" w:ascii="Times New Roman" w:hAnsi="Times New Roman" w:cs="Times New Roman"/>
          <w:color w:val="auto"/>
          <w:sz w:val="24"/>
          <w:highlight w:val="none"/>
        </w:rPr>
        <w:t>5.1 工程量清单表</w:t>
      </w:r>
      <w:bookmarkEnd w:id="1855"/>
    </w:p>
    <w:p w14:paraId="34C1887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4EA6AB8">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t>工 程 量 清 单</w:t>
      </w:r>
    </w:p>
    <w:p w14:paraId="0F74F256">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342A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14F98E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第100章   总  则</w:t>
            </w:r>
          </w:p>
        </w:tc>
      </w:tr>
      <w:tr w14:paraId="513C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51373CD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C92986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DE46B1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26EF7F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8F6374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7CF82E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6DE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1A904E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026799D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3E98254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8D082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986D5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98358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30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7B286EA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072B4D1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52D01B2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11D41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F0887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11C3FC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04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290B5D2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110FF98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4A113C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700E9C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891C5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24F9E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CC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13C24D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2643E3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按合同条款规定，提供第三者责任险</w:t>
            </w:r>
          </w:p>
        </w:tc>
        <w:tc>
          <w:tcPr>
            <w:tcW w:w="749" w:type="dxa"/>
            <w:noWrap w:val="0"/>
            <w:vAlign w:val="top"/>
          </w:tcPr>
          <w:p w14:paraId="435A138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766AA9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77BD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CBEE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EC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352967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4732" w:type="dxa"/>
            <w:noWrap w:val="0"/>
            <w:vAlign w:val="center"/>
          </w:tcPr>
          <w:p w14:paraId="03F7998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工程管理</w:t>
            </w:r>
          </w:p>
        </w:tc>
        <w:tc>
          <w:tcPr>
            <w:tcW w:w="749" w:type="dxa"/>
            <w:noWrap w:val="0"/>
            <w:vAlign w:val="center"/>
          </w:tcPr>
          <w:p w14:paraId="4801304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555A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80BE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30E0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19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64" w:type="dxa"/>
            <w:tcBorders>
              <w:left w:val="single" w:color="auto" w:sz="12" w:space="0"/>
            </w:tcBorders>
            <w:noWrap w:val="0"/>
            <w:vAlign w:val="center"/>
          </w:tcPr>
          <w:p w14:paraId="78586A6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102-1</w:t>
            </w:r>
          </w:p>
        </w:tc>
        <w:tc>
          <w:tcPr>
            <w:tcW w:w="4732" w:type="dxa"/>
            <w:noWrap w:val="0"/>
            <w:vAlign w:val="center"/>
          </w:tcPr>
          <w:p w14:paraId="66EFA74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竣工文件</w:t>
            </w:r>
          </w:p>
        </w:tc>
        <w:tc>
          <w:tcPr>
            <w:tcW w:w="749" w:type="dxa"/>
            <w:noWrap w:val="0"/>
            <w:vAlign w:val="center"/>
          </w:tcPr>
          <w:p w14:paraId="4806F4D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4B404C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2FF7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2424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B6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3B5649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102-2</w:t>
            </w:r>
          </w:p>
        </w:tc>
        <w:tc>
          <w:tcPr>
            <w:tcW w:w="4732" w:type="dxa"/>
            <w:noWrap w:val="0"/>
            <w:vAlign w:val="center"/>
          </w:tcPr>
          <w:p w14:paraId="45BAA6A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施工环保费</w:t>
            </w:r>
          </w:p>
        </w:tc>
        <w:tc>
          <w:tcPr>
            <w:tcW w:w="749" w:type="dxa"/>
            <w:noWrap w:val="0"/>
            <w:vAlign w:val="center"/>
          </w:tcPr>
          <w:p w14:paraId="07FD4B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664454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BEFC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21F6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52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E41E79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102-3</w:t>
            </w:r>
          </w:p>
        </w:tc>
        <w:tc>
          <w:tcPr>
            <w:tcW w:w="4732" w:type="dxa"/>
            <w:noWrap w:val="0"/>
            <w:vAlign w:val="center"/>
          </w:tcPr>
          <w:p w14:paraId="0EF9AE7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安全生产费</w:t>
            </w:r>
          </w:p>
        </w:tc>
        <w:tc>
          <w:tcPr>
            <w:tcW w:w="749" w:type="dxa"/>
            <w:noWrap w:val="0"/>
            <w:vAlign w:val="center"/>
          </w:tcPr>
          <w:p w14:paraId="7837AC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8BEB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26D1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BA11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A2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4B6650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102-4</w:t>
            </w:r>
          </w:p>
        </w:tc>
        <w:tc>
          <w:tcPr>
            <w:tcW w:w="4732" w:type="dxa"/>
            <w:noWrap w:val="0"/>
            <w:vAlign w:val="center"/>
          </w:tcPr>
          <w:p w14:paraId="4A66A97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信息化系统（暂估价）</w:t>
            </w:r>
          </w:p>
        </w:tc>
        <w:tc>
          <w:tcPr>
            <w:tcW w:w="749" w:type="dxa"/>
            <w:noWrap w:val="0"/>
            <w:vAlign w:val="center"/>
          </w:tcPr>
          <w:p w14:paraId="00E7D4E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99ABC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C803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27072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B0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20A4B9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4732" w:type="dxa"/>
            <w:noWrap w:val="0"/>
            <w:vAlign w:val="center"/>
          </w:tcPr>
          <w:p w14:paraId="3E0B21C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临时工程与设施</w:t>
            </w:r>
          </w:p>
        </w:tc>
        <w:tc>
          <w:tcPr>
            <w:tcW w:w="749" w:type="dxa"/>
            <w:noWrap w:val="0"/>
            <w:vAlign w:val="top"/>
          </w:tcPr>
          <w:p w14:paraId="692F7F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1A734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167A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39FC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65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5F77AF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103-1</w:t>
            </w:r>
          </w:p>
        </w:tc>
        <w:tc>
          <w:tcPr>
            <w:tcW w:w="4732" w:type="dxa"/>
            <w:noWrap w:val="0"/>
            <w:vAlign w:val="top"/>
          </w:tcPr>
          <w:p w14:paraId="4488486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临时道路修建、养护与拆除（包括原道路的养护）</w:t>
            </w:r>
          </w:p>
        </w:tc>
        <w:tc>
          <w:tcPr>
            <w:tcW w:w="749" w:type="dxa"/>
            <w:noWrap w:val="0"/>
            <w:vAlign w:val="top"/>
          </w:tcPr>
          <w:p w14:paraId="425CE3F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F42E9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0348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A4463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D3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64" w:type="dxa"/>
            <w:tcBorders>
              <w:left w:val="single" w:color="auto" w:sz="12" w:space="0"/>
            </w:tcBorders>
            <w:noWrap w:val="0"/>
            <w:vAlign w:val="top"/>
          </w:tcPr>
          <w:p w14:paraId="722F28D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103-2</w:t>
            </w:r>
          </w:p>
        </w:tc>
        <w:tc>
          <w:tcPr>
            <w:tcW w:w="4732" w:type="dxa"/>
            <w:noWrap w:val="0"/>
            <w:vAlign w:val="top"/>
          </w:tcPr>
          <w:p w14:paraId="5B7F470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临时占地</w:t>
            </w:r>
          </w:p>
        </w:tc>
        <w:tc>
          <w:tcPr>
            <w:tcW w:w="749" w:type="dxa"/>
            <w:noWrap w:val="0"/>
            <w:vAlign w:val="top"/>
          </w:tcPr>
          <w:p w14:paraId="7B1061E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BCC2C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E34F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14CF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A5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59B4A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103-3</w:t>
            </w:r>
          </w:p>
        </w:tc>
        <w:tc>
          <w:tcPr>
            <w:tcW w:w="4732" w:type="dxa"/>
            <w:noWrap w:val="0"/>
            <w:vAlign w:val="center"/>
          </w:tcPr>
          <w:p w14:paraId="5A74E0D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临时供电设施架设、维护与拆除</w:t>
            </w:r>
          </w:p>
        </w:tc>
        <w:tc>
          <w:tcPr>
            <w:tcW w:w="749" w:type="dxa"/>
            <w:noWrap w:val="0"/>
            <w:vAlign w:val="center"/>
          </w:tcPr>
          <w:p w14:paraId="3AED394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177C0F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A17D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F01E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61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64" w:type="dxa"/>
            <w:tcBorders>
              <w:left w:val="single" w:color="auto" w:sz="12" w:space="0"/>
            </w:tcBorders>
            <w:noWrap w:val="0"/>
            <w:vAlign w:val="top"/>
          </w:tcPr>
          <w:p w14:paraId="3CEB24A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103-4</w:t>
            </w:r>
          </w:p>
        </w:tc>
        <w:tc>
          <w:tcPr>
            <w:tcW w:w="4732" w:type="dxa"/>
            <w:noWrap w:val="0"/>
            <w:vAlign w:val="top"/>
          </w:tcPr>
          <w:p w14:paraId="260D0DF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电信设施的提供、维修与拆除</w:t>
            </w:r>
          </w:p>
        </w:tc>
        <w:tc>
          <w:tcPr>
            <w:tcW w:w="749" w:type="dxa"/>
            <w:noWrap w:val="0"/>
            <w:vAlign w:val="top"/>
          </w:tcPr>
          <w:p w14:paraId="01DCF32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074429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45A7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3565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48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E186A3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103-5</w:t>
            </w:r>
          </w:p>
        </w:tc>
        <w:tc>
          <w:tcPr>
            <w:tcW w:w="4732" w:type="dxa"/>
            <w:noWrap w:val="0"/>
            <w:vAlign w:val="center"/>
          </w:tcPr>
          <w:p w14:paraId="66BA20D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临时供水与排污设施</w:t>
            </w:r>
          </w:p>
        </w:tc>
        <w:tc>
          <w:tcPr>
            <w:tcW w:w="749" w:type="dxa"/>
            <w:noWrap w:val="0"/>
            <w:vAlign w:val="top"/>
          </w:tcPr>
          <w:p w14:paraId="38A8DAB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87C43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4CE6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9879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C0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3D75E3A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4732" w:type="dxa"/>
            <w:noWrap w:val="0"/>
            <w:vAlign w:val="center"/>
          </w:tcPr>
          <w:p w14:paraId="3AE760C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2C2B3F0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89706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702A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AD46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3E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6123272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104-1</w:t>
            </w:r>
          </w:p>
        </w:tc>
        <w:tc>
          <w:tcPr>
            <w:tcW w:w="4732" w:type="dxa"/>
            <w:noWrap w:val="0"/>
            <w:vAlign w:val="top"/>
          </w:tcPr>
          <w:p w14:paraId="6A7B92C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承包人驻地建设</w:t>
            </w:r>
          </w:p>
        </w:tc>
        <w:tc>
          <w:tcPr>
            <w:tcW w:w="749" w:type="dxa"/>
            <w:noWrap w:val="0"/>
            <w:vAlign w:val="top"/>
          </w:tcPr>
          <w:p w14:paraId="763FEB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7EF609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94B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1F3D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79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5972A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4732" w:type="dxa"/>
            <w:noWrap w:val="0"/>
            <w:vAlign w:val="center"/>
          </w:tcPr>
          <w:p w14:paraId="0F9257E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施工标准化</w:t>
            </w:r>
          </w:p>
        </w:tc>
        <w:tc>
          <w:tcPr>
            <w:tcW w:w="749" w:type="dxa"/>
            <w:noWrap w:val="0"/>
            <w:vAlign w:val="center"/>
          </w:tcPr>
          <w:p w14:paraId="56C19D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33730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40DC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10D6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FF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44E376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105-1</w:t>
            </w:r>
          </w:p>
        </w:tc>
        <w:tc>
          <w:tcPr>
            <w:tcW w:w="4732" w:type="dxa"/>
            <w:noWrap w:val="0"/>
            <w:vAlign w:val="center"/>
          </w:tcPr>
          <w:p w14:paraId="1331FFC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施工驻地</w:t>
            </w:r>
          </w:p>
        </w:tc>
        <w:tc>
          <w:tcPr>
            <w:tcW w:w="749" w:type="dxa"/>
            <w:noWrap w:val="0"/>
            <w:vAlign w:val="center"/>
          </w:tcPr>
          <w:p w14:paraId="783D7D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0D1F45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362A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8E262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C8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08B5FE3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105-2</w:t>
            </w:r>
          </w:p>
        </w:tc>
        <w:tc>
          <w:tcPr>
            <w:tcW w:w="4732" w:type="dxa"/>
            <w:noWrap w:val="0"/>
            <w:vAlign w:val="center"/>
          </w:tcPr>
          <w:p w14:paraId="5BDCE4C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工地试验室</w:t>
            </w:r>
          </w:p>
        </w:tc>
        <w:tc>
          <w:tcPr>
            <w:tcW w:w="749" w:type="dxa"/>
            <w:noWrap w:val="0"/>
            <w:vAlign w:val="center"/>
          </w:tcPr>
          <w:p w14:paraId="79DD58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336A8C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B8ED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D1B6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F2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CCEC7A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105-3</w:t>
            </w:r>
          </w:p>
        </w:tc>
        <w:tc>
          <w:tcPr>
            <w:tcW w:w="4732" w:type="dxa"/>
            <w:noWrap w:val="0"/>
            <w:vAlign w:val="center"/>
          </w:tcPr>
          <w:p w14:paraId="3207ED8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拌和站</w:t>
            </w:r>
          </w:p>
        </w:tc>
        <w:tc>
          <w:tcPr>
            <w:tcW w:w="749" w:type="dxa"/>
            <w:noWrap w:val="0"/>
            <w:vAlign w:val="center"/>
          </w:tcPr>
          <w:p w14:paraId="5AC1E9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6BADE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110E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282F4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2F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64" w:type="dxa"/>
            <w:tcBorders>
              <w:left w:val="single" w:color="auto" w:sz="12" w:space="0"/>
            </w:tcBorders>
            <w:noWrap w:val="0"/>
            <w:vAlign w:val="center"/>
          </w:tcPr>
          <w:p w14:paraId="7C1EDBE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105-4</w:t>
            </w:r>
          </w:p>
        </w:tc>
        <w:tc>
          <w:tcPr>
            <w:tcW w:w="4732" w:type="dxa"/>
            <w:noWrap w:val="0"/>
            <w:vAlign w:val="center"/>
          </w:tcPr>
          <w:p w14:paraId="0E0165F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钢筋加工场</w:t>
            </w:r>
          </w:p>
        </w:tc>
        <w:tc>
          <w:tcPr>
            <w:tcW w:w="749" w:type="dxa"/>
            <w:noWrap w:val="0"/>
            <w:vAlign w:val="center"/>
          </w:tcPr>
          <w:p w14:paraId="7AA7CA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53D8AB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B949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358E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0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864" w:type="dxa"/>
            <w:tcBorders>
              <w:left w:val="single" w:color="auto" w:sz="12" w:space="0"/>
            </w:tcBorders>
            <w:noWrap w:val="0"/>
            <w:vAlign w:val="center"/>
          </w:tcPr>
          <w:p w14:paraId="24464BF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105-5</w:t>
            </w:r>
          </w:p>
        </w:tc>
        <w:tc>
          <w:tcPr>
            <w:tcW w:w="4732" w:type="dxa"/>
            <w:noWrap w:val="0"/>
            <w:vAlign w:val="center"/>
          </w:tcPr>
          <w:p w14:paraId="73B6E67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预制场</w:t>
            </w:r>
          </w:p>
        </w:tc>
        <w:tc>
          <w:tcPr>
            <w:tcW w:w="749" w:type="dxa"/>
            <w:noWrap w:val="0"/>
            <w:vAlign w:val="center"/>
          </w:tcPr>
          <w:p w14:paraId="40E2FB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2D9565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E9E3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F69B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14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D2CC2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105-6</w:t>
            </w:r>
          </w:p>
        </w:tc>
        <w:tc>
          <w:tcPr>
            <w:tcW w:w="4732" w:type="dxa"/>
            <w:noWrap w:val="0"/>
            <w:vAlign w:val="center"/>
          </w:tcPr>
          <w:p w14:paraId="41F7723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仓储存放地</w:t>
            </w:r>
          </w:p>
        </w:tc>
        <w:tc>
          <w:tcPr>
            <w:tcW w:w="749" w:type="dxa"/>
            <w:noWrap w:val="0"/>
            <w:vAlign w:val="center"/>
          </w:tcPr>
          <w:p w14:paraId="08C5C4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2446E8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1FA2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AD97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A9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92C05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105-7</w:t>
            </w:r>
          </w:p>
        </w:tc>
        <w:tc>
          <w:tcPr>
            <w:tcW w:w="4732" w:type="dxa"/>
            <w:noWrap w:val="0"/>
            <w:vAlign w:val="center"/>
          </w:tcPr>
          <w:p w14:paraId="1B5F79B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各场（厂）区、作业区连接道路及施工主便道</w:t>
            </w:r>
          </w:p>
        </w:tc>
        <w:tc>
          <w:tcPr>
            <w:tcW w:w="749" w:type="dxa"/>
            <w:noWrap w:val="0"/>
            <w:vAlign w:val="center"/>
          </w:tcPr>
          <w:p w14:paraId="260A36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CD572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385D5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17F0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C1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32A4034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5600F5A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17C525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72617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8367B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EF6E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38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0FEB0F6">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清单第100章合计  人民币</w:t>
            </w:r>
            <w:r>
              <w:rPr>
                <w:rFonts w:hint="default" w:ascii="Times New Roman" w:hAnsi="Times New Roman" w:cs="Times New Roman"/>
                <w:color w:val="auto"/>
                <w:szCs w:val="21"/>
                <w:highlight w:val="none"/>
                <w:u w:val="single"/>
              </w:rPr>
              <w:t xml:space="preserve">                    </w:t>
            </w:r>
          </w:p>
        </w:tc>
      </w:tr>
    </w:tbl>
    <w:p w14:paraId="03D41127">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67F39E1A">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439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FB92A5A">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0FFC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431976A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184DDF8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71EFA75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E26CC3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7A9A4E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259867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07C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32DC38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202</w:t>
            </w:r>
          </w:p>
        </w:tc>
        <w:tc>
          <w:tcPr>
            <w:tcW w:w="4732" w:type="dxa"/>
            <w:tcBorders>
              <w:top w:val="single" w:color="auto" w:sz="4" w:space="0"/>
              <w:left w:val="single" w:color="auto" w:sz="4" w:space="0"/>
              <w:right w:val="single" w:color="auto" w:sz="4" w:space="0"/>
            </w:tcBorders>
            <w:noWrap w:val="0"/>
            <w:vAlign w:val="center"/>
          </w:tcPr>
          <w:p w14:paraId="265125E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场地清理</w:t>
            </w:r>
          </w:p>
        </w:tc>
        <w:tc>
          <w:tcPr>
            <w:tcW w:w="749" w:type="dxa"/>
            <w:tcBorders>
              <w:top w:val="single" w:color="auto" w:sz="4" w:space="0"/>
              <w:left w:val="single" w:color="auto" w:sz="4" w:space="0"/>
              <w:right w:val="single" w:color="auto" w:sz="4" w:space="0"/>
            </w:tcBorders>
            <w:noWrap w:val="0"/>
            <w:vAlign w:val="top"/>
          </w:tcPr>
          <w:p w14:paraId="0FCA3AC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5774E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905CE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2DC01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F3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0FD6DD3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202-1</w:t>
            </w:r>
          </w:p>
        </w:tc>
        <w:tc>
          <w:tcPr>
            <w:tcW w:w="4732" w:type="dxa"/>
            <w:tcBorders>
              <w:top w:val="single" w:color="auto" w:sz="4" w:space="0"/>
              <w:left w:val="single" w:color="auto" w:sz="4" w:space="0"/>
              <w:right w:val="single" w:color="auto" w:sz="4" w:space="0"/>
            </w:tcBorders>
            <w:noWrap w:val="0"/>
            <w:vAlign w:val="top"/>
          </w:tcPr>
          <w:p w14:paraId="1139624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清理与掘除</w:t>
            </w:r>
          </w:p>
        </w:tc>
        <w:tc>
          <w:tcPr>
            <w:tcW w:w="749" w:type="dxa"/>
            <w:tcBorders>
              <w:top w:val="single" w:color="auto" w:sz="4" w:space="0"/>
              <w:left w:val="single" w:color="auto" w:sz="4" w:space="0"/>
              <w:right w:val="single" w:color="auto" w:sz="4" w:space="0"/>
            </w:tcBorders>
            <w:noWrap w:val="0"/>
            <w:vAlign w:val="top"/>
          </w:tcPr>
          <w:p w14:paraId="75E7537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B421B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8D648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F93EF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8A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3337E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DC0900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清理现场</w:t>
            </w:r>
          </w:p>
        </w:tc>
        <w:tc>
          <w:tcPr>
            <w:tcW w:w="749" w:type="dxa"/>
            <w:noWrap w:val="0"/>
            <w:vAlign w:val="top"/>
          </w:tcPr>
          <w:p w14:paraId="3A7E00C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78A0A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B952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F5E3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61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C54B8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E033D5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砍伐树木</w:t>
            </w:r>
          </w:p>
        </w:tc>
        <w:tc>
          <w:tcPr>
            <w:tcW w:w="749" w:type="dxa"/>
            <w:noWrap w:val="0"/>
            <w:vAlign w:val="top"/>
          </w:tcPr>
          <w:p w14:paraId="3EFBDE5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21CB0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D291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040D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8F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17DD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46D2028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挖除树根</w:t>
            </w:r>
          </w:p>
        </w:tc>
        <w:tc>
          <w:tcPr>
            <w:tcW w:w="749" w:type="dxa"/>
            <w:noWrap w:val="0"/>
            <w:vAlign w:val="top"/>
          </w:tcPr>
          <w:p w14:paraId="1D6A7B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2506F0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85DE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79FD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02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713D2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202-2</w:t>
            </w:r>
          </w:p>
        </w:tc>
        <w:tc>
          <w:tcPr>
            <w:tcW w:w="4732" w:type="dxa"/>
            <w:noWrap w:val="0"/>
            <w:vAlign w:val="top"/>
          </w:tcPr>
          <w:p w14:paraId="79AEB74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挖除旧路面</w:t>
            </w:r>
          </w:p>
        </w:tc>
        <w:tc>
          <w:tcPr>
            <w:tcW w:w="749" w:type="dxa"/>
            <w:noWrap w:val="0"/>
            <w:vAlign w:val="top"/>
          </w:tcPr>
          <w:p w14:paraId="26A1B77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F5506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C3F8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6856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88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C315A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522941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水泥混凝土路面</w:t>
            </w:r>
          </w:p>
        </w:tc>
        <w:tc>
          <w:tcPr>
            <w:tcW w:w="749" w:type="dxa"/>
            <w:noWrap w:val="0"/>
            <w:vAlign w:val="top"/>
          </w:tcPr>
          <w:p w14:paraId="3149751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40C99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7AFA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5069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13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ADD65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0BF1E94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沥青混凝土路面</w:t>
            </w:r>
          </w:p>
        </w:tc>
        <w:tc>
          <w:tcPr>
            <w:tcW w:w="749" w:type="dxa"/>
            <w:noWrap w:val="0"/>
            <w:vAlign w:val="top"/>
          </w:tcPr>
          <w:p w14:paraId="1075FBE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2CEE9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D24F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67C4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1C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4A4B7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3E8D5B3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碎石路面</w:t>
            </w:r>
          </w:p>
        </w:tc>
        <w:tc>
          <w:tcPr>
            <w:tcW w:w="749" w:type="dxa"/>
            <w:noWrap w:val="0"/>
            <w:vAlign w:val="top"/>
          </w:tcPr>
          <w:p w14:paraId="2A08E73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D902D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5550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3AB58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E2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1885B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202-3</w:t>
            </w:r>
          </w:p>
        </w:tc>
        <w:tc>
          <w:tcPr>
            <w:tcW w:w="4732" w:type="dxa"/>
            <w:noWrap w:val="0"/>
            <w:vAlign w:val="top"/>
          </w:tcPr>
          <w:p w14:paraId="2087A12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拆除结构物</w:t>
            </w:r>
          </w:p>
        </w:tc>
        <w:tc>
          <w:tcPr>
            <w:tcW w:w="749" w:type="dxa"/>
            <w:noWrap w:val="0"/>
            <w:vAlign w:val="top"/>
          </w:tcPr>
          <w:p w14:paraId="5060529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BC63E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4291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7ABD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74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ACA68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F5185C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钢筋混凝土结构</w:t>
            </w:r>
          </w:p>
        </w:tc>
        <w:tc>
          <w:tcPr>
            <w:tcW w:w="749" w:type="dxa"/>
            <w:noWrap w:val="0"/>
            <w:vAlign w:val="top"/>
          </w:tcPr>
          <w:p w14:paraId="462228C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38BE4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66A3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0502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98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B8AE6D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A2B0D4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混凝土结构</w:t>
            </w:r>
          </w:p>
        </w:tc>
        <w:tc>
          <w:tcPr>
            <w:tcW w:w="749" w:type="dxa"/>
            <w:noWrap w:val="0"/>
            <w:vAlign w:val="top"/>
          </w:tcPr>
          <w:p w14:paraId="02BDCDC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52B3E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397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0233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48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74412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4DC4AAC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砖、石及其他砌体结构</w:t>
            </w:r>
          </w:p>
        </w:tc>
        <w:tc>
          <w:tcPr>
            <w:tcW w:w="749" w:type="dxa"/>
            <w:noWrap w:val="0"/>
            <w:vAlign w:val="top"/>
          </w:tcPr>
          <w:p w14:paraId="06A2777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BC0D7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5B30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FDC06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2F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F61A1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center"/>
          </w:tcPr>
          <w:p w14:paraId="5EE48DD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金属结构</w:t>
            </w:r>
          </w:p>
        </w:tc>
        <w:tc>
          <w:tcPr>
            <w:tcW w:w="749" w:type="dxa"/>
            <w:noWrap w:val="0"/>
            <w:vAlign w:val="center"/>
          </w:tcPr>
          <w:p w14:paraId="42D300B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0F6F2C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F20B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1F2F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2F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0FF0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202-4</w:t>
            </w:r>
          </w:p>
        </w:tc>
        <w:tc>
          <w:tcPr>
            <w:tcW w:w="4732" w:type="dxa"/>
            <w:noWrap w:val="0"/>
            <w:vAlign w:val="center"/>
          </w:tcPr>
          <w:p w14:paraId="1D80239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植物移栽</w:t>
            </w:r>
          </w:p>
        </w:tc>
        <w:tc>
          <w:tcPr>
            <w:tcW w:w="749" w:type="dxa"/>
            <w:noWrap w:val="0"/>
            <w:vAlign w:val="center"/>
          </w:tcPr>
          <w:p w14:paraId="22425D3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EEA8E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EC98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CA919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A8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C165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4A06FFF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移栽乔（灌）木</w:t>
            </w:r>
          </w:p>
        </w:tc>
        <w:tc>
          <w:tcPr>
            <w:tcW w:w="749" w:type="dxa"/>
            <w:noWrap w:val="0"/>
            <w:vAlign w:val="center"/>
          </w:tcPr>
          <w:p w14:paraId="43EC2EE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93B13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5F56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990DF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6E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4F884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3F1F8AA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移栽草皮</w:t>
            </w:r>
          </w:p>
        </w:tc>
        <w:tc>
          <w:tcPr>
            <w:tcW w:w="749" w:type="dxa"/>
            <w:noWrap w:val="0"/>
            <w:vAlign w:val="center"/>
          </w:tcPr>
          <w:p w14:paraId="67DFFAC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72CB5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3272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EE89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04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750C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203</w:t>
            </w:r>
          </w:p>
        </w:tc>
        <w:tc>
          <w:tcPr>
            <w:tcW w:w="4732" w:type="dxa"/>
            <w:noWrap w:val="0"/>
            <w:vAlign w:val="center"/>
          </w:tcPr>
          <w:p w14:paraId="1467A96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挖方路基</w:t>
            </w:r>
          </w:p>
        </w:tc>
        <w:tc>
          <w:tcPr>
            <w:tcW w:w="749" w:type="dxa"/>
            <w:noWrap w:val="0"/>
            <w:vAlign w:val="top"/>
          </w:tcPr>
          <w:p w14:paraId="5549AD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E6F05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BA0C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7BE9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FD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A005A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203-1</w:t>
            </w:r>
          </w:p>
        </w:tc>
        <w:tc>
          <w:tcPr>
            <w:tcW w:w="4732" w:type="dxa"/>
            <w:noWrap w:val="0"/>
            <w:vAlign w:val="top"/>
          </w:tcPr>
          <w:p w14:paraId="397F5D9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路基挖方</w:t>
            </w:r>
          </w:p>
        </w:tc>
        <w:tc>
          <w:tcPr>
            <w:tcW w:w="749" w:type="dxa"/>
            <w:noWrap w:val="0"/>
            <w:vAlign w:val="top"/>
          </w:tcPr>
          <w:p w14:paraId="057D13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E80E1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D8CB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DBAC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F3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7AA53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156AD0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64E201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56833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1B34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D496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69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66030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1AFA91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29D9A7D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13E38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8639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0BC1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02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B14E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333878D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top"/>
          </w:tcPr>
          <w:p w14:paraId="3A98596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CFB92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1D36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F8D2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75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F1A69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732" w:type="dxa"/>
            <w:noWrap w:val="0"/>
            <w:vAlign w:val="top"/>
          </w:tcPr>
          <w:p w14:paraId="355FD94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挖淤泥</w:t>
            </w:r>
          </w:p>
        </w:tc>
        <w:tc>
          <w:tcPr>
            <w:tcW w:w="749" w:type="dxa"/>
            <w:noWrap w:val="0"/>
            <w:vAlign w:val="top"/>
          </w:tcPr>
          <w:p w14:paraId="791384C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4C01E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59E5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463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19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4D79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1E74E805">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noWrap w:val="0"/>
            <w:vAlign w:val="center"/>
          </w:tcPr>
          <w:p w14:paraId="24117B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987E3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9436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927C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51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CC41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762B51E0">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noWrap w:val="0"/>
            <w:vAlign w:val="center"/>
          </w:tcPr>
          <w:p w14:paraId="4AB02B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6C23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2440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AEB3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E8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2D62E4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203-2</w:t>
            </w:r>
          </w:p>
        </w:tc>
        <w:tc>
          <w:tcPr>
            <w:tcW w:w="4732" w:type="dxa"/>
            <w:noWrap w:val="0"/>
            <w:vAlign w:val="top"/>
          </w:tcPr>
          <w:p w14:paraId="7AFD613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改河、改渠、改路挖方</w:t>
            </w:r>
          </w:p>
        </w:tc>
        <w:tc>
          <w:tcPr>
            <w:tcW w:w="749" w:type="dxa"/>
            <w:noWrap w:val="0"/>
            <w:vAlign w:val="top"/>
          </w:tcPr>
          <w:p w14:paraId="0A72285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AB80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3F70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1DB8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18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D0F12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21AC33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挖土方</w:t>
            </w:r>
          </w:p>
        </w:tc>
        <w:tc>
          <w:tcPr>
            <w:tcW w:w="749" w:type="dxa"/>
            <w:noWrap w:val="0"/>
            <w:vAlign w:val="top"/>
          </w:tcPr>
          <w:p w14:paraId="13216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4C1F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B43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F86E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5D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38CFF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D20519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挖石方</w:t>
            </w:r>
          </w:p>
        </w:tc>
        <w:tc>
          <w:tcPr>
            <w:tcW w:w="749" w:type="dxa"/>
            <w:noWrap w:val="0"/>
            <w:vAlign w:val="top"/>
          </w:tcPr>
          <w:p w14:paraId="22FCF60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B99C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B8EE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8E5E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0198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4655C8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挖除非适用材料（不含淤泥、岩盐、冻土）</w:t>
            </w:r>
          </w:p>
        </w:tc>
        <w:tc>
          <w:tcPr>
            <w:tcW w:w="749" w:type="dxa"/>
            <w:noWrap w:val="0"/>
            <w:vAlign w:val="center"/>
          </w:tcPr>
          <w:p w14:paraId="7BBDD1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1F0D0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F6FA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3CB2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61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6A1F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C42E1D8">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挖淤泥</w:t>
            </w:r>
          </w:p>
        </w:tc>
        <w:tc>
          <w:tcPr>
            <w:tcW w:w="749" w:type="dxa"/>
            <w:noWrap w:val="0"/>
            <w:vAlign w:val="center"/>
          </w:tcPr>
          <w:p w14:paraId="4E02B4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65A1C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7876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67D6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52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0E75C1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72713EF9">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挖岩盐</w:t>
            </w:r>
          </w:p>
        </w:tc>
        <w:tc>
          <w:tcPr>
            <w:tcW w:w="749" w:type="dxa"/>
            <w:tcBorders>
              <w:bottom w:val="single" w:color="auto" w:sz="4" w:space="0"/>
            </w:tcBorders>
            <w:noWrap w:val="0"/>
            <w:vAlign w:val="center"/>
          </w:tcPr>
          <w:p w14:paraId="144F89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2F8AE6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008B49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6050C1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8C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6F8A13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tcBorders>
              <w:bottom w:val="single" w:color="auto" w:sz="4" w:space="0"/>
            </w:tcBorders>
            <w:noWrap w:val="0"/>
            <w:vAlign w:val="center"/>
          </w:tcPr>
          <w:p w14:paraId="08BBB789">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挖冻土</w:t>
            </w:r>
          </w:p>
        </w:tc>
        <w:tc>
          <w:tcPr>
            <w:tcW w:w="749" w:type="dxa"/>
            <w:tcBorders>
              <w:bottom w:val="single" w:color="auto" w:sz="4" w:space="0"/>
            </w:tcBorders>
            <w:noWrap w:val="0"/>
            <w:vAlign w:val="center"/>
          </w:tcPr>
          <w:p w14:paraId="3777F3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tcBorders>
              <w:bottom w:val="single" w:color="auto" w:sz="4" w:space="0"/>
            </w:tcBorders>
            <w:noWrap w:val="0"/>
            <w:vAlign w:val="center"/>
          </w:tcPr>
          <w:p w14:paraId="4AE35D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7C41B4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59128D6A">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3252946D">
      <w:pPr>
        <w:pageBreakBefore w:val="0"/>
        <w:kinsoku/>
        <w:wordWrap w:val="0"/>
        <w:bidi w:val="0"/>
        <w:rPr>
          <w:rFonts w:hint="default" w:ascii="Times New Roman" w:hAnsi="Times New Roman" w:cs="Times New Roman"/>
          <w:color w:val="auto"/>
          <w:sz w:val="10"/>
          <w:szCs w:val="10"/>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D8B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31ADF13">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第200章   路  基</w:t>
            </w:r>
          </w:p>
        </w:tc>
      </w:tr>
      <w:tr w14:paraId="5308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74619D5E">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0E33FD0A">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2B1016F2">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180FC2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470606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0AF9E5E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448B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B3229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204</w:t>
            </w:r>
          </w:p>
        </w:tc>
        <w:tc>
          <w:tcPr>
            <w:tcW w:w="4732" w:type="dxa"/>
            <w:noWrap w:val="0"/>
            <w:vAlign w:val="center"/>
          </w:tcPr>
          <w:p w14:paraId="5B10301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填方路基</w:t>
            </w:r>
          </w:p>
        </w:tc>
        <w:tc>
          <w:tcPr>
            <w:tcW w:w="749" w:type="dxa"/>
            <w:noWrap w:val="0"/>
            <w:vAlign w:val="top"/>
          </w:tcPr>
          <w:p w14:paraId="026463D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4625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38F3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450A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61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AAF62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204-1</w:t>
            </w:r>
          </w:p>
        </w:tc>
        <w:tc>
          <w:tcPr>
            <w:tcW w:w="4732" w:type="dxa"/>
            <w:noWrap w:val="0"/>
            <w:vAlign w:val="top"/>
          </w:tcPr>
          <w:p w14:paraId="6253331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路基填筑（包括填前压实）</w:t>
            </w:r>
          </w:p>
        </w:tc>
        <w:tc>
          <w:tcPr>
            <w:tcW w:w="749" w:type="dxa"/>
            <w:noWrap w:val="0"/>
            <w:vAlign w:val="top"/>
          </w:tcPr>
          <w:p w14:paraId="39D43E1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C640E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05A2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0714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40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BEEAD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5870764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center"/>
          </w:tcPr>
          <w:p w14:paraId="4389A42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09F25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0296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09C7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C7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1D200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28E48D6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center"/>
          </w:tcPr>
          <w:p w14:paraId="3D2D5B1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4FB66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FB84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C586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64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36434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1C5578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3CC0AAB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39A3D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C86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EEB3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7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67249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1D34F1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借土填方</w:t>
            </w:r>
          </w:p>
        </w:tc>
        <w:tc>
          <w:tcPr>
            <w:tcW w:w="749" w:type="dxa"/>
            <w:noWrap w:val="0"/>
            <w:vAlign w:val="center"/>
          </w:tcPr>
          <w:p w14:paraId="15E0EDE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9A56A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E44F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0FE8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7C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2A47A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565D0466">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粉煤灰及矿渣路堤</w:t>
            </w:r>
          </w:p>
        </w:tc>
        <w:tc>
          <w:tcPr>
            <w:tcW w:w="749" w:type="dxa"/>
            <w:noWrap w:val="0"/>
            <w:vAlign w:val="center"/>
          </w:tcPr>
          <w:p w14:paraId="1362C24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03C41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603B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D529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54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12F89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746C1DB3">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吹填砂路堤</w:t>
            </w:r>
          </w:p>
        </w:tc>
        <w:tc>
          <w:tcPr>
            <w:tcW w:w="749" w:type="dxa"/>
            <w:noWrap w:val="0"/>
            <w:vAlign w:val="center"/>
          </w:tcPr>
          <w:p w14:paraId="55CE74D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E8F3B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7724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315D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45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A7EC1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0B9CDA2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EPS路堤</w:t>
            </w:r>
          </w:p>
        </w:tc>
        <w:tc>
          <w:tcPr>
            <w:tcW w:w="749" w:type="dxa"/>
            <w:noWrap w:val="0"/>
            <w:vAlign w:val="center"/>
          </w:tcPr>
          <w:p w14:paraId="6376887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D17A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3650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1478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A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D81CC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4732" w:type="dxa"/>
            <w:noWrap w:val="0"/>
            <w:vAlign w:val="center"/>
          </w:tcPr>
          <w:p w14:paraId="57855E2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结构物台背回填</w:t>
            </w:r>
          </w:p>
        </w:tc>
        <w:tc>
          <w:tcPr>
            <w:tcW w:w="749" w:type="dxa"/>
            <w:noWrap w:val="0"/>
            <w:vAlign w:val="center"/>
          </w:tcPr>
          <w:p w14:paraId="149DCD3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9CB06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7660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7482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E4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01D60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-i</w:t>
            </w:r>
          </w:p>
        </w:tc>
        <w:tc>
          <w:tcPr>
            <w:tcW w:w="4732" w:type="dxa"/>
            <w:noWrap w:val="0"/>
            <w:vAlign w:val="center"/>
          </w:tcPr>
          <w:p w14:paraId="22F33A0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锥坡及台前溜坡填土</w:t>
            </w:r>
          </w:p>
        </w:tc>
        <w:tc>
          <w:tcPr>
            <w:tcW w:w="749" w:type="dxa"/>
            <w:noWrap w:val="0"/>
            <w:vAlign w:val="center"/>
          </w:tcPr>
          <w:p w14:paraId="3569ABE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EF6A7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060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A7E6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B0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CDCB001">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204-2</w:t>
            </w:r>
          </w:p>
        </w:tc>
        <w:tc>
          <w:tcPr>
            <w:tcW w:w="4732" w:type="dxa"/>
            <w:noWrap w:val="0"/>
            <w:vAlign w:val="top"/>
          </w:tcPr>
          <w:p w14:paraId="0E678F3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改河、改渠、改路填筑</w:t>
            </w:r>
          </w:p>
        </w:tc>
        <w:tc>
          <w:tcPr>
            <w:tcW w:w="749" w:type="dxa"/>
            <w:noWrap w:val="0"/>
            <w:vAlign w:val="top"/>
          </w:tcPr>
          <w:p w14:paraId="41FAE558">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B0637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C487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404B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BB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7B590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5DF03B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利用土方</w:t>
            </w:r>
          </w:p>
        </w:tc>
        <w:tc>
          <w:tcPr>
            <w:tcW w:w="749" w:type="dxa"/>
            <w:noWrap w:val="0"/>
            <w:vAlign w:val="top"/>
          </w:tcPr>
          <w:p w14:paraId="60C67F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BD8A3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856E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C578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2D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6642DF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641D27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利用石方</w:t>
            </w:r>
          </w:p>
        </w:tc>
        <w:tc>
          <w:tcPr>
            <w:tcW w:w="749" w:type="dxa"/>
            <w:noWrap w:val="0"/>
            <w:vAlign w:val="top"/>
          </w:tcPr>
          <w:p w14:paraId="5D736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8E351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EDA0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3354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88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123C9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center"/>
          </w:tcPr>
          <w:p w14:paraId="39AE5B0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利用土石混填</w:t>
            </w:r>
          </w:p>
        </w:tc>
        <w:tc>
          <w:tcPr>
            <w:tcW w:w="749" w:type="dxa"/>
            <w:noWrap w:val="0"/>
            <w:vAlign w:val="center"/>
          </w:tcPr>
          <w:p w14:paraId="01FE5C4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F73AC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DB9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607DC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13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B4833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5EBCD3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借土填方</w:t>
            </w:r>
          </w:p>
        </w:tc>
        <w:tc>
          <w:tcPr>
            <w:tcW w:w="749" w:type="dxa"/>
            <w:noWrap w:val="0"/>
            <w:vAlign w:val="center"/>
          </w:tcPr>
          <w:p w14:paraId="6DF10BA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AA050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DC81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D433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83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4069C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205</w:t>
            </w:r>
          </w:p>
        </w:tc>
        <w:tc>
          <w:tcPr>
            <w:tcW w:w="4732" w:type="dxa"/>
            <w:noWrap w:val="0"/>
            <w:vAlign w:val="center"/>
          </w:tcPr>
          <w:p w14:paraId="550DA98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特殊地区路基处理</w:t>
            </w:r>
          </w:p>
        </w:tc>
        <w:tc>
          <w:tcPr>
            <w:tcW w:w="749" w:type="dxa"/>
            <w:noWrap w:val="0"/>
            <w:vAlign w:val="top"/>
          </w:tcPr>
          <w:p w14:paraId="481299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D7D47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3184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3F61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BE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A5B63D9">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205-1</w:t>
            </w:r>
          </w:p>
        </w:tc>
        <w:tc>
          <w:tcPr>
            <w:tcW w:w="4732" w:type="dxa"/>
            <w:noWrap w:val="0"/>
            <w:vAlign w:val="top"/>
          </w:tcPr>
          <w:p w14:paraId="2693F8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软土路基处理</w:t>
            </w:r>
          </w:p>
        </w:tc>
        <w:tc>
          <w:tcPr>
            <w:tcW w:w="749" w:type="dxa"/>
            <w:noWrap w:val="0"/>
            <w:vAlign w:val="top"/>
          </w:tcPr>
          <w:p w14:paraId="5DB05265">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C965B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61CD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D90C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A3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97651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702616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抛石挤淤</w:t>
            </w:r>
          </w:p>
        </w:tc>
        <w:tc>
          <w:tcPr>
            <w:tcW w:w="749" w:type="dxa"/>
            <w:noWrap w:val="0"/>
            <w:vAlign w:val="center"/>
          </w:tcPr>
          <w:p w14:paraId="13F184B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ED92E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D8CF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9261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AD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F2365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455BD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爆炸挤淤</w:t>
            </w:r>
          </w:p>
        </w:tc>
        <w:tc>
          <w:tcPr>
            <w:tcW w:w="749" w:type="dxa"/>
            <w:noWrap w:val="0"/>
            <w:vAlign w:val="center"/>
          </w:tcPr>
          <w:p w14:paraId="6F8D400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5D3C1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19AF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6291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9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865AB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CE10A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垫层</w:t>
            </w:r>
          </w:p>
        </w:tc>
        <w:tc>
          <w:tcPr>
            <w:tcW w:w="749" w:type="dxa"/>
            <w:noWrap w:val="0"/>
            <w:vAlign w:val="center"/>
          </w:tcPr>
          <w:p w14:paraId="457DCFDE">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1C9C1E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DDBC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C29A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69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AFB4D0">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732" w:type="dxa"/>
            <w:noWrap w:val="0"/>
            <w:vAlign w:val="center"/>
          </w:tcPr>
          <w:p w14:paraId="646788F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砂垫层</w:t>
            </w:r>
          </w:p>
        </w:tc>
        <w:tc>
          <w:tcPr>
            <w:tcW w:w="749" w:type="dxa"/>
            <w:noWrap w:val="0"/>
            <w:vAlign w:val="center"/>
          </w:tcPr>
          <w:p w14:paraId="7FB955EE">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A855B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C60F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15DE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EF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2D07A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732" w:type="dxa"/>
            <w:noWrap w:val="0"/>
            <w:vAlign w:val="center"/>
          </w:tcPr>
          <w:p w14:paraId="2B24DF9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center"/>
          </w:tcPr>
          <w:p w14:paraId="63A8DB2A">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4F4FDB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41E6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D0E7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37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129B0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732" w:type="dxa"/>
            <w:noWrap w:val="0"/>
            <w:vAlign w:val="center"/>
          </w:tcPr>
          <w:p w14:paraId="636C7EC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noWrap w:val="0"/>
            <w:vAlign w:val="center"/>
          </w:tcPr>
          <w:p w14:paraId="5A338B0F">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4E3F7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3055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48C1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19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5E78C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732" w:type="dxa"/>
            <w:noWrap w:val="0"/>
            <w:vAlign w:val="center"/>
          </w:tcPr>
          <w:p w14:paraId="5050E56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碎石土垫层</w:t>
            </w:r>
          </w:p>
        </w:tc>
        <w:tc>
          <w:tcPr>
            <w:tcW w:w="749" w:type="dxa"/>
            <w:noWrap w:val="0"/>
            <w:vAlign w:val="center"/>
          </w:tcPr>
          <w:p w14:paraId="79D4112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71CB3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0637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E290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B9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781CB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732" w:type="dxa"/>
            <w:noWrap w:val="0"/>
            <w:vAlign w:val="center"/>
          </w:tcPr>
          <w:p w14:paraId="3653C3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灰土垫层</w:t>
            </w:r>
          </w:p>
        </w:tc>
        <w:tc>
          <w:tcPr>
            <w:tcW w:w="749" w:type="dxa"/>
            <w:noWrap w:val="0"/>
            <w:vAlign w:val="center"/>
          </w:tcPr>
          <w:p w14:paraId="6D869957">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838CD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7321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62F09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41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1DACD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9FB747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土工合成材料</w:t>
            </w:r>
          </w:p>
        </w:tc>
        <w:tc>
          <w:tcPr>
            <w:tcW w:w="749" w:type="dxa"/>
            <w:noWrap w:val="0"/>
            <w:vAlign w:val="center"/>
          </w:tcPr>
          <w:p w14:paraId="1E3D1E3D">
            <w:pPr>
              <w:pageBreakBefore w:val="0"/>
              <w:widowControl/>
              <w:kinsoku/>
              <w:wordWrap w:val="0"/>
              <w:bidi w:val="0"/>
              <w:jc w:val="center"/>
              <w:rPr>
                <w:rFonts w:hint="default" w:ascii="Times New Roman" w:hAnsi="Times New Roman" w:cs="Times New Roman"/>
                <w:color w:val="auto"/>
                <w:kern w:val="0"/>
                <w:szCs w:val="21"/>
                <w:highlight w:val="none"/>
              </w:rPr>
            </w:pPr>
          </w:p>
        </w:tc>
        <w:tc>
          <w:tcPr>
            <w:tcW w:w="837" w:type="dxa"/>
            <w:noWrap w:val="0"/>
            <w:vAlign w:val="center"/>
          </w:tcPr>
          <w:p w14:paraId="3E86C7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E77B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5FDF1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24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27ECD4">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732" w:type="dxa"/>
            <w:noWrap w:val="0"/>
            <w:vAlign w:val="center"/>
          </w:tcPr>
          <w:p w14:paraId="76AE502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反滤土工布</w:t>
            </w:r>
          </w:p>
        </w:tc>
        <w:tc>
          <w:tcPr>
            <w:tcW w:w="749" w:type="dxa"/>
            <w:noWrap w:val="0"/>
            <w:vAlign w:val="center"/>
          </w:tcPr>
          <w:p w14:paraId="259941DB">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DDE6E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DF24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EB2A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2E3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00E2EC">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732" w:type="dxa"/>
            <w:noWrap w:val="0"/>
            <w:vAlign w:val="center"/>
          </w:tcPr>
          <w:p w14:paraId="00F3BE6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防渗土工膜</w:t>
            </w:r>
          </w:p>
        </w:tc>
        <w:tc>
          <w:tcPr>
            <w:tcW w:w="749" w:type="dxa"/>
            <w:noWrap w:val="0"/>
            <w:vAlign w:val="center"/>
          </w:tcPr>
          <w:p w14:paraId="5CDBF48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BF820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DF63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B6BA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31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4E3285">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-d-3</w:t>
            </w:r>
          </w:p>
        </w:tc>
        <w:tc>
          <w:tcPr>
            <w:tcW w:w="4732" w:type="dxa"/>
            <w:noWrap w:val="0"/>
            <w:vAlign w:val="center"/>
          </w:tcPr>
          <w:p w14:paraId="05D8620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土工格栅</w:t>
            </w:r>
          </w:p>
        </w:tc>
        <w:tc>
          <w:tcPr>
            <w:tcW w:w="749" w:type="dxa"/>
            <w:noWrap w:val="0"/>
            <w:vAlign w:val="center"/>
          </w:tcPr>
          <w:p w14:paraId="20C7B192">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471A2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B97C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6736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B7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32F0805D">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-d-4</w:t>
            </w:r>
          </w:p>
        </w:tc>
        <w:tc>
          <w:tcPr>
            <w:tcW w:w="4732" w:type="dxa"/>
            <w:tcBorders>
              <w:bottom w:val="single" w:color="auto" w:sz="4" w:space="0"/>
            </w:tcBorders>
            <w:noWrap w:val="0"/>
            <w:vAlign w:val="center"/>
          </w:tcPr>
          <w:p w14:paraId="685C974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土工格室</w:t>
            </w:r>
          </w:p>
        </w:tc>
        <w:tc>
          <w:tcPr>
            <w:tcW w:w="749" w:type="dxa"/>
            <w:tcBorders>
              <w:bottom w:val="single" w:color="auto" w:sz="4" w:space="0"/>
            </w:tcBorders>
            <w:noWrap w:val="0"/>
            <w:vAlign w:val="center"/>
          </w:tcPr>
          <w:p w14:paraId="73C98C16">
            <w:pPr>
              <w:pageBreakBefore w:val="0"/>
              <w:widowControl/>
              <w:kinsoku/>
              <w:wordWrap w:val="0"/>
              <w:bidi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bottom w:val="single" w:color="auto" w:sz="4" w:space="0"/>
            </w:tcBorders>
            <w:noWrap w:val="0"/>
            <w:vAlign w:val="center"/>
          </w:tcPr>
          <w:p w14:paraId="185AEF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7101A6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0BD743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3D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51CA30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tcBorders>
              <w:bottom w:val="single" w:color="auto" w:sz="4" w:space="0"/>
            </w:tcBorders>
            <w:noWrap w:val="0"/>
            <w:vAlign w:val="center"/>
          </w:tcPr>
          <w:p w14:paraId="04E647D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预压与超载预压</w:t>
            </w:r>
          </w:p>
        </w:tc>
        <w:tc>
          <w:tcPr>
            <w:tcW w:w="749" w:type="dxa"/>
            <w:tcBorders>
              <w:bottom w:val="single" w:color="auto" w:sz="4" w:space="0"/>
            </w:tcBorders>
            <w:noWrap w:val="0"/>
            <w:vAlign w:val="center"/>
          </w:tcPr>
          <w:p w14:paraId="58906A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bottom w:val="single" w:color="auto" w:sz="4" w:space="0"/>
            </w:tcBorders>
            <w:noWrap w:val="0"/>
            <w:vAlign w:val="center"/>
          </w:tcPr>
          <w:p w14:paraId="24342E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tcBorders>
            <w:noWrap w:val="0"/>
            <w:vAlign w:val="center"/>
          </w:tcPr>
          <w:p w14:paraId="5A87EE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bottom w:val="single" w:color="auto" w:sz="4" w:space="0"/>
              <w:right w:val="single" w:color="auto" w:sz="12" w:space="0"/>
            </w:tcBorders>
            <w:noWrap w:val="0"/>
            <w:vAlign w:val="center"/>
          </w:tcPr>
          <w:p w14:paraId="4431F2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0F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69E2B0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732" w:type="dxa"/>
            <w:tcBorders>
              <w:top w:val="single" w:color="auto" w:sz="4" w:space="0"/>
            </w:tcBorders>
            <w:noWrap w:val="0"/>
            <w:vAlign w:val="center"/>
          </w:tcPr>
          <w:p w14:paraId="275C9AF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真空预压</w:t>
            </w:r>
          </w:p>
        </w:tc>
        <w:tc>
          <w:tcPr>
            <w:tcW w:w="749" w:type="dxa"/>
            <w:tcBorders>
              <w:top w:val="single" w:color="auto" w:sz="4" w:space="0"/>
            </w:tcBorders>
            <w:noWrap w:val="0"/>
            <w:vAlign w:val="center"/>
          </w:tcPr>
          <w:p w14:paraId="7FF82D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tcBorders>
              <w:top w:val="single" w:color="auto" w:sz="4" w:space="0"/>
            </w:tcBorders>
            <w:noWrap w:val="0"/>
            <w:vAlign w:val="center"/>
          </w:tcPr>
          <w:p w14:paraId="21671F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tcBorders>
            <w:noWrap w:val="0"/>
            <w:vAlign w:val="center"/>
          </w:tcPr>
          <w:p w14:paraId="67C3F1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right w:val="single" w:color="auto" w:sz="12" w:space="0"/>
            </w:tcBorders>
            <w:noWrap w:val="0"/>
            <w:vAlign w:val="center"/>
          </w:tcPr>
          <w:p w14:paraId="4651F5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8F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640D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732" w:type="dxa"/>
            <w:noWrap w:val="0"/>
            <w:vAlign w:val="center"/>
          </w:tcPr>
          <w:p w14:paraId="1DF4EC1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超载预压</w:t>
            </w:r>
          </w:p>
        </w:tc>
        <w:tc>
          <w:tcPr>
            <w:tcW w:w="749" w:type="dxa"/>
            <w:noWrap w:val="0"/>
            <w:vAlign w:val="center"/>
          </w:tcPr>
          <w:p w14:paraId="5224E5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FD2C5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337C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5B6F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C6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0434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23C6C79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袋装砂井</w:t>
            </w:r>
          </w:p>
        </w:tc>
        <w:tc>
          <w:tcPr>
            <w:tcW w:w="749" w:type="dxa"/>
            <w:noWrap w:val="0"/>
            <w:vAlign w:val="center"/>
          </w:tcPr>
          <w:p w14:paraId="7C9D38E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7273D5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D08F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B08A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72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9757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2210279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塑料排水板</w:t>
            </w:r>
          </w:p>
        </w:tc>
        <w:tc>
          <w:tcPr>
            <w:tcW w:w="749" w:type="dxa"/>
            <w:noWrap w:val="0"/>
            <w:vAlign w:val="center"/>
          </w:tcPr>
          <w:p w14:paraId="695BA8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A6354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E5EB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03AE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8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512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732" w:type="dxa"/>
            <w:noWrap w:val="0"/>
            <w:vAlign w:val="center"/>
          </w:tcPr>
          <w:p w14:paraId="513A3F9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粒料桩</w:t>
            </w:r>
          </w:p>
        </w:tc>
        <w:tc>
          <w:tcPr>
            <w:tcW w:w="749" w:type="dxa"/>
            <w:noWrap w:val="0"/>
            <w:vAlign w:val="center"/>
          </w:tcPr>
          <w:p w14:paraId="270C66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2CEEA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93F2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3148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B8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49C7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-h-1</w:t>
            </w:r>
          </w:p>
        </w:tc>
        <w:tc>
          <w:tcPr>
            <w:tcW w:w="4732" w:type="dxa"/>
            <w:noWrap w:val="0"/>
            <w:vAlign w:val="center"/>
          </w:tcPr>
          <w:p w14:paraId="224BC27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砂桩</w:t>
            </w:r>
          </w:p>
        </w:tc>
        <w:tc>
          <w:tcPr>
            <w:tcW w:w="749" w:type="dxa"/>
            <w:noWrap w:val="0"/>
            <w:vAlign w:val="center"/>
          </w:tcPr>
          <w:p w14:paraId="5040C65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7741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C92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4EE9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0F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7DC3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-h-2</w:t>
            </w:r>
          </w:p>
        </w:tc>
        <w:tc>
          <w:tcPr>
            <w:tcW w:w="4732" w:type="dxa"/>
            <w:noWrap w:val="0"/>
            <w:vAlign w:val="center"/>
          </w:tcPr>
          <w:p w14:paraId="43E93C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碎石桩</w:t>
            </w:r>
          </w:p>
        </w:tc>
        <w:tc>
          <w:tcPr>
            <w:tcW w:w="749" w:type="dxa"/>
            <w:noWrap w:val="0"/>
            <w:vAlign w:val="center"/>
          </w:tcPr>
          <w:p w14:paraId="467DCC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D71D4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7883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56A6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7C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205C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732" w:type="dxa"/>
            <w:noWrap w:val="0"/>
            <w:vAlign w:val="center"/>
          </w:tcPr>
          <w:p w14:paraId="0FBA018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加固土桩</w:t>
            </w:r>
          </w:p>
        </w:tc>
        <w:tc>
          <w:tcPr>
            <w:tcW w:w="749" w:type="dxa"/>
            <w:noWrap w:val="0"/>
            <w:vAlign w:val="center"/>
          </w:tcPr>
          <w:p w14:paraId="6CDC05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39089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5AD2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D939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3C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F8E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-i-1</w:t>
            </w:r>
          </w:p>
        </w:tc>
        <w:tc>
          <w:tcPr>
            <w:tcW w:w="4732" w:type="dxa"/>
            <w:noWrap w:val="0"/>
            <w:vAlign w:val="center"/>
          </w:tcPr>
          <w:p w14:paraId="2A8DA9E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粉喷桩</w:t>
            </w:r>
          </w:p>
        </w:tc>
        <w:tc>
          <w:tcPr>
            <w:tcW w:w="749" w:type="dxa"/>
            <w:noWrap w:val="0"/>
            <w:vAlign w:val="center"/>
          </w:tcPr>
          <w:p w14:paraId="068DF4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FB588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BAD2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255E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A1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7DD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-i-2</w:t>
            </w:r>
          </w:p>
        </w:tc>
        <w:tc>
          <w:tcPr>
            <w:tcW w:w="4732" w:type="dxa"/>
            <w:noWrap w:val="0"/>
            <w:vAlign w:val="center"/>
          </w:tcPr>
          <w:p w14:paraId="674C94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浆喷桩</w:t>
            </w:r>
          </w:p>
        </w:tc>
        <w:tc>
          <w:tcPr>
            <w:tcW w:w="749" w:type="dxa"/>
            <w:noWrap w:val="0"/>
            <w:vAlign w:val="center"/>
          </w:tcPr>
          <w:p w14:paraId="71214B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5A0DC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F339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41A4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4B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D317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732" w:type="dxa"/>
            <w:noWrap w:val="0"/>
            <w:vAlign w:val="center"/>
          </w:tcPr>
          <w:p w14:paraId="380FA2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CFG桩</w:t>
            </w:r>
          </w:p>
        </w:tc>
        <w:tc>
          <w:tcPr>
            <w:tcW w:w="749" w:type="dxa"/>
            <w:noWrap w:val="0"/>
            <w:vAlign w:val="center"/>
          </w:tcPr>
          <w:p w14:paraId="755142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F5BCC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AFC4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AE23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5F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BD4A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732" w:type="dxa"/>
            <w:noWrap w:val="0"/>
            <w:vAlign w:val="center"/>
          </w:tcPr>
          <w:p w14:paraId="00F2932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Y形沉管灌注桩</w:t>
            </w:r>
          </w:p>
        </w:tc>
        <w:tc>
          <w:tcPr>
            <w:tcW w:w="749" w:type="dxa"/>
            <w:noWrap w:val="0"/>
            <w:vAlign w:val="center"/>
          </w:tcPr>
          <w:p w14:paraId="1A8681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348EB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5343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46A3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84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A1CA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732" w:type="dxa"/>
            <w:noWrap w:val="0"/>
            <w:vAlign w:val="center"/>
          </w:tcPr>
          <w:p w14:paraId="4C586DD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薄壁筒型沉管灌注桩</w:t>
            </w:r>
          </w:p>
        </w:tc>
        <w:tc>
          <w:tcPr>
            <w:tcW w:w="749" w:type="dxa"/>
            <w:noWrap w:val="0"/>
            <w:vAlign w:val="center"/>
          </w:tcPr>
          <w:p w14:paraId="00A632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4CB83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4C58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8D0C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3C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D6902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4732" w:type="dxa"/>
            <w:noWrap w:val="0"/>
            <w:vAlign w:val="center"/>
          </w:tcPr>
          <w:p w14:paraId="25E3F6B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静压管桩</w:t>
            </w:r>
          </w:p>
        </w:tc>
        <w:tc>
          <w:tcPr>
            <w:tcW w:w="749" w:type="dxa"/>
            <w:noWrap w:val="0"/>
            <w:vAlign w:val="center"/>
          </w:tcPr>
          <w:p w14:paraId="0D041F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F3AFC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8ADB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FD85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98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00255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w:t>
            </w:r>
          </w:p>
        </w:tc>
        <w:tc>
          <w:tcPr>
            <w:tcW w:w="4732" w:type="dxa"/>
            <w:noWrap w:val="0"/>
            <w:vAlign w:val="center"/>
          </w:tcPr>
          <w:p w14:paraId="2E1B87C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12E82A1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75F34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9090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F3D6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AB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F96AC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-n-1</w:t>
            </w:r>
          </w:p>
        </w:tc>
        <w:tc>
          <w:tcPr>
            <w:tcW w:w="4732" w:type="dxa"/>
            <w:noWrap w:val="0"/>
            <w:vAlign w:val="center"/>
          </w:tcPr>
          <w:p w14:paraId="420EAE5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7360EB2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11886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A52B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593C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E5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1E4B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-n-2</w:t>
            </w:r>
          </w:p>
        </w:tc>
        <w:tc>
          <w:tcPr>
            <w:tcW w:w="4732" w:type="dxa"/>
            <w:noWrap w:val="0"/>
            <w:vAlign w:val="center"/>
          </w:tcPr>
          <w:p w14:paraId="71B2BE5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7ACB93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F5D5A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6B60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2248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EF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41E82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205-2</w:t>
            </w:r>
          </w:p>
        </w:tc>
        <w:tc>
          <w:tcPr>
            <w:tcW w:w="4732" w:type="dxa"/>
            <w:noWrap w:val="0"/>
            <w:vAlign w:val="center"/>
          </w:tcPr>
          <w:p w14:paraId="71945C0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红黏土及膨胀土路基处理</w:t>
            </w:r>
          </w:p>
        </w:tc>
        <w:tc>
          <w:tcPr>
            <w:tcW w:w="749" w:type="dxa"/>
            <w:noWrap w:val="0"/>
            <w:vAlign w:val="center"/>
          </w:tcPr>
          <w:p w14:paraId="79BE7ADD">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p>
        </w:tc>
        <w:tc>
          <w:tcPr>
            <w:tcW w:w="837" w:type="dxa"/>
            <w:noWrap w:val="0"/>
            <w:vAlign w:val="center"/>
          </w:tcPr>
          <w:p w14:paraId="334810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4998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3751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34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6ABB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57A5E8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2F2F40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FC1F9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F4B2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F5C26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D8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EF41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E11945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水泥改良土</w:t>
            </w:r>
          </w:p>
        </w:tc>
        <w:tc>
          <w:tcPr>
            <w:tcW w:w="749" w:type="dxa"/>
            <w:noWrap w:val="0"/>
            <w:vAlign w:val="center"/>
          </w:tcPr>
          <w:p w14:paraId="3E88F0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3F6D3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492C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1BEF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88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47F0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205-3</w:t>
            </w:r>
          </w:p>
        </w:tc>
        <w:tc>
          <w:tcPr>
            <w:tcW w:w="4732" w:type="dxa"/>
            <w:noWrap w:val="0"/>
            <w:vAlign w:val="center"/>
          </w:tcPr>
          <w:p w14:paraId="4BCAEAA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滑坡处理</w:t>
            </w:r>
          </w:p>
        </w:tc>
        <w:tc>
          <w:tcPr>
            <w:tcW w:w="749" w:type="dxa"/>
            <w:noWrap w:val="0"/>
            <w:vAlign w:val="center"/>
          </w:tcPr>
          <w:p w14:paraId="05A9A7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53E6D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85D8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CE90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A9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E6D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6C8286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清除滑坡体</w:t>
            </w:r>
          </w:p>
        </w:tc>
        <w:tc>
          <w:tcPr>
            <w:tcW w:w="749" w:type="dxa"/>
            <w:noWrap w:val="0"/>
            <w:vAlign w:val="center"/>
          </w:tcPr>
          <w:p w14:paraId="495139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800D7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9D1B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8220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09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3ED0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205-4</w:t>
            </w:r>
          </w:p>
        </w:tc>
        <w:tc>
          <w:tcPr>
            <w:tcW w:w="4732" w:type="dxa"/>
            <w:noWrap w:val="0"/>
            <w:vAlign w:val="center"/>
          </w:tcPr>
          <w:p w14:paraId="7961E14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岩溶洞处理</w:t>
            </w:r>
          </w:p>
        </w:tc>
        <w:tc>
          <w:tcPr>
            <w:tcW w:w="749" w:type="dxa"/>
            <w:noWrap w:val="0"/>
            <w:vAlign w:val="center"/>
          </w:tcPr>
          <w:p w14:paraId="042865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48DBC1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5622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9FAA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AD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CA89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0FAEF9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回填</w:t>
            </w:r>
          </w:p>
        </w:tc>
        <w:tc>
          <w:tcPr>
            <w:tcW w:w="749" w:type="dxa"/>
            <w:noWrap w:val="0"/>
            <w:vAlign w:val="center"/>
          </w:tcPr>
          <w:p w14:paraId="6FBB5A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8D965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0D03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0354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17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56639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205-5</w:t>
            </w:r>
          </w:p>
        </w:tc>
        <w:tc>
          <w:tcPr>
            <w:tcW w:w="4732" w:type="dxa"/>
            <w:noWrap w:val="0"/>
            <w:vAlign w:val="center"/>
          </w:tcPr>
          <w:p w14:paraId="11E4F16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湿陷性黄土路基处理</w:t>
            </w:r>
          </w:p>
        </w:tc>
        <w:tc>
          <w:tcPr>
            <w:tcW w:w="749" w:type="dxa"/>
            <w:noWrap w:val="0"/>
            <w:vAlign w:val="center"/>
          </w:tcPr>
          <w:p w14:paraId="6A6F3A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C4FA8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AB36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09E9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3A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7B2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656A62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陷穴处理</w:t>
            </w:r>
          </w:p>
        </w:tc>
        <w:tc>
          <w:tcPr>
            <w:tcW w:w="749" w:type="dxa"/>
            <w:noWrap w:val="0"/>
            <w:vAlign w:val="center"/>
          </w:tcPr>
          <w:p w14:paraId="7947EC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688BC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258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7D89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76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E410D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0BDA3C6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灌砂</w:t>
            </w:r>
          </w:p>
        </w:tc>
        <w:tc>
          <w:tcPr>
            <w:tcW w:w="749" w:type="dxa"/>
            <w:noWrap w:val="0"/>
            <w:vAlign w:val="center"/>
          </w:tcPr>
          <w:p w14:paraId="132A8A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66427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F12A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DE7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5E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0A2D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4C0A380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灌水泥砂浆</w:t>
            </w:r>
          </w:p>
        </w:tc>
        <w:tc>
          <w:tcPr>
            <w:tcW w:w="749" w:type="dxa"/>
            <w:noWrap w:val="0"/>
            <w:vAlign w:val="center"/>
          </w:tcPr>
          <w:p w14:paraId="3A9BEC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A906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4679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A5FF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61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3C7F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E99B67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强夯及强夯置换</w:t>
            </w:r>
          </w:p>
        </w:tc>
        <w:tc>
          <w:tcPr>
            <w:tcW w:w="749" w:type="dxa"/>
            <w:noWrap w:val="0"/>
            <w:vAlign w:val="center"/>
          </w:tcPr>
          <w:p w14:paraId="0AA4E28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A547E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DCED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B23B9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E7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8569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383C12B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w:t>
            </w:r>
          </w:p>
        </w:tc>
        <w:tc>
          <w:tcPr>
            <w:tcW w:w="749" w:type="dxa"/>
            <w:noWrap w:val="0"/>
            <w:vAlign w:val="center"/>
          </w:tcPr>
          <w:p w14:paraId="1A9BF7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365E3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1D4F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4B1EF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99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6C2B5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4497BF0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强夯置换</w:t>
            </w:r>
          </w:p>
        </w:tc>
        <w:tc>
          <w:tcPr>
            <w:tcW w:w="749" w:type="dxa"/>
            <w:noWrap w:val="0"/>
            <w:vAlign w:val="center"/>
          </w:tcPr>
          <w:p w14:paraId="737F40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02A2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BF02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5256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DA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C719C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0F05F4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石灰改良土</w:t>
            </w:r>
          </w:p>
        </w:tc>
        <w:tc>
          <w:tcPr>
            <w:tcW w:w="749" w:type="dxa"/>
            <w:noWrap w:val="0"/>
            <w:vAlign w:val="center"/>
          </w:tcPr>
          <w:p w14:paraId="336739D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E60EC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FC28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66A7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F8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2C10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5863AF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灰土桩</w:t>
            </w:r>
          </w:p>
        </w:tc>
        <w:tc>
          <w:tcPr>
            <w:tcW w:w="749" w:type="dxa"/>
            <w:noWrap w:val="0"/>
            <w:vAlign w:val="center"/>
          </w:tcPr>
          <w:p w14:paraId="5293A3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2BCF2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5BC0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8037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18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28C1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205-6</w:t>
            </w:r>
          </w:p>
        </w:tc>
        <w:tc>
          <w:tcPr>
            <w:tcW w:w="4732" w:type="dxa"/>
            <w:noWrap w:val="0"/>
            <w:vAlign w:val="center"/>
          </w:tcPr>
          <w:p w14:paraId="1D74DE5C">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盐渍土路基处理</w:t>
            </w:r>
          </w:p>
        </w:tc>
        <w:tc>
          <w:tcPr>
            <w:tcW w:w="749" w:type="dxa"/>
            <w:noWrap w:val="0"/>
            <w:vAlign w:val="center"/>
          </w:tcPr>
          <w:p w14:paraId="666CE2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446AC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FE26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F53D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2E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8558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B28C3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0145B1D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FC70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5436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69B3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0D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A51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6254CB0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砂垫层</w:t>
            </w:r>
          </w:p>
        </w:tc>
        <w:tc>
          <w:tcPr>
            <w:tcW w:w="749" w:type="dxa"/>
            <w:noWrap w:val="0"/>
            <w:vAlign w:val="center"/>
          </w:tcPr>
          <w:p w14:paraId="719D07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C0332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8246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CA1C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22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E90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75ECB03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砂砾垫层</w:t>
            </w:r>
          </w:p>
        </w:tc>
        <w:tc>
          <w:tcPr>
            <w:tcW w:w="749" w:type="dxa"/>
            <w:noWrap w:val="0"/>
            <w:vAlign w:val="center"/>
          </w:tcPr>
          <w:p w14:paraId="5ABE09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CD62A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3BAC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2D36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3D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4DED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788552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7C08B0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BAB57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5347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BE3A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0F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F652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732" w:type="dxa"/>
            <w:noWrap w:val="0"/>
            <w:vAlign w:val="center"/>
          </w:tcPr>
          <w:p w14:paraId="2A0BA99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防渗土工膜</w:t>
            </w:r>
          </w:p>
        </w:tc>
        <w:tc>
          <w:tcPr>
            <w:tcW w:w="749" w:type="dxa"/>
            <w:noWrap w:val="0"/>
            <w:vAlign w:val="center"/>
          </w:tcPr>
          <w:p w14:paraId="2C1507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7076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271C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AFE25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51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DEA2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732" w:type="dxa"/>
            <w:noWrap w:val="0"/>
            <w:vAlign w:val="center"/>
          </w:tcPr>
          <w:p w14:paraId="4924217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66D9D5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922B0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22C2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8608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AC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1922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205-7</w:t>
            </w:r>
          </w:p>
        </w:tc>
        <w:tc>
          <w:tcPr>
            <w:tcW w:w="4732" w:type="dxa"/>
            <w:noWrap w:val="0"/>
            <w:vAlign w:val="center"/>
          </w:tcPr>
          <w:p w14:paraId="4ABBD6A2">
            <w:pPr>
              <w:pageBreakBefore w:val="0"/>
              <w:tabs>
                <w:tab w:val="left" w:pos="1065"/>
              </w:tabs>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风积沙路基处理</w:t>
            </w:r>
          </w:p>
        </w:tc>
        <w:tc>
          <w:tcPr>
            <w:tcW w:w="749" w:type="dxa"/>
            <w:noWrap w:val="0"/>
            <w:vAlign w:val="center"/>
          </w:tcPr>
          <w:p w14:paraId="62F1ED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45934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05F8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C453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6AF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08F2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6C3F6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749" w:type="dxa"/>
            <w:noWrap w:val="0"/>
            <w:vAlign w:val="center"/>
          </w:tcPr>
          <w:p w14:paraId="7F112E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E3B1C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F358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31C1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36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A7EC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46E220B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1CBC16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487E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4C60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C885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E1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C6C1C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732" w:type="dxa"/>
            <w:noWrap w:val="0"/>
            <w:vAlign w:val="center"/>
          </w:tcPr>
          <w:p w14:paraId="0BABD5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土工格室</w:t>
            </w:r>
          </w:p>
        </w:tc>
        <w:tc>
          <w:tcPr>
            <w:tcW w:w="749" w:type="dxa"/>
            <w:noWrap w:val="0"/>
            <w:vAlign w:val="center"/>
          </w:tcPr>
          <w:p w14:paraId="08C0C3E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D0DBD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E09B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8EBB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0F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A953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613E3D06">
            <w:pPr>
              <w:pageBreakBefore w:val="0"/>
              <w:tabs>
                <w:tab w:val="left" w:pos="1065"/>
              </w:tabs>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蜂窝式塑料网</w:t>
            </w:r>
          </w:p>
        </w:tc>
        <w:tc>
          <w:tcPr>
            <w:tcW w:w="749" w:type="dxa"/>
            <w:noWrap w:val="0"/>
            <w:vAlign w:val="center"/>
          </w:tcPr>
          <w:p w14:paraId="53B9FC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394AC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CFF1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4BFE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98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096C0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205-8</w:t>
            </w:r>
          </w:p>
        </w:tc>
        <w:tc>
          <w:tcPr>
            <w:tcW w:w="4732" w:type="dxa"/>
            <w:noWrap w:val="0"/>
            <w:vAlign w:val="center"/>
          </w:tcPr>
          <w:p w14:paraId="6DBEBEB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冻土路基处理</w:t>
            </w:r>
          </w:p>
        </w:tc>
        <w:tc>
          <w:tcPr>
            <w:tcW w:w="749" w:type="dxa"/>
            <w:noWrap w:val="0"/>
            <w:vAlign w:val="center"/>
          </w:tcPr>
          <w:p w14:paraId="4115E0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C4AAF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090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8430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61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B090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EB9062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隔热层</w:t>
            </w:r>
          </w:p>
        </w:tc>
        <w:tc>
          <w:tcPr>
            <w:tcW w:w="749" w:type="dxa"/>
            <w:noWrap w:val="0"/>
            <w:vAlign w:val="center"/>
          </w:tcPr>
          <w:p w14:paraId="6CD31C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6EFBF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24C6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F1A0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0AF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7A6C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732" w:type="dxa"/>
            <w:noWrap w:val="0"/>
            <w:vAlign w:val="center"/>
          </w:tcPr>
          <w:p w14:paraId="613736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XPS保温板</w:t>
            </w:r>
          </w:p>
        </w:tc>
        <w:tc>
          <w:tcPr>
            <w:tcW w:w="749" w:type="dxa"/>
            <w:noWrap w:val="0"/>
            <w:vAlign w:val="center"/>
          </w:tcPr>
          <w:p w14:paraId="2DA215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22E61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5E3C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F961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79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325D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91DA4B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通风管</w:t>
            </w:r>
          </w:p>
        </w:tc>
        <w:tc>
          <w:tcPr>
            <w:tcW w:w="749" w:type="dxa"/>
            <w:noWrap w:val="0"/>
            <w:vAlign w:val="center"/>
          </w:tcPr>
          <w:p w14:paraId="1A43D5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49525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38C7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A74B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9D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3AF1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CEE0E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热棒</w:t>
            </w:r>
          </w:p>
        </w:tc>
        <w:tc>
          <w:tcPr>
            <w:tcW w:w="749" w:type="dxa"/>
            <w:noWrap w:val="0"/>
            <w:vAlign w:val="center"/>
          </w:tcPr>
          <w:p w14:paraId="3779F7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w:t>
            </w:r>
          </w:p>
        </w:tc>
        <w:tc>
          <w:tcPr>
            <w:tcW w:w="837" w:type="dxa"/>
            <w:noWrap w:val="0"/>
            <w:vAlign w:val="center"/>
          </w:tcPr>
          <w:p w14:paraId="558C31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167B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3EBF1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71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6F36D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207</w:t>
            </w:r>
          </w:p>
        </w:tc>
        <w:tc>
          <w:tcPr>
            <w:tcW w:w="4732" w:type="dxa"/>
            <w:noWrap w:val="0"/>
            <w:vAlign w:val="center"/>
          </w:tcPr>
          <w:p w14:paraId="54427488">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坡面排水</w:t>
            </w:r>
          </w:p>
        </w:tc>
        <w:tc>
          <w:tcPr>
            <w:tcW w:w="749" w:type="dxa"/>
            <w:noWrap w:val="0"/>
            <w:vAlign w:val="center"/>
          </w:tcPr>
          <w:p w14:paraId="6C41EA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B4FD4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1993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F4C8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4D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553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w:t>
            </w:r>
          </w:p>
        </w:tc>
        <w:tc>
          <w:tcPr>
            <w:tcW w:w="4732" w:type="dxa"/>
            <w:noWrap w:val="0"/>
            <w:vAlign w:val="center"/>
          </w:tcPr>
          <w:p w14:paraId="3F646B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w:t>
            </w:r>
          </w:p>
        </w:tc>
        <w:tc>
          <w:tcPr>
            <w:tcW w:w="749" w:type="dxa"/>
            <w:noWrap w:val="0"/>
            <w:vAlign w:val="center"/>
          </w:tcPr>
          <w:p w14:paraId="20A2CF4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30EB4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AD4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EC62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19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45DCF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397E7E3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084AE47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DEF9F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3A58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7DFD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AD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3ED9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803CB48">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75D836B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59E6E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3F2D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86F8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40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F62A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CA047C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77BFF1D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B73EC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0873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62806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E5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6D72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1A649D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2BC3F0D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AF24B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285A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E234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6B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D9C5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76F92C4D">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4A86D47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4362C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99BD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E57BA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39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BB84B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71D6E07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7AEEC99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6FA77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7879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00C61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0D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8D09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207-2</w:t>
            </w:r>
          </w:p>
        </w:tc>
        <w:tc>
          <w:tcPr>
            <w:tcW w:w="4732" w:type="dxa"/>
            <w:noWrap w:val="0"/>
            <w:vAlign w:val="center"/>
          </w:tcPr>
          <w:p w14:paraId="2516E87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排水沟</w:t>
            </w:r>
          </w:p>
        </w:tc>
        <w:tc>
          <w:tcPr>
            <w:tcW w:w="749" w:type="dxa"/>
            <w:noWrap w:val="0"/>
            <w:vAlign w:val="center"/>
          </w:tcPr>
          <w:p w14:paraId="2BDB1E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33013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7708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8B1F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88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078B0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27FD7DA2">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15F7A58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2B81B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106F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5A65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E1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9936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37CABF0">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30F3060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9E1BE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A979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E4AE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73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F2C6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A9E876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5567C7B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CA9B8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9EBF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776E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FD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8AA9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B31D16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68B5066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03543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3A3E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36D4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10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A958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30D15BF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预制安装混凝土盖板</w:t>
            </w:r>
          </w:p>
        </w:tc>
        <w:tc>
          <w:tcPr>
            <w:tcW w:w="749" w:type="dxa"/>
            <w:noWrap w:val="0"/>
            <w:vAlign w:val="center"/>
          </w:tcPr>
          <w:p w14:paraId="646780B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8253E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B13A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B507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91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18004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-f</w:t>
            </w:r>
          </w:p>
        </w:tc>
        <w:tc>
          <w:tcPr>
            <w:tcW w:w="4732" w:type="dxa"/>
            <w:noWrap w:val="0"/>
            <w:vAlign w:val="center"/>
          </w:tcPr>
          <w:p w14:paraId="697B362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281BF1F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85828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351E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CCAA7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7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AF9B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207-3</w:t>
            </w:r>
          </w:p>
        </w:tc>
        <w:tc>
          <w:tcPr>
            <w:tcW w:w="4732" w:type="dxa"/>
            <w:noWrap w:val="0"/>
            <w:vAlign w:val="center"/>
          </w:tcPr>
          <w:p w14:paraId="1C11A5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截水沟</w:t>
            </w:r>
          </w:p>
        </w:tc>
        <w:tc>
          <w:tcPr>
            <w:tcW w:w="749" w:type="dxa"/>
            <w:noWrap w:val="0"/>
            <w:vAlign w:val="center"/>
          </w:tcPr>
          <w:p w14:paraId="50022B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CA6B8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D30C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9D8AA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7E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11E01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1DCDD06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center"/>
          </w:tcPr>
          <w:p w14:paraId="6AC1BEB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7C174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CC5A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68873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E3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BBB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E5B314B">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浆砌块石</w:t>
            </w:r>
          </w:p>
        </w:tc>
        <w:tc>
          <w:tcPr>
            <w:tcW w:w="749" w:type="dxa"/>
            <w:noWrap w:val="0"/>
            <w:vAlign w:val="center"/>
          </w:tcPr>
          <w:p w14:paraId="203065E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89530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0D0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379F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31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B865C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98757A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5492654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1F6ED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84F4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0333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D7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6BE8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7AF472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6B094A3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937C1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9002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1E49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77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C788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-e</w:t>
            </w:r>
          </w:p>
        </w:tc>
        <w:tc>
          <w:tcPr>
            <w:tcW w:w="4732" w:type="dxa"/>
            <w:noWrap w:val="0"/>
            <w:vAlign w:val="center"/>
          </w:tcPr>
          <w:p w14:paraId="2190567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144CD93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EE219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C10C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027A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ED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B03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207-4</w:t>
            </w:r>
          </w:p>
        </w:tc>
        <w:tc>
          <w:tcPr>
            <w:tcW w:w="4732" w:type="dxa"/>
            <w:noWrap w:val="0"/>
            <w:vAlign w:val="center"/>
          </w:tcPr>
          <w:p w14:paraId="277AFA4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跌水与急流槽</w:t>
            </w:r>
          </w:p>
        </w:tc>
        <w:tc>
          <w:tcPr>
            <w:tcW w:w="749" w:type="dxa"/>
            <w:noWrap w:val="0"/>
            <w:vAlign w:val="center"/>
          </w:tcPr>
          <w:p w14:paraId="78DDF6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0ADC6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6ECC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B017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C3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D285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240CA6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干砌片石</w:t>
            </w:r>
          </w:p>
        </w:tc>
        <w:tc>
          <w:tcPr>
            <w:tcW w:w="749" w:type="dxa"/>
            <w:noWrap w:val="0"/>
            <w:vAlign w:val="center"/>
          </w:tcPr>
          <w:p w14:paraId="2DF85F2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1982C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DCE5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126D0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0F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7282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247D5D8">
            <w:pPr>
              <w:pageBreakBefore w:val="0"/>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浆砌片石</w:t>
            </w:r>
          </w:p>
        </w:tc>
        <w:tc>
          <w:tcPr>
            <w:tcW w:w="749" w:type="dxa"/>
            <w:noWrap w:val="0"/>
            <w:vAlign w:val="center"/>
          </w:tcPr>
          <w:p w14:paraId="22220AE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2E2EC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1457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E97E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B0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8DBF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797755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w:t>
            </w:r>
          </w:p>
        </w:tc>
        <w:tc>
          <w:tcPr>
            <w:tcW w:w="749" w:type="dxa"/>
            <w:noWrap w:val="0"/>
            <w:vAlign w:val="center"/>
          </w:tcPr>
          <w:p w14:paraId="71DB9FE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D21B1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6E2B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2BF91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32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D817E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BF2378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w:t>
            </w:r>
          </w:p>
        </w:tc>
        <w:tc>
          <w:tcPr>
            <w:tcW w:w="749" w:type="dxa"/>
            <w:noWrap w:val="0"/>
            <w:vAlign w:val="center"/>
          </w:tcPr>
          <w:p w14:paraId="2F0E06B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314ED3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3B40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952B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93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28DE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207-5</w:t>
            </w:r>
          </w:p>
        </w:tc>
        <w:tc>
          <w:tcPr>
            <w:tcW w:w="4732" w:type="dxa"/>
            <w:noWrap w:val="0"/>
            <w:vAlign w:val="center"/>
          </w:tcPr>
          <w:p w14:paraId="030F1C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749" w:type="dxa"/>
            <w:noWrap w:val="0"/>
            <w:vAlign w:val="center"/>
          </w:tcPr>
          <w:p w14:paraId="5B810C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7FB6B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748A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D2E5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67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5126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207-6</w:t>
            </w:r>
          </w:p>
        </w:tc>
        <w:tc>
          <w:tcPr>
            <w:tcW w:w="4732" w:type="dxa"/>
            <w:noWrap w:val="0"/>
            <w:vAlign w:val="center"/>
          </w:tcPr>
          <w:p w14:paraId="2B2929E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蒸发池</w:t>
            </w:r>
          </w:p>
        </w:tc>
        <w:tc>
          <w:tcPr>
            <w:tcW w:w="749" w:type="dxa"/>
            <w:noWrap w:val="0"/>
            <w:vAlign w:val="center"/>
          </w:tcPr>
          <w:p w14:paraId="4F57C7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80BA7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01F9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07EE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70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67F41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64A732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挖土（石）方</w:t>
            </w:r>
          </w:p>
        </w:tc>
        <w:tc>
          <w:tcPr>
            <w:tcW w:w="749" w:type="dxa"/>
            <w:noWrap w:val="0"/>
            <w:vAlign w:val="center"/>
          </w:tcPr>
          <w:p w14:paraId="176EBA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3EC8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C147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11F8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65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3B8B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66125C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圬工</w:t>
            </w:r>
          </w:p>
        </w:tc>
        <w:tc>
          <w:tcPr>
            <w:tcW w:w="749" w:type="dxa"/>
            <w:noWrap w:val="0"/>
            <w:vAlign w:val="center"/>
          </w:tcPr>
          <w:p w14:paraId="2F4E9C4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BAC33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6041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838B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3A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36BE9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207-7</w:t>
            </w:r>
          </w:p>
        </w:tc>
        <w:tc>
          <w:tcPr>
            <w:tcW w:w="4732" w:type="dxa"/>
            <w:noWrap w:val="0"/>
            <w:vAlign w:val="center"/>
          </w:tcPr>
          <w:p w14:paraId="2DEB47EA">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涵洞上下游改沟、改渠铺砌</w:t>
            </w:r>
          </w:p>
        </w:tc>
        <w:tc>
          <w:tcPr>
            <w:tcW w:w="749" w:type="dxa"/>
            <w:noWrap w:val="0"/>
            <w:vAlign w:val="center"/>
          </w:tcPr>
          <w:p w14:paraId="278E0B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305D2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1056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051D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04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9A1C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E3738C9">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6C0505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2B6BB7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9BC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3B14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0A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87F9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5F94C5C">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现浇混凝土铺砌</w:t>
            </w:r>
          </w:p>
        </w:tc>
        <w:tc>
          <w:tcPr>
            <w:tcW w:w="749" w:type="dxa"/>
            <w:noWrap w:val="0"/>
            <w:vAlign w:val="center"/>
          </w:tcPr>
          <w:p w14:paraId="4F8777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66C68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D0AB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7CB1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C4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B758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C5065C8">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预制混凝土铺砌</w:t>
            </w:r>
          </w:p>
        </w:tc>
        <w:tc>
          <w:tcPr>
            <w:tcW w:w="749" w:type="dxa"/>
            <w:noWrap w:val="0"/>
            <w:vAlign w:val="center"/>
          </w:tcPr>
          <w:p w14:paraId="6D5838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D5718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17B9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945F4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10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ABC4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207-8</w:t>
            </w:r>
          </w:p>
        </w:tc>
        <w:tc>
          <w:tcPr>
            <w:tcW w:w="4732" w:type="dxa"/>
            <w:noWrap w:val="0"/>
            <w:vAlign w:val="center"/>
          </w:tcPr>
          <w:p w14:paraId="2CCCA02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现浇混凝土坡面排水结构物</w:t>
            </w:r>
          </w:p>
        </w:tc>
        <w:tc>
          <w:tcPr>
            <w:tcW w:w="749" w:type="dxa"/>
            <w:noWrap w:val="0"/>
            <w:vAlign w:val="center"/>
          </w:tcPr>
          <w:p w14:paraId="7068DD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B5187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F858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AC1B5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C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9C6C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207-9</w:t>
            </w:r>
          </w:p>
        </w:tc>
        <w:tc>
          <w:tcPr>
            <w:tcW w:w="4732" w:type="dxa"/>
            <w:noWrap w:val="0"/>
            <w:vAlign w:val="center"/>
          </w:tcPr>
          <w:p w14:paraId="28649E6F">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预制混凝土坡面排水结构物</w:t>
            </w:r>
          </w:p>
        </w:tc>
        <w:tc>
          <w:tcPr>
            <w:tcW w:w="749" w:type="dxa"/>
            <w:noWrap w:val="0"/>
            <w:vAlign w:val="center"/>
          </w:tcPr>
          <w:p w14:paraId="1F31F0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5E925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ED01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2AED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A3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8032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207-10</w:t>
            </w:r>
          </w:p>
        </w:tc>
        <w:tc>
          <w:tcPr>
            <w:tcW w:w="4732" w:type="dxa"/>
            <w:noWrap w:val="0"/>
            <w:vAlign w:val="center"/>
          </w:tcPr>
          <w:p w14:paraId="709323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仰斜式排水孔</w:t>
            </w:r>
          </w:p>
        </w:tc>
        <w:tc>
          <w:tcPr>
            <w:tcW w:w="749" w:type="dxa"/>
            <w:noWrap w:val="0"/>
            <w:vAlign w:val="center"/>
          </w:tcPr>
          <w:p w14:paraId="69E386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E2489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D967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FA2D4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85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7518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336E26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w:t>
            </w:r>
          </w:p>
        </w:tc>
        <w:tc>
          <w:tcPr>
            <w:tcW w:w="749" w:type="dxa"/>
            <w:noWrap w:val="0"/>
            <w:vAlign w:val="center"/>
          </w:tcPr>
          <w:p w14:paraId="58FAB7A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B5988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4E5F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0B578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C7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70C7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68DB8A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749" w:type="dxa"/>
            <w:noWrap w:val="0"/>
            <w:vAlign w:val="center"/>
          </w:tcPr>
          <w:p w14:paraId="1905A0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1C62B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A0C2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F4595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57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2E95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872831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软式透水管</w:t>
            </w:r>
          </w:p>
        </w:tc>
        <w:tc>
          <w:tcPr>
            <w:tcW w:w="749" w:type="dxa"/>
            <w:noWrap w:val="0"/>
            <w:vAlign w:val="center"/>
          </w:tcPr>
          <w:p w14:paraId="6E83616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08FAB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C40A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65DE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7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27DF4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208</w:t>
            </w:r>
          </w:p>
        </w:tc>
        <w:tc>
          <w:tcPr>
            <w:tcW w:w="4732" w:type="dxa"/>
            <w:noWrap w:val="0"/>
            <w:vAlign w:val="center"/>
          </w:tcPr>
          <w:p w14:paraId="3DA107E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护坡、护面墙</w:t>
            </w:r>
          </w:p>
        </w:tc>
        <w:tc>
          <w:tcPr>
            <w:tcW w:w="749" w:type="dxa"/>
            <w:noWrap w:val="0"/>
            <w:vAlign w:val="center"/>
          </w:tcPr>
          <w:p w14:paraId="57B0F2C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0FA56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63D8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534A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8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7CA3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208-1</w:t>
            </w:r>
          </w:p>
        </w:tc>
        <w:tc>
          <w:tcPr>
            <w:tcW w:w="4732" w:type="dxa"/>
            <w:noWrap w:val="0"/>
            <w:vAlign w:val="center"/>
          </w:tcPr>
          <w:p w14:paraId="47C10AB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护坡垫层</w:t>
            </w:r>
          </w:p>
        </w:tc>
        <w:tc>
          <w:tcPr>
            <w:tcW w:w="749" w:type="dxa"/>
            <w:noWrap w:val="0"/>
            <w:vAlign w:val="center"/>
          </w:tcPr>
          <w:p w14:paraId="68C2B4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9959D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10B1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A9BE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0A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129A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208-2</w:t>
            </w:r>
          </w:p>
        </w:tc>
        <w:tc>
          <w:tcPr>
            <w:tcW w:w="4732" w:type="dxa"/>
            <w:noWrap w:val="0"/>
            <w:vAlign w:val="center"/>
          </w:tcPr>
          <w:p w14:paraId="3F42518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干砌片石护坡</w:t>
            </w:r>
          </w:p>
        </w:tc>
        <w:tc>
          <w:tcPr>
            <w:tcW w:w="749" w:type="dxa"/>
            <w:noWrap w:val="0"/>
            <w:vAlign w:val="center"/>
          </w:tcPr>
          <w:p w14:paraId="6D218E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B96FA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FDB2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877D4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12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F97B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208-3</w:t>
            </w:r>
          </w:p>
        </w:tc>
        <w:tc>
          <w:tcPr>
            <w:tcW w:w="4732" w:type="dxa"/>
            <w:noWrap w:val="0"/>
            <w:vAlign w:val="center"/>
          </w:tcPr>
          <w:p w14:paraId="3BCA685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749" w:type="dxa"/>
            <w:noWrap w:val="0"/>
            <w:vAlign w:val="center"/>
          </w:tcPr>
          <w:p w14:paraId="7F6D75A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75C63C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D8CA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0140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82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D6EA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6028CA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满铺浆砌片石护坡</w:t>
            </w:r>
          </w:p>
        </w:tc>
        <w:tc>
          <w:tcPr>
            <w:tcW w:w="749" w:type="dxa"/>
            <w:noWrap w:val="0"/>
            <w:vAlign w:val="center"/>
          </w:tcPr>
          <w:p w14:paraId="71F905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265F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C774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7833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AB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A85E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CC5909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浆砌骨架护坡</w:t>
            </w:r>
          </w:p>
        </w:tc>
        <w:tc>
          <w:tcPr>
            <w:tcW w:w="749" w:type="dxa"/>
            <w:noWrap w:val="0"/>
            <w:vAlign w:val="center"/>
          </w:tcPr>
          <w:p w14:paraId="4F8F9DD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BE2AB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146D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9EE7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68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73207AE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4CD28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749" w:type="dxa"/>
            <w:noWrap w:val="0"/>
            <w:vAlign w:val="center"/>
          </w:tcPr>
          <w:p w14:paraId="1969B2A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FB23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487A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0FE7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9E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847E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208-4</w:t>
            </w:r>
          </w:p>
        </w:tc>
        <w:tc>
          <w:tcPr>
            <w:tcW w:w="4732" w:type="dxa"/>
            <w:noWrap w:val="0"/>
            <w:vAlign w:val="center"/>
          </w:tcPr>
          <w:p w14:paraId="511F9DE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混凝土护坡</w:t>
            </w:r>
          </w:p>
        </w:tc>
        <w:tc>
          <w:tcPr>
            <w:tcW w:w="749" w:type="dxa"/>
            <w:noWrap w:val="0"/>
            <w:vAlign w:val="center"/>
          </w:tcPr>
          <w:p w14:paraId="0B6683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26DD7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0F48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D6D6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ED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C31D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30CBA2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现浇混凝土满铺护坡</w:t>
            </w:r>
          </w:p>
        </w:tc>
        <w:tc>
          <w:tcPr>
            <w:tcW w:w="749" w:type="dxa"/>
            <w:noWrap w:val="0"/>
            <w:vAlign w:val="center"/>
          </w:tcPr>
          <w:p w14:paraId="5A44220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E6968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AE87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FB51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65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B82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B77E73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混凝土预制件满铺护坡</w:t>
            </w:r>
          </w:p>
        </w:tc>
        <w:tc>
          <w:tcPr>
            <w:tcW w:w="749" w:type="dxa"/>
            <w:noWrap w:val="0"/>
            <w:vAlign w:val="center"/>
          </w:tcPr>
          <w:p w14:paraId="1DC248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9DF62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F4B0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EFA4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CD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9460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E17B5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现浇混凝土骨架护坡</w:t>
            </w:r>
          </w:p>
        </w:tc>
        <w:tc>
          <w:tcPr>
            <w:tcW w:w="749" w:type="dxa"/>
            <w:noWrap w:val="0"/>
            <w:vAlign w:val="center"/>
          </w:tcPr>
          <w:p w14:paraId="3285EB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EDB24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CD1A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BB0B9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EF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31C1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DD7323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混凝土预制件骨架护坡</w:t>
            </w:r>
          </w:p>
        </w:tc>
        <w:tc>
          <w:tcPr>
            <w:tcW w:w="749" w:type="dxa"/>
            <w:noWrap w:val="0"/>
            <w:vAlign w:val="center"/>
          </w:tcPr>
          <w:p w14:paraId="2A9C42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2BEF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D13F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1820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48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5B39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641523F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2F7427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BCD4C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E651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2BD16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03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F6DC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208-5</w:t>
            </w:r>
          </w:p>
        </w:tc>
        <w:tc>
          <w:tcPr>
            <w:tcW w:w="4732" w:type="dxa"/>
            <w:noWrap w:val="0"/>
            <w:vAlign w:val="center"/>
          </w:tcPr>
          <w:p w14:paraId="308307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护面墙</w:t>
            </w:r>
          </w:p>
        </w:tc>
        <w:tc>
          <w:tcPr>
            <w:tcW w:w="749" w:type="dxa"/>
            <w:noWrap w:val="0"/>
            <w:vAlign w:val="center"/>
          </w:tcPr>
          <w:p w14:paraId="031DD1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280FA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5D64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1158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03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736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D57046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浆砌片（块）石护面墙</w:t>
            </w:r>
          </w:p>
        </w:tc>
        <w:tc>
          <w:tcPr>
            <w:tcW w:w="749" w:type="dxa"/>
            <w:noWrap w:val="0"/>
            <w:vAlign w:val="center"/>
          </w:tcPr>
          <w:p w14:paraId="610CCE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62058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D8B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1EEA2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8E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3260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1B3B307D">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749" w:type="dxa"/>
            <w:noWrap w:val="0"/>
            <w:vAlign w:val="center"/>
          </w:tcPr>
          <w:p w14:paraId="7C3D28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5E54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8EE3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FE82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71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4B18E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5A0B19F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预制安装混凝土护面墙</w:t>
            </w:r>
          </w:p>
        </w:tc>
        <w:tc>
          <w:tcPr>
            <w:tcW w:w="749" w:type="dxa"/>
            <w:noWrap w:val="0"/>
            <w:vAlign w:val="center"/>
          </w:tcPr>
          <w:p w14:paraId="6D9D85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58FCE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0685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2511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11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0A1E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208-6</w:t>
            </w:r>
          </w:p>
        </w:tc>
        <w:tc>
          <w:tcPr>
            <w:tcW w:w="4732" w:type="dxa"/>
            <w:noWrap w:val="0"/>
            <w:vAlign w:val="center"/>
          </w:tcPr>
          <w:p w14:paraId="3CB3D79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622ADC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792C3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B589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DB5B8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B4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4898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FF8A3B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封面</w:t>
            </w:r>
          </w:p>
        </w:tc>
        <w:tc>
          <w:tcPr>
            <w:tcW w:w="749" w:type="dxa"/>
            <w:noWrap w:val="0"/>
            <w:vAlign w:val="center"/>
          </w:tcPr>
          <w:p w14:paraId="2C4C8C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4D61E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B27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F2FC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59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52F2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208-7</w:t>
            </w:r>
          </w:p>
        </w:tc>
        <w:tc>
          <w:tcPr>
            <w:tcW w:w="4732" w:type="dxa"/>
            <w:noWrap w:val="0"/>
            <w:vAlign w:val="center"/>
          </w:tcPr>
          <w:p w14:paraId="44178CC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7B7AB86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AD9AA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A33B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FEF27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81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D3F9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3EF8DC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捶面</w:t>
            </w:r>
          </w:p>
        </w:tc>
        <w:tc>
          <w:tcPr>
            <w:tcW w:w="749" w:type="dxa"/>
            <w:noWrap w:val="0"/>
            <w:vAlign w:val="center"/>
          </w:tcPr>
          <w:p w14:paraId="471EEEC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63F4F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1A3B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54F6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40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4D55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208-8</w:t>
            </w:r>
          </w:p>
        </w:tc>
        <w:tc>
          <w:tcPr>
            <w:tcW w:w="4732" w:type="dxa"/>
            <w:noWrap w:val="0"/>
            <w:vAlign w:val="center"/>
          </w:tcPr>
          <w:p w14:paraId="2CF186CD">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坡面柔性防护</w:t>
            </w:r>
          </w:p>
        </w:tc>
        <w:tc>
          <w:tcPr>
            <w:tcW w:w="749" w:type="dxa"/>
            <w:noWrap w:val="0"/>
            <w:vAlign w:val="center"/>
          </w:tcPr>
          <w:p w14:paraId="4FE3AA4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43466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303B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B60C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3A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D49A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3E69A6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749" w:type="dxa"/>
            <w:noWrap w:val="0"/>
            <w:vAlign w:val="center"/>
          </w:tcPr>
          <w:p w14:paraId="19517C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1FD71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AF59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810F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98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6251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3227247">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749" w:type="dxa"/>
            <w:noWrap w:val="0"/>
            <w:vAlign w:val="center"/>
          </w:tcPr>
          <w:p w14:paraId="093E479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AB55F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1ABC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10605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4F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92AC0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w:t>
            </w:r>
          </w:p>
        </w:tc>
        <w:tc>
          <w:tcPr>
            <w:tcW w:w="4732" w:type="dxa"/>
            <w:noWrap w:val="0"/>
            <w:vAlign w:val="center"/>
          </w:tcPr>
          <w:p w14:paraId="7881046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挡土墙</w:t>
            </w:r>
          </w:p>
        </w:tc>
        <w:tc>
          <w:tcPr>
            <w:tcW w:w="749" w:type="dxa"/>
            <w:noWrap w:val="0"/>
            <w:vAlign w:val="center"/>
          </w:tcPr>
          <w:p w14:paraId="65613A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60420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4E12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2905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8D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94A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209-1</w:t>
            </w:r>
          </w:p>
        </w:tc>
        <w:tc>
          <w:tcPr>
            <w:tcW w:w="4732" w:type="dxa"/>
            <w:noWrap w:val="0"/>
            <w:vAlign w:val="center"/>
          </w:tcPr>
          <w:p w14:paraId="756E526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noWrap w:val="0"/>
            <w:vAlign w:val="center"/>
          </w:tcPr>
          <w:p w14:paraId="0322413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80677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A0A9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109C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2E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7EDA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209-2</w:t>
            </w:r>
          </w:p>
        </w:tc>
        <w:tc>
          <w:tcPr>
            <w:tcW w:w="4732" w:type="dxa"/>
            <w:noWrap w:val="0"/>
            <w:vAlign w:val="center"/>
          </w:tcPr>
          <w:p w14:paraId="12E3C9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w:t>
            </w:r>
          </w:p>
        </w:tc>
        <w:tc>
          <w:tcPr>
            <w:tcW w:w="749" w:type="dxa"/>
            <w:noWrap w:val="0"/>
            <w:vAlign w:val="center"/>
          </w:tcPr>
          <w:p w14:paraId="4C1F87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50E541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F8CD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3BC9A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0B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B0F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5F8D22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浆砌片（块）石基础</w:t>
            </w:r>
          </w:p>
        </w:tc>
        <w:tc>
          <w:tcPr>
            <w:tcW w:w="749" w:type="dxa"/>
            <w:noWrap w:val="0"/>
            <w:vAlign w:val="center"/>
          </w:tcPr>
          <w:p w14:paraId="7E74B7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75998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7D54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855D6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1C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FBD9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8741BB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403461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70574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7E37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248D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F0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F4BFC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209-3</w:t>
            </w:r>
          </w:p>
        </w:tc>
        <w:tc>
          <w:tcPr>
            <w:tcW w:w="4732" w:type="dxa"/>
            <w:noWrap w:val="0"/>
            <w:vAlign w:val="center"/>
          </w:tcPr>
          <w:p w14:paraId="1AC6A3C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砌体挡土墙</w:t>
            </w:r>
          </w:p>
        </w:tc>
        <w:tc>
          <w:tcPr>
            <w:tcW w:w="749" w:type="dxa"/>
            <w:noWrap w:val="0"/>
            <w:vAlign w:val="center"/>
          </w:tcPr>
          <w:p w14:paraId="080931A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01FDA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6263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031D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5A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4B2A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1803DAA">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浆砌片（块）石</w:t>
            </w:r>
          </w:p>
        </w:tc>
        <w:tc>
          <w:tcPr>
            <w:tcW w:w="749" w:type="dxa"/>
            <w:noWrap w:val="0"/>
            <w:vAlign w:val="center"/>
          </w:tcPr>
          <w:p w14:paraId="4107BE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44A5A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EE39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1A2F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F3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6839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209-4</w:t>
            </w:r>
          </w:p>
        </w:tc>
        <w:tc>
          <w:tcPr>
            <w:tcW w:w="4732" w:type="dxa"/>
            <w:noWrap w:val="0"/>
            <w:vAlign w:val="center"/>
          </w:tcPr>
          <w:p w14:paraId="21C12C0A">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干砌挡土墙</w:t>
            </w:r>
          </w:p>
        </w:tc>
        <w:tc>
          <w:tcPr>
            <w:tcW w:w="749" w:type="dxa"/>
            <w:noWrap w:val="0"/>
            <w:vAlign w:val="center"/>
          </w:tcPr>
          <w:p w14:paraId="7B79EA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0AC64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210C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6463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5A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42542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209-5</w:t>
            </w:r>
          </w:p>
        </w:tc>
        <w:tc>
          <w:tcPr>
            <w:tcW w:w="4732" w:type="dxa"/>
            <w:noWrap w:val="0"/>
            <w:vAlign w:val="center"/>
          </w:tcPr>
          <w:p w14:paraId="1E50536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749" w:type="dxa"/>
            <w:noWrap w:val="0"/>
            <w:vAlign w:val="center"/>
          </w:tcPr>
          <w:p w14:paraId="49D4EDC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6B30D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BF3B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14908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AB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F32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1C8CC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613A78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AC994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CE92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0590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27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CBB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D06218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82A98F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EF41C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B801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E704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AF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60DC6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w:t>
            </w:r>
          </w:p>
        </w:tc>
        <w:tc>
          <w:tcPr>
            <w:tcW w:w="4732" w:type="dxa"/>
            <w:noWrap w:val="0"/>
            <w:vAlign w:val="center"/>
          </w:tcPr>
          <w:p w14:paraId="2E95228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锚杆、锚定板挡土墙</w:t>
            </w:r>
          </w:p>
        </w:tc>
        <w:tc>
          <w:tcPr>
            <w:tcW w:w="749" w:type="dxa"/>
            <w:noWrap w:val="0"/>
            <w:vAlign w:val="center"/>
          </w:tcPr>
          <w:p w14:paraId="0E1C788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893A5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C95E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F48D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4B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0524A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210-1</w:t>
            </w:r>
          </w:p>
        </w:tc>
        <w:tc>
          <w:tcPr>
            <w:tcW w:w="4732" w:type="dxa"/>
            <w:noWrap w:val="0"/>
            <w:vAlign w:val="center"/>
          </w:tcPr>
          <w:p w14:paraId="730E805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锚杆挡土墙</w:t>
            </w:r>
          </w:p>
        </w:tc>
        <w:tc>
          <w:tcPr>
            <w:tcW w:w="749" w:type="dxa"/>
            <w:noWrap w:val="0"/>
            <w:vAlign w:val="center"/>
          </w:tcPr>
          <w:p w14:paraId="24B50B7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EDF3E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4F59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D367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C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669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2E6D4B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现浇混凝土立柱</w:t>
            </w:r>
          </w:p>
        </w:tc>
        <w:tc>
          <w:tcPr>
            <w:tcW w:w="749" w:type="dxa"/>
            <w:noWrap w:val="0"/>
            <w:vAlign w:val="center"/>
          </w:tcPr>
          <w:p w14:paraId="436B20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CAC25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B762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856A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4C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30E1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361BE1C">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混凝土立柱</w:t>
            </w:r>
          </w:p>
        </w:tc>
        <w:tc>
          <w:tcPr>
            <w:tcW w:w="749" w:type="dxa"/>
            <w:noWrap w:val="0"/>
            <w:vAlign w:val="center"/>
          </w:tcPr>
          <w:p w14:paraId="29DE039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5F2DD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DE56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163E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DF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CDB67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873C1D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w:t>
            </w:r>
            <w:r>
              <w:rPr>
                <w:rFonts w:hint="default" w:ascii="Times New Roman" w:hAnsi="Times New Roman" w:cs="Times New Roman"/>
                <w:color w:val="auto"/>
                <w:szCs w:val="21"/>
                <w:highlight w:val="none"/>
              </w:rPr>
              <w:t>混凝土挡板</w:t>
            </w:r>
          </w:p>
        </w:tc>
        <w:tc>
          <w:tcPr>
            <w:tcW w:w="749" w:type="dxa"/>
            <w:noWrap w:val="0"/>
            <w:vAlign w:val="center"/>
          </w:tcPr>
          <w:p w14:paraId="3A2698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588DF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7514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5ECE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F9C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C3CA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210-2</w:t>
            </w:r>
          </w:p>
        </w:tc>
        <w:tc>
          <w:tcPr>
            <w:tcW w:w="4732" w:type="dxa"/>
            <w:noWrap w:val="0"/>
            <w:vAlign w:val="center"/>
          </w:tcPr>
          <w:p w14:paraId="76F5D88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锚定板挡土墙</w:t>
            </w:r>
          </w:p>
        </w:tc>
        <w:tc>
          <w:tcPr>
            <w:tcW w:w="749" w:type="dxa"/>
            <w:noWrap w:val="0"/>
            <w:vAlign w:val="center"/>
          </w:tcPr>
          <w:p w14:paraId="6D3582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317C72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24C4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C52B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77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2D48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6267372">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现浇混凝土肋柱</w:t>
            </w:r>
          </w:p>
        </w:tc>
        <w:tc>
          <w:tcPr>
            <w:tcW w:w="749" w:type="dxa"/>
            <w:noWrap w:val="0"/>
            <w:vAlign w:val="center"/>
          </w:tcPr>
          <w:p w14:paraId="3ABBE5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8C486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BD1C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1C0D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57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986A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226170B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预制安装混凝土肋柱</w:t>
            </w:r>
          </w:p>
        </w:tc>
        <w:tc>
          <w:tcPr>
            <w:tcW w:w="749" w:type="dxa"/>
            <w:noWrap w:val="0"/>
            <w:vAlign w:val="center"/>
          </w:tcPr>
          <w:p w14:paraId="20A304A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DDB1E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4FAA6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B9F2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08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0C19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8C398AE">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预制安装混凝土锚定板</w:t>
            </w:r>
          </w:p>
        </w:tc>
        <w:tc>
          <w:tcPr>
            <w:tcW w:w="749" w:type="dxa"/>
            <w:noWrap w:val="0"/>
            <w:vAlign w:val="center"/>
          </w:tcPr>
          <w:p w14:paraId="608ED34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C9E5E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8376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373D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91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33A0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210-3</w:t>
            </w:r>
          </w:p>
        </w:tc>
        <w:tc>
          <w:tcPr>
            <w:tcW w:w="4732" w:type="dxa"/>
            <w:noWrap w:val="0"/>
            <w:vAlign w:val="center"/>
          </w:tcPr>
          <w:p w14:paraId="3A76B4A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现浇墙身混凝土、附属部位混凝土</w:t>
            </w:r>
          </w:p>
        </w:tc>
        <w:tc>
          <w:tcPr>
            <w:tcW w:w="749" w:type="dxa"/>
            <w:noWrap w:val="0"/>
            <w:vAlign w:val="center"/>
          </w:tcPr>
          <w:p w14:paraId="702B4D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6E8C7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42BF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6725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DD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3BF8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E23F08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现浇混凝土墙身</w:t>
            </w:r>
          </w:p>
        </w:tc>
        <w:tc>
          <w:tcPr>
            <w:tcW w:w="749" w:type="dxa"/>
            <w:noWrap w:val="0"/>
            <w:vAlign w:val="center"/>
          </w:tcPr>
          <w:p w14:paraId="57F55A6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DCCF7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FB61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1C12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59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1BA0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A093D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现浇附属部位混凝土</w:t>
            </w:r>
          </w:p>
        </w:tc>
        <w:tc>
          <w:tcPr>
            <w:tcW w:w="749" w:type="dxa"/>
            <w:noWrap w:val="0"/>
            <w:vAlign w:val="center"/>
          </w:tcPr>
          <w:p w14:paraId="50A035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FA669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1C57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C39C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CD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678C1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210-4</w:t>
            </w:r>
          </w:p>
        </w:tc>
        <w:tc>
          <w:tcPr>
            <w:tcW w:w="4732" w:type="dxa"/>
            <w:noWrap w:val="0"/>
            <w:vAlign w:val="center"/>
          </w:tcPr>
          <w:p w14:paraId="47462B0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现浇桩基混凝土</w:t>
            </w:r>
          </w:p>
        </w:tc>
        <w:tc>
          <w:tcPr>
            <w:tcW w:w="749" w:type="dxa"/>
            <w:noWrap w:val="0"/>
            <w:vAlign w:val="center"/>
          </w:tcPr>
          <w:p w14:paraId="753A01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88E53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30D7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78E7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60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6761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210-5</w:t>
            </w:r>
          </w:p>
        </w:tc>
        <w:tc>
          <w:tcPr>
            <w:tcW w:w="4732" w:type="dxa"/>
            <w:noWrap w:val="0"/>
            <w:vAlign w:val="center"/>
          </w:tcPr>
          <w:p w14:paraId="01E59517">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锚杆及拉杆</w:t>
            </w:r>
          </w:p>
        </w:tc>
        <w:tc>
          <w:tcPr>
            <w:tcW w:w="749" w:type="dxa"/>
            <w:noWrap w:val="0"/>
            <w:vAlign w:val="center"/>
          </w:tcPr>
          <w:p w14:paraId="5DF8A85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5E685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F409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BCA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A4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14C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649E13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16B3377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35000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A6A9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EAAA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BF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F2AF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8F559C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拉杆</w:t>
            </w:r>
          </w:p>
        </w:tc>
        <w:tc>
          <w:tcPr>
            <w:tcW w:w="749" w:type="dxa"/>
            <w:noWrap w:val="0"/>
            <w:vAlign w:val="center"/>
          </w:tcPr>
          <w:p w14:paraId="07B4F5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E8339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E6A7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2168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7B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E7AC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210-6</w:t>
            </w:r>
          </w:p>
        </w:tc>
        <w:tc>
          <w:tcPr>
            <w:tcW w:w="4732" w:type="dxa"/>
            <w:noWrap w:val="0"/>
            <w:vAlign w:val="center"/>
          </w:tcPr>
          <w:p w14:paraId="4D9E377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C05314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E61EC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D347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B5031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44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57CE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211</w:t>
            </w:r>
          </w:p>
        </w:tc>
        <w:tc>
          <w:tcPr>
            <w:tcW w:w="4732" w:type="dxa"/>
            <w:noWrap w:val="0"/>
            <w:vAlign w:val="center"/>
          </w:tcPr>
          <w:p w14:paraId="2A7427E6">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加筋土挡土墙</w:t>
            </w:r>
          </w:p>
        </w:tc>
        <w:tc>
          <w:tcPr>
            <w:tcW w:w="749" w:type="dxa"/>
            <w:noWrap w:val="0"/>
            <w:vAlign w:val="center"/>
          </w:tcPr>
          <w:p w14:paraId="17D11B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C1EE9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1542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5CA9E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2D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576B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211-1</w:t>
            </w:r>
          </w:p>
        </w:tc>
        <w:tc>
          <w:tcPr>
            <w:tcW w:w="4732" w:type="dxa"/>
            <w:noWrap w:val="0"/>
            <w:vAlign w:val="center"/>
          </w:tcPr>
          <w:p w14:paraId="0ACC66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基础</w:t>
            </w:r>
          </w:p>
        </w:tc>
        <w:tc>
          <w:tcPr>
            <w:tcW w:w="749" w:type="dxa"/>
            <w:noWrap w:val="0"/>
            <w:vAlign w:val="center"/>
          </w:tcPr>
          <w:p w14:paraId="62B6CCB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99ACB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6965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903C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A4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2E1FD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1F1958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浆砌片石基础</w:t>
            </w:r>
          </w:p>
        </w:tc>
        <w:tc>
          <w:tcPr>
            <w:tcW w:w="749" w:type="dxa"/>
            <w:noWrap w:val="0"/>
            <w:vAlign w:val="center"/>
          </w:tcPr>
          <w:p w14:paraId="11CFBA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FC334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70C0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A018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34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FB597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4D6F1F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w:t>
            </w:r>
          </w:p>
        </w:tc>
        <w:tc>
          <w:tcPr>
            <w:tcW w:w="749" w:type="dxa"/>
            <w:noWrap w:val="0"/>
            <w:vAlign w:val="center"/>
          </w:tcPr>
          <w:p w14:paraId="582E24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47F33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A313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8492A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7C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081D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211-2</w:t>
            </w:r>
          </w:p>
        </w:tc>
        <w:tc>
          <w:tcPr>
            <w:tcW w:w="4732" w:type="dxa"/>
            <w:noWrap w:val="0"/>
            <w:vAlign w:val="center"/>
          </w:tcPr>
          <w:p w14:paraId="61927C6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混凝土帽石</w:t>
            </w:r>
          </w:p>
        </w:tc>
        <w:tc>
          <w:tcPr>
            <w:tcW w:w="749" w:type="dxa"/>
            <w:noWrap w:val="0"/>
            <w:vAlign w:val="center"/>
          </w:tcPr>
          <w:p w14:paraId="1B1ED15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D4F31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9275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6438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B6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966F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0F92EA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现浇帽石混凝土</w:t>
            </w:r>
          </w:p>
        </w:tc>
        <w:tc>
          <w:tcPr>
            <w:tcW w:w="749" w:type="dxa"/>
            <w:noWrap w:val="0"/>
            <w:vAlign w:val="center"/>
          </w:tcPr>
          <w:p w14:paraId="08AF9E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19F85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6304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87A8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FF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C86B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211-3</w:t>
            </w:r>
          </w:p>
        </w:tc>
        <w:tc>
          <w:tcPr>
            <w:tcW w:w="4732" w:type="dxa"/>
            <w:noWrap w:val="0"/>
            <w:vAlign w:val="center"/>
          </w:tcPr>
          <w:p w14:paraId="72F784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预制安装混凝土墙面板</w:t>
            </w:r>
          </w:p>
        </w:tc>
        <w:tc>
          <w:tcPr>
            <w:tcW w:w="749" w:type="dxa"/>
            <w:noWrap w:val="0"/>
            <w:vAlign w:val="center"/>
          </w:tcPr>
          <w:p w14:paraId="682261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733A6F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17A2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5013A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D1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9BDF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211-4</w:t>
            </w:r>
          </w:p>
        </w:tc>
        <w:tc>
          <w:tcPr>
            <w:tcW w:w="4732" w:type="dxa"/>
            <w:noWrap w:val="0"/>
            <w:vAlign w:val="center"/>
          </w:tcPr>
          <w:p w14:paraId="64FC080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加筋带</w:t>
            </w:r>
          </w:p>
        </w:tc>
        <w:tc>
          <w:tcPr>
            <w:tcW w:w="749" w:type="dxa"/>
            <w:noWrap w:val="0"/>
            <w:vAlign w:val="center"/>
          </w:tcPr>
          <w:p w14:paraId="69334D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EE6CF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72CB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CE4C7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E3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B103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1653DF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扁钢带</w:t>
            </w:r>
          </w:p>
        </w:tc>
        <w:tc>
          <w:tcPr>
            <w:tcW w:w="749" w:type="dxa"/>
            <w:noWrap w:val="0"/>
            <w:vAlign w:val="center"/>
          </w:tcPr>
          <w:p w14:paraId="2D39B87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849E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C33F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3836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5A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3253C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C1DE21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钢筋混凝土带</w:t>
            </w:r>
          </w:p>
        </w:tc>
        <w:tc>
          <w:tcPr>
            <w:tcW w:w="749" w:type="dxa"/>
            <w:noWrap w:val="0"/>
            <w:vAlign w:val="center"/>
          </w:tcPr>
          <w:p w14:paraId="3F994E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07FE6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AAB4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98792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63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404C9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623EA8E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塑钢复合带</w:t>
            </w:r>
          </w:p>
        </w:tc>
        <w:tc>
          <w:tcPr>
            <w:tcW w:w="749" w:type="dxa"/>
            <w:noWrap w:val="0"/>
            <w:vAlign w:val="center"/>
          </w:tcPr>
          <w:p w14:paraId="299FED4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F86B4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4D1B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1A865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C8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3D1C2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3A5FEA13">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塑料土工格栅</w:t>
            </w:r>
          </w:p>
        </w:tc>
        <w:tc>
          <w:tcPr>
            <w:tcW w:w="749" w:type="dxa"/>
            <w:noWrap w:val="0"/>
            <w:vAlign w:val="center"/>
          </w:tcPr>
          <w:p w14:paraId="6CF70DE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A0351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8788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63C42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4D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A2D0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7C5EBB53">
            <w:pPr>
              <w:pageBreakBefore w:val="0"/>
              <w:widowControl/>
              <w:kinsoku/>
              <w:wordWrap w:val="0"/>
              <w:bidi w:val="0"/>
              <w:spacing w:line="360" w:lineRule="atLeast"/>
              <w:jc w:val="lef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聚丙烯土工带</w:t>
            </w:r>
          </w:p>
        </w:tc>
        <w:tc>
          <w:tcPr>
            <w:tcW w:w="749" w:type="dxa"/>
            <w:noWrap w:val="0"/>
            <w:vAlign w:val="center"/>
          </w:tcPr>
          <w:p w14:paraId="1D6315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042DE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1335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A82F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AD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9448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211-5</w:t>
            </w:r>
          </w:p>
        </w:tc>
        <w:tc>
          <w:tcPr>
            <w:tcW w:w="4732" w:type="dxa"/>
            <w:noWrap w:val="0"/>
            <w:vAlign w:val="center"/>
          </w:tcPr>
          <w:p w14:paraId="47DC9C7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53DACE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8540C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3163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B657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46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8934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w:t>
            </w:r>
          </w:p>
        </w:tc>
        <w:tc>
          <w:tcPr>
            <w:tcW w:w="4732" w:type="dxa"/>
            <w:noWrap w:val="0"/>
            <w:vAlign w:val="center"/>
          </w:tcPr>
          <w:p w14:paraId="68BDBA2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喷射混凝土和喷浆边坡防护</w:t>
            </w:r>
          </w:p>
        </w:tc>
        <w:tc>
          <w:tcPr>
            <w:tcW w:w="749" w:type="dxa"/>
            <w:noWrap w:val="0"/>
            <w:vAlign w:val="center"/>
          </w:tcPr>
          <w:p w14:paraId="5753A76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7206C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A6B4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9FF2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14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C190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212-1</w:t>
            </w:r>
          </w:p>
        </w:tc>
        <w:tc>
          <w:tcPr>
            <w:tcW w:w="4732" w:type="dxa"/>
            <w:noWrap w:val="0"/>
            <w:vAlign w:val="center"/>
          </w:tcPr>
          <w:p w14:paraId="57F5001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挂网土工格栅喷浆防护边坡</w:t>
            </w:r>
          </w:p>
        </w:tc>
        <w:tc>
          <w:tcPr>
            <w:tcW w:w="749" w:type="dxa"/>
            <w:noWrap w:val="0"/>
            <w:vAlign w:val="center"/>
          </w:tcPr>
          <w:p w14:paraId="0486703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701DB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9607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0C76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90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D3D0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AF4A81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喷浆防护边坡</w:t>
            </w:r>
          </w:p>
        </w:tc>
        <w:tc>
          <w:tcPr>
            <w:tcW w:w="749" w:type="dxa"/>
            <w:noWrap w:val="0"/>
            <w:vAlign w:val="center"/>
          </w:tcPr>
          <w:p w14:paraId="232CBC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3D1F9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D366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0D1E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A7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B919E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EB4500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2E94C8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CC698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0270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3F58F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77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B28E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BD4B9A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27927A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EC808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0763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6FCC7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09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5F9BA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C8421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0EC51A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09147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60B7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E634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AB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D12F8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212-2</w:t>
            </w:r>
          </w:p>
        </w:tc>
        <w:tc>
          <w:tcPr>
            <w:tcW w:w="4732" w:type="dxa"/>
            <w:noWrap w:val="0"/>
            <w:vAlign w:val="center"/>
          </w:tcPr>
          <w:p w14:paraId="1B478EA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挂网锚喷混凝土防护边坡（全坡面）</w:t>
            </w:r>
          </w:p>
        </w:tc>
        <w:tc>
          <w:tcPr>
            <w:tcW w:w="749" w:type="dxa"/>
            <w:noWrap w:val="0"/>
            <w:vAlign w:val="center"/>
          </w:tcPr>
          <w:p w14:paraId="38A19C1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F6F47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AE2F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E6CF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2D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0A61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4348E0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喷射混凝土防护边坡</w:t>
            </w:r>
          </w:p>
        </w:tc>
        <w:tc>
          <w:tcPr>
            <w:tcW w:w="749" w:type="dxa"/>
            <w:noWrap w:val="0"/>
            <w:vAlign w:val="center"/>
          </w:tcPr>
          <w:p w14:paraId="04D4F82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C3BF0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A6E9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B642D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F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2C8C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12DB31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3458DC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15150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05E9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0EB1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C4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849B7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34C7C2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铁丝网</w:t>
            </w:r>
          </w:p>
        </w:tc>
        <w:tc>
          <w:tcPr>
            <w:tcW w:w="749" w:type="dxa"/>
            <w:noWrap w:val="0"/>
            <w:vAlign w:val="center"/>
          </w:tcPr>
          <w:p w14:paraId="1671BC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2C197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0658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01AC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BF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A770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417923A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07B16A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2A6F9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7A0EE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8ABD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3F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A0336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01DAC2C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1D6C29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9E209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9F0A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5198D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B8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8F0CC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212-3</w:t>
            </w:r>
          </w:p>
        </w:tc>
        <w:tc>
          <w:tcPr>
            <w:tcW w:w="4732" w:type="dxa"/>
            <w:noWrap w:val="0"/>
            <w:vAlign w:val="center"/>
          </w:tcPr>
          <w:p w14:paraId="00F97052">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坡面防护</w:t>
            </w:r>
          </w:p>
        </w:tc>
        <w:tc>
          <w:tcPr>
            <w:tcW w:w="749" w:type="dxa"/>
            <w:noWrap w:val="0"/>
            <w:vAlign w:val="center"/>
          </w:tcPr>
          <w:p w14:paraId="519189E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4D974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6AD8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4813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0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1F877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C79639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喷浆边坡防护</w:t>
            </w:r>
          </w:p>
        </w:tc>
        <w:tc>
          <w:tcPr>
            <w:tcW w:w="749" w:type="dxa"/>
            <w:noWrap w:val="0"/>
            <w:vAlign w:val="center"/>
          </w:tcPr>
          <w:p w14:paraId="52F3F36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502350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9CEC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38F7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AA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EFF06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10257EC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喷射混凝土</w:t>
            </w:r>
            <w:r>
              <w:rPr>
                <w:rFonts w:hint="default" w:ascii="Times New Roman" w:hAnsi="Times New Roman" w:cs="Times New Roman"/>
                <w:color w:val="auto"/>
                <w:kern w:val="0"/>
                <w:szCs w:val="21"/>
                <w:highlight w:val="none"/>
              </w:rPr>
              <w:t>边坡防护</w:t>
            </w:r>
          </w:p>
        </w:tc>
        <w:tc>
          <w:tcPr>
            <w:tcW w:w="749" w:type="dxa"/>
            <w:noWrap w:val="0"/>
            <w:vAlign w:val="center"/>
          </w:tcPr>
          <w:p w14:paraId="40617F5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vertAlign w:val="superscript"/>
              </w:rPr>
            </w:pP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p>
        </w:tc>
        <w:tc>
          <w:tcPr>
            <w:tcW w:w="837" w:type="dxa"/>
            <w:noWrap w:val="0"/>
            <w:vAlign w:val="center"/>
          </w:tcPr>
          <w:p w14:paraId="3F81CE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900E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0D850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76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D4831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212-4</w:t>
            </w:r>
          </w:p>
        </w:tc>
        <w:tc>
          <w:tcPr>
            <w:tcW w:w="4732" w:type="dxa"/>
            <w:noWrap w:val="0"/>
            <w:vAlign w:val="center"/>
          </w:tcPr>
          <w:p w14:paraId="7FD81B0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土钉支护</w:t>
            </w:r>
          </w:p>
        </w:tc>
        <w:tc>
          <w:tcPr>
            <w:tcW w:w="749" w:type="dxa"/>
            <w:noWrap w:val="0"/>
            <w:vAlign w:val="center"/>
          </w:tcPr>
          <w:p w14:paraId="45A52BC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A4537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912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1A4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41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451C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5FCE1F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钻孔注浆钉</w:t>
            </w:r>
          </w:p>
        </w:tc>
        <w:tc>
          <w:tcPr>
            <w:tcW w:w="749" w:type="dxa"/>
            <w:noWrap w:val="0"/>
            <w:vAlign w:val="center"/>
          </w:tcPr>
          <w:p w14:paraId="7AEA32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7A90C1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95546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C8A61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2C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CCD7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02D86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击入钉</w:t>
            </w:r>
          </w:p>
        </w:tc>
        <w:tc>
          <w:tcPr>
            <w:tcW w:w="749" w:type="dxa"/>
            <w:noWrap w:val="0"/>
            <w:vAlign w:val="center"/>
          </w:tcPr>
          <w:p w14:paraId="70C896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B5718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5061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25FA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BE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BA62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E7A8C2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749" w:type="dxa"/>
            <w:noWrap w:val="0"/>
            <w:vAlign w:val="center"/>
          </w:tcPr>
          <w:p w14:paraId="6FE595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F3F8B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30BC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6DAE9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FE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DD289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576722D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0CC557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04007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1D67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E9E3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B5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6256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732" w:type="dxa"/>
            <w:noWrap w:val="0"/>
            <w:vAlign w:val="center"/>
          </w:tcPr>
          <w:p w14:paraId="70C8CEC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749" w:type="dxa"/>
            <w:noWrap w:val="0"/>
            <w:vAlign w:val="center"/>
          </w:tcPr>
          <w:p w14:paraId="18943C3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33B94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5754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0EE4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64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474D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732" w:type="dxa"/>
            <w:noWrap w:val="0"/>
            <w:vAlign w:val="center"/>
          </w:tcPr>
          <w:p w14:paraId="030726A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网格梁、立柱、挡土板</w:t>
            </w:r>
          </w:p>
        </w:tc>
        <w:tc>
          <w:tcPr>
            <w:tcW w:w="749" w:type="dxa"/>
            <w:noWrap w:val="0"/>
            <w:vAlign w:val="center"/>
          </w:tcPr>
          <w:p w14:paraId="1E9882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FE8AB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4E0B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5803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CA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9A42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732" w:type="dxa"/>
            <w:noWrap w:val="0"/>
            <w:vAlign w:val="center"/>
          </w:tcPr>
          <w:p w14:paraId="67D6939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土工格栅</w:t>
            </w:r>
          </w:p>
        </w:tc>
        <w:tc>
          <w:tcPr>
            <w:tcW w:w="749" w:type="dxa"/>
            <w:noWrap w:val="0"/>
            <w:vAlign w:val="center"/>
          </w:tcPr>
          <w:p w14:paraId="4A322BD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E7602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F29C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E64B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1B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942FB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213</w:t>
            </w:r>
          </w:p>
        </w:tc>
        <w:tc>
          <w:tcPr>
            <w:tcW w:w="4732" w:type="dxa"/>
            <w:noWrap w:val="0"/>
            <w:vAlign w:val="center"/>
          </w:tcPr>
          <w:p w14:paraId="6A1F25E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预应力锚索边坡加固</w:t>
            </w:r>
          </w:p>
        </w:tc>
        <w:tc>
          <w:tcPr>
            <w:tcW w:w="749" w:type="dxa"/>
            <w:noWrap w:val="0"/>
            <w:vAlign w:val="center"/>
          </w:tcPr>
          <w:p w14:paraId="0DAD9FE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133968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A176D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ACD6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4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C297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213-1</w:t>
            </w:r>
          </w:p>
        </w:tc>
        <w:tc>
          <w:tcPr>
            <w:tcW w:w="4732" w:type="dxa"/>
            <w:noWrap w:val="0"/>
            <w:vAlign w:val="center"/>
          </w:tcPr>
          <w:p w14:paraId="44BC8F1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预应力钢绞线</w:t>
            </w:r>
          </w:p>
        </w:tc>
        <w:tc>
          <w:tcPr>
            <w:tcW w:w="749" w:type="dxa"/>
            <w:noWrap w:val="0"/>
            <w:vAlign w:val="center"/>
          </w:tcPr>
          <w:p w14:paraId="070DEE4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C10AC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D357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E7090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C8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7A3E2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213-2</w:t>
            </w:r>
          </w:p>
        </w:tc>
        <w:tc>
          <w:tcPr>
            <w:tcW w:w="4732" w:type="dxa"/>
            <w:noWrap w:val="0"/>
            <w:vAlign w:val="center"/>
          </w:tcPr>
          <w:p w14:paraId="54B8240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无黏结预应力钢绞线</w:t>
            </w:r>
          </w:p>
        </w:tc>
        <w:tc>
          <w:tcPr>
            <w:tcW w:w="749" w:type="dxa"/>
            <w:noWrap w:val="0"/>
            <w:vAlign w:val="center"/>
          </w:tcPr>
          <w:p w14:paraId="2277FF2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6230C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F927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4DEE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9C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6EC4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213-3</w:t>
            </w:r>
          </w:p>
        </w:tc>
        <w:tc>
          <w:tcPr>
            <w:tcW w:w="4732" w:type="dxa"/>
            <w:noWrap w:val="0"/>
            <w:vAlign w:val="center"/>
          </w:tcPr>
          <w:p w14:paraId="6D08C86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749" w:type="dxa"/>
            <w:noWrap w:val="0"/>
            <w:vAlign w:val="center"/>
          </w:tcPr>
          <w:p w14:paraId="7F5FA8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913B5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0AD3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55A95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04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2ABC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A2D65A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钢筋锚杆</w:t>
            </w:r>
          </w:p>
        </w:tc>
        <w:tc>
          <w:tcPr>
            <w:tcW w:w="749" w:type="dxa"/>
            <w:noWrap w:val="0"/>
            <w:vAlign w:val="center"/>
          </w:tcPr>
          <w:p w14:paraId="6B5FE2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B9518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2FDB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8897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A6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666CA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51A83F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预应力钢筋锚杆</w:t>
            </w:r>
          </w:p>
        </w:tc>
        <w:tc>
          <w:tcPr>
            <w:tcW w:w="749" w:type="dxa"/>
            <w:noWrap w:val="0"/>
            <w:vAlign w:val="center"/>
          </w:tcPr>
          <w:p w14:paraId="4CE380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B145D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64C9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98E7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BF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290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213-4</w:t>
            </w:r>
          </w:p>
        </w:tc>
        <w:tc>
          <w:tcPr>
            <w:tcW w:w="4732" w:type="dxa"/>
            <w:noWrap w:val="0"/>
            <w:vAlign w:val="center"/>
          </w:tcPr>
          <w:p w14:paraId="0074154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混凝土框格梁</w:t>
            </w:r>
          </w:p>
        </w:tc>
        <w:tc>
          <w:tcPr>
            <w:tcW w:w="749" w:type="dxa"/>
            <w:noWrap w:val="0"/>
            <w:vAlign w:val="center"/>
          </w:tcPr>
          <w:p w14:paraId="3FE7BC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E064D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D58F7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951BB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86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9534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213-5</w:t>
            </w:r>
          </w:p>
        </w:tc>
        <w:tc>
          <w:tcPr>
            <w:tcW w:w="4732" w:type="dxa"/>
            <w:noWrap w:val="0"/>
            <w:vAlign w:val="center"/>
          </w:tcPr>
          <w:p w14:paraId="3B325A5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混凝土锚固板</w:t>
            </w:r>
          </w:p>
        </w:tc>
        <w:tc>
          <w:tcPr>
            <w:tcW w:w="749" w:type="dxa"/>
            <w:noWrap w:val="0"/>
            <w:vAlign w:val="center"/>
          </w:tcPr>
          <w:p w14:paraId="53D36E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37FF1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7AEA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59B7D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64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57ACC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213-6</w:t>
            </w:r>
          </w:p>
        </w:tc>
        <w:tc>
          <w:tcPr>
            <w:tcW w:w="4732" w:type="dxa"/>
            <w:noWrap w:val="0"/>
            <w:vAlign w:val="center"/>
          </w:tcPr>
          <w:p w14:paraId="011AB3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155A1B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57B9C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B71C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6B15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D6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7FACF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w:t>
            </w:r>
          </w:p>
        </w:tc>
        <w:tc>
          <w:tcPr>
            <w:tcW w:w="4732" w:type="dxa"/>
            <w:noWrap w:val="0"/>
            <w:vAlign w:val="center"/>
          </w:tcPr>
          <w:p w14:paraId="2FCF7C5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抗滑桩</w:t>
            </w:r>
          </w:p>
        </w:tc>
        <w:tc>
          <w:tcPr>
            <w:tcW w:w="749" w:type="dxa"/>
            <w:noWrap w:val="0"/>
            <w:vAlign w:val="center"/>
          </w:tcPr>
          <w:p w14:paraId="510A54F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AC3D4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3D01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E99E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C4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2C18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214-1</w:t>
            </w:r>
          </w:p>
        </w:tc>
        <w:tc>
          <w:tcPr>
            <w:tcW w:w="4732" w:type="dxa"/>
            <w:noWrap w:val="0"/>
            <w:vAlign w:val="center"/>
          </w:tcPr>
          <w:p w14:paraId="35C54E7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现浇混凝土桩</w:t>
            </w:r>
          </w:p>
        </w:tc>
        <w:tc>
          <w:tcPr>
            <w:tcW w:w="749" w:type="dxa"/>
            <w:noWrap w:val="0"/>
            <w:vAlign w:val="center"/>
          </w:tcPr>
          <w:p w14:paraId="337CBA1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2EB0C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83E0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20DE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7D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D783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7A5BE46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3B3548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90A0F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F08E1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56FA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33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8EAB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214-2</w:t>
            </w:r>
          </w:p>
        </w:tc>
        <w:tc>
          <w:tcPr>
            <w:tcW w:w="4732" w:type="dxa"/>
            <w:noWrap w:val="0"/>
            <w:vAlign w:val="center"/>
          </w:tcPr>
          <w:p w14:paraId="34AD3E15">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桩板式抗滑挡墙</w:t>
            </w:r>
          </w:p>
        </w:tc>
        <w:tc>
          <w:tcPr>
            <w:tcW w:w="749" w:type="dxa"/>
            <w:noWrap w:val="0"/>
            <w:vAlign w:val="center"/>
          </w:tcPr>
          <w:p w14:paraId="73E5F99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418729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7349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E3E9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5F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1DE08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35CFC9EA">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挡土板</w:t>
            </w:r>
          </w:p>
        </w:tc>
        <w:tc>
          <w:tcPr>
            <w:tcW w:w="749" w:type="dxa"/>
            <w:noWrap w:val="0"/>
            <w:vAlign w:val="center"/>
          </w:tcPr>
          <w:p w14:paraId="38BA26C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23CEF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F855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1990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92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3FFB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214-3</w:t>
            </w:r>
          </w:p>
        </w:tc>
        <w:tc>
          <w:tcPr>
            <w:tcW w:w="4732" w:type="dxa"/>
            <w:noWrap w:val="0"/>
            <w:vAlign w:val="center"/>
          </w:tcPr>
          <w:p w14:paraId="6700408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7976E5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035ACE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B3EF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C9B2A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9A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9638D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215</w:t>
            </w:r>
          </w:p>
        </w:tc>
        <w:tc>
          <w:tcPr>
            <w:tcW w:w="4732" w:type="dxa"/>
            <w:noWrap w:val="0"/>
            <w:vAlign w:val="center"/>
          </w:tcPr>
          <w:p w14:paraId="7D65743C">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河道防护</w:t>
            </w:r>
          </w:p>
        </w:tc>
        <w:tc>
          <w:tcPr>
            <w:tcW w:w="749" w:type="dxa"/>
            <w:noWrap w:val="0"/>
            <w:vAlign w:val="center"/>
          </w:tcPr>
          <w:p w14:paraId="1E36591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636CA1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2669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B5ED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2A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210B1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215-1</w:t>
            </w:r>
          </w:p>
        </w:tc>
        <w:tc>
          <w:tcPr>
            <w:tcW w:w="4732" w:type="dxa"/>
            <w:noWrap w:val="0"/>
            <w:vAlign w:val="center"/>
          </w:tcPr>
          <w:p w14:paraId="57D6D68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河床铺砌</w:t>
            </w:r>
          </w:p>
        </w:tc>
        <w:tc>
          <w:tcPr>
            <w:tcW w:w="749" w:type="dxa"/>
            <w:noWrap w:val="0"/>
            <w:vAlign w:val="center"/>
          </w:tcPr>
          <w:p w14:paraId="458522E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7562F2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9EBD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8634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F2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8E409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90EE3B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浆砌片石铺砌</w:t>
            </w:r>
          </w:p>
        </w:tc>
        <w:tc>
          <w:tcPr>
            <w:tcW w:w="749" w:type="dxa"/>
            <w:noWrap w:val="0"/>
            <w:vAlign w:val="center"/>
          </w:tcPr>
          <w:p w14:paraId="38CCC9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885F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97FE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AC1F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9BC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D2A9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9BBB97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混凝土铺砌</w:t>
            </w:r>
          </w:p>
        </w:tc>
        <w:tc>
          <w:tcPr>
            <w:tcW w:w="749" w:type="dxa"/>
            <w:noWrap w:val="0"/>
            <w:vAlign w:val="center"/>
          </w:tcPr>
          <w:p w14:paraId="77C5E5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05244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D120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2EDD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700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88E4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215-2</w:t>
            </w:r>
          </w:p>
        </w:tc>
        <w:tc>
          <w:tcPr>
            <w:tcW w:w="4732" w:type="dxa"/>
            <w:noWrap w:val="0"/>
            <w:vAlign w:val="center"/>
          </w:tcPr>
          <w:p w14:paraId="3019EE8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导流设施（护岸墙、顺坝、丁坝、调水坝、锥坡）</w:t>
            </w:r>
          </w:p>
        </w:tc>
        <w:tc>
          <w:tcPr>
            <w:tcW w:w="749" w:type="dxa"/>
            <w:noWrap w:val="0"/>
            <w:vAlign w:val="center"/>
          </w:tcPr>
          <w:p w14:paraId="697FB96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p>
        </w:tc>
        <w:tc>
          <w:tcPr>
            <w:tcW w:w="837" w:type="dxa"/>
            <w:noWrap w:val="0"/>
            <w:vAlign w:val="center"/>
          </w:tcPr>
          <w:p w14:paraId="2A4E5E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31CD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3187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21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D0BA3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A7BCEF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w:t>
            </w:r>
          </w:p>
        </w:tc>
        <w:tc>
          <w:tcPr>
            <w:tcW w:w="749" w:type="dxa"/>
            <w:noWrap w:val="0"/>
            <w:vAlign w:val="center"/>
          </w:tcPr>
          <w:p w14:paraId="466E94E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061C14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E7E4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8F00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8E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CCCEB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B6AE15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w:t>
            </w:r>
          </w:p>
        </w:tc>
        <w:tc>
          <w:tcPr>
            <w:tcW w:w="749" w:type="dxa"/>
            <w:noWrap w:val="0"/>
            <w:vAlign w:val="center"/>
          </w:tcPr>
          <w:p w14:paraId="5D12AE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0EFF7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CB65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8D88C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CE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54888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368842B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石笼</w:t>
            </w:r>
          </w:p>
        </w:tc>
        <w:tc>
          <w:tcPr>
            <w:tcW w:w="749" w:type="dxa"/>
            <w:noWrap w:val="0"/>
            <w:vAlign w:val="center"/>
          </w:tcPr>
          <w:p w14:paraId="24443D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965A2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613E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3971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A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AAED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215-3</w:t>
            </w:r>
          </w:p>
        </w:tc>
        <w:tc>
          <w:tcPr>
            <w:tcW w:w="4732" w:type="dxa"/>
            <w:noWrap w:val="0"/>
            <w:vAlign w:val="center"/>
          </w:tcPr>
          <w:p w14:paraId="0986416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抛石防护</w:t>
            </w:r>
          </w:p>
        </w:tc>
        <w:tc>
          <w:tcPr>
            <w:tcW w:w="749" w:type="dxa"/>
            <w:noWrap w:val="0"/>
            <w:vAlign w:val="center"/>
          </w:tcPr>
          <w:p w14:paraId="2DE58D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6D9A0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8777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B8AD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7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0B2ADBE8">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清单第200章合计  人民币</w:t>
            </w:r>
            <w:r>
              <w:rPr>
                <w:rFonts w:hint="default" w:ascii="Times New Roman" w:hAnsi="Times New Roman" w:cs="Times New Roman"/>
                <w:color w:val="auto"/>
                <w:szCs w:val="21"/>
                <w:highlight w:val="none"/>
                <w:u w:val="single"/>
              </w:rPr>
              <w:t xml:space="preserve">                    </w:t>
            </w:r>
          </w:p>
        </w:tc>
      </w:tr>
    </w:tbl>
    <w:p w14:paraId="5A0B93DC">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4989CD14">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057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5A4646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0BD9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2A0892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1C6F988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6E59BFE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18433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8BC50A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E4DACB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7886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3404B6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55F3CCB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154F084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ECF24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925E1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5FE8E3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0C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5EBF33A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1A5F2949">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0D7F0F1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9A4F9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7D9415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0AFC94B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C3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237B4D6A">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tcBorders>
              <w:top w:val="single" w:color="auto" w:sz="4" w:space="0"/>
              <w:left w:val="single" w:color="auto" w:sz="4" w:space="0"/>
              <w:right w:val="single" w:color="auto" w:sz="4" w:space="0"/>
            </w:tcBorders>
            <w:noWrap w:val="0"/>
            <w:vAlign w:val="top"/>
          </w:tcPr>
          <w:p w14:paraId="6611C0CD">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tcBorders>
              <w:top w:val="single" w:color="auto" w:sz="4" w:space="0"/>
              <w:left w:val="single" w:color="auto" w:sz="4" w:space="0"/>
              <w:right w:val="single" w:color="auto" w:sz="4" w:space="0"/>
            </w:tcBorders>
            <w:noWrap w:val="0"/>
            <w:vAlign w:val="top"/>
          </w:tcPr>
          <w:p w14:paraId="122FDC1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tcBorders>
              <w:top w:val="single" w:color="auto" w:sz="4" w:space="0"/>
              <w:left w:val="single" w:color="auto" w:sz="4" w:space="0"/>
              <w:right w:val="single" w:color="auto" w:sz="4" w:space="0"/>
            </w:tcBorders>
            <w:noWrap w:val="0"/>
            <w:vAlign w:val="center"/>
          </w:tcPr>
          <w:p w14:paraId="54DE17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1285A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4CFC5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1C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6BAC61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4732" w:type="dxa"/>
            <w:noWrap w:val="0"/>
            <w:vAlign w:val="top"/>
          </w:tcPr>
          <w:p w14:paraId="4A492933">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砂砾垫层</w:t>
            </w:r>
          </w:p>
        </w:tc>
        <w:tc>
          <w:tcPr>
            <w:tcW w:w="749" w:type="dxa"/>
            <w:noWrap w:val="0"/>
            <w:vAlign w:val="top"/>
          </w:tcPr>
          <w:p w14:paraId="3A38378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4ADE7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8D16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C0EC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2A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FC36C2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242F926">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231DEF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DEE2C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C910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CB7F9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13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90F111">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4732" w:type="dxa"/>
            <w:noWrap w:val="0"/>
            <w:vAlign w:val="top"/>
          </w:tcPr>
          <w:p w14:paraId="29ED0299">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水泥稳定土垫层</w:t>
            </w:r>
          </w:p>
        </w:tc>
        <w:tc>
          <w:tcPr>
            <w:tcW w:w="749" w:type="dxa"/>
            <w:noWrap w:val="0"/>
            <w:vAlign w:val="top"/>
          </w:tcPr>
          <w:p w14:paraId="02BFA522">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8A57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9B00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AA5E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04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3BAB69">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08ADF56">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AE39A4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C0A6A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43D3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6980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9F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2FFDA8">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302-4</w:t>
            </w:r>
          </w:p>
        </w:tc>
        <w:tc>
          <w:tcPr>
            <w:tcW w:w="4732" w:type="dxa"/>
            <w:noWrap w:val="0"/>
            <w:vAlign w:val="top"/>
          </w:tcPr>
          <w:p w14:paraId="0A2CACED">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石灰稳定土垫层</w:t>
            </w:r>
          </w:p>
        </w:tc>
        <w:tc>
          <w:tcPr>
            <w:tcW w:w="749" w:type="dxa"/>
            <w:noWrap w:val="0"/>
            <w:vAlign w:val="top"/>
          </w:tcPr>
          <w:p w14:paraId="32F81CE5">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450D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324B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C196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26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7EBF25">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8E37635">
            <w:pPr>
              <w:pageBreakBefore w:val="0"/>
              <w:tabs>
                <w:tab w:val="left" w:pos="1643"/>
              </w:tabs>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05AF70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64DB2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DB6F6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1189C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4E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8E6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303</w:t>
            </w:r>
          </w:p>
        </w:tc>
        <w:tc>
          <w:tcPr>
            <w:tcW w:w="4732" w:type="dxa"/>
            <w:noWrap w:val="0"/>
            <w:vAlign w:val="center"/>
          </w:tcPr>
          <w:p w14:paraId="5E32D4F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石灰稳定土底基层、基层</w:t>
            </w:r>
          </w:p>
        </w:tc>
        <w:tc>
          <w:tcPr>
            <w:tcW w:w="749" w:type="dxa"/>
            <w:noWrap w:val="0"/>
            <w:vAlign w:val="top"/>
          </w:tcPr>
          <w:p w14:paraId="412D48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E2249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228C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13A96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77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34BB3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303-1</w:t>
            </w:r>
          </w:p>
        </w:tc>
        <w:tc>
          <w:tcPr>
            <w:tcW w:w="4732" w:type="dxa"/>
            <w:noWrap w:val="0"/>
            <w:vAlign w:val="top"/>
          </w:tcPr>
          <w:p w14:paraId="12ACDDB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石灰稳定土底基层</w:t>
            </w:r>
          </w:p>
        </w:tc>
        <w:tc>
          <w:tcPr>
            <w:tcW w:w="749" w:type="dxa"/>
            <w:noWrap w:val="0"/>
            <w:vAlign w:val="top"/>
          </w:tcPr>
          <w:p w14:paraId="0A1528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D5878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19A81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7D9E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3B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09F1F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997D2E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4F682C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97C5E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102E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B6D9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6E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286E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303-2</w:t>
            </w:r>
          </w:p>
        </w:tc>
        <w:tc>
          <w:tcPr>
            <w:tcW w:w="4732" w:type="dxa"/>
            <w:noWrap w:val="0"/>
            <w:vAlign w:val="top"/>
          </w:tcPr>
          <w:p w14:paraId="1588172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搭板、埋板下石灰稳定土底基层</w:t>
            </w:r>
          </w:p>
        </w:tc>
        <w:tc>
          <w:tcPr>
            <w:tcW w:w="749" w:type="dxa"/>
            <w:noWrap w:val="0"/>
            <w:vAlign w:val="top"/>
          </w:tcPr>
          <w:p w14:paraId="35F91A5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F9877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67BC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2F01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94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7D495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303-3</w:t>
            </w:r>
          </w:p>
        </w:tc>
        <w:tc>
          <w:tcPr>
            <w:tcW w:w="4732" w:type="dxa"/>
            <w:noWrap w:val="0"/>
            <w:vAlign w:val="top"/>
          </w:tcPr>
          <w:p w14:paraId="29F3B585">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石灰稳定土基层</w:t>
            </w:r>
          </w:p>
        </w:tc>
        <w:tc>
          <w:tcPr>
            <w:tcW w:w="749" w:type="dxa"/>
            <w:noWrap w:val="0"/>
            <w:vAlign w:val="top"/>
          </w:tcPr>
          <w:p w14:paraId="1E2BC1D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36900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AD5B7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35416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DF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FE7E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EF04635">
            <w:pPr>
              <w:pageBreakBefore w:val="0"/>
              <w:widowControl/>
              <w:kinsoku/>
              <w:wordWrap w:val="0"/>
              <w:bidi w:val="0"/>
              <w:spacing w:line="360" w:lineRule="atLeast"/>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34FFB3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B2554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30F0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D881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7A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80EC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304</w:t>
            </w:r>
          </w:p>
        </w:tc>
        <w:tc>
          <w:tcPr>
            <w:tcW w:w="4732" w:type="dxa"/>
            <w:noWrap w:val="0"/>
            <w:vAlign w:val="center"/>
          </w:tcPr>
          <w:p w14:paraId="522DBCA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水泥稳定土底基层、基层</w:t>
            </w:r>
          </w:p>
        </w:tc>
        <w:tc>
          <w:tcPr>
            <w:tcW w:w="749" w:type="dxa"/>
            <w:noWrap w:val="0"/>
            <w:vAlign w:val="top"/>
          </w:tcPr>
          <w:p w14:paraId="73006CE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0E6B6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DB8B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E646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86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C47957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304-1</w:t>
            </w:r>
          </w:p>
        </w:tc>
        <w:tc>
          <w:tcPr>
            <w:tcW w:w="4732" w:type="dxa"/>
            <w:noWrap w:val="0"/>
            <w:vAlign w:val="top"/>
          </w:tcPr>
          <w:p w14:paraId="1A7F7B5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水泥稳定土底基层</w:t>
            </w:r>
          </w:p>
        </w:tc>
        <w:tc>
          <w:tcPr>
            <w:tcW w:w="749" w:type="dxa"/>
            <w:noWrap w:val="0"/>
            <w:vAlign w:val="top"/>
          </w:tcPr>
          <w:p w14:paraId="7291081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D7F8F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7408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C24A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57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607D3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814DD9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B828A4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D5F32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7C3B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C178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AC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3C641B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304-2</w:t>
            </w:r>
          </w:p>
        </w:tc>
        <w:tc>
          <w:tcPr>
            <w:tcW w:w="4732" w:type="dxa"/>
            <w:noWrap w:val="0"/>
            <w:vAlign w:val="top"/>
          </w:tcPr>
          <w:p w14:paraId="7033DD5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搭板、埋板下水泥稳定土底基层</w:t>
            </w:r>
          </w:p>
        </w:tc>
        <w:tc>
          <w:tcPr>
            <w:tcW w:w="749" w:type="dxa"/>
            <w:noWrap w:val="0"/>
            <w:vAlign w:val="top"/>
          </w:tcPr>
          <w:p w14:paraId="665A9D7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9B69D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76C9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AAD1C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1C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90342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304-3</w:t>
            </w:r>
          </w:p>
        </w:tc>
        <w:tc>
          <w:tcPr>
            <w:tcW w:w="4732" w:type="dxa"/>
            <w:noWrap w:val="0"/>
            <w:vAlign w:val="top"/>
          </w:tcPr>
          <w:p w14:paraId="12449E0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水泥稳定土基层</w:t>
            </w:r>
          </w:p>
        </w:tc>
        <w:tc>
          <w:tcPr>
            <w:tcW w:w="749" w:type="dxa"/>
            <w:noWrap w:val="0"/>
            <w:vAlign w:val="top"/>
          </w:tcPr>
          <w:p w14:paraId="446DDD5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279EC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D3AB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32D8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59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D7C2D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814BF8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81FE5E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A921F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D85C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FFE1F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A3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685F9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w:t>
            </w:r>
          </w:p>
        </w:tc>
        <w:tc>
          <w:tcPr>
            <w:tcW w:w="4732" w:type="dxa"/>
            <w:noWrap w:val="0"/>
            <w:vAlign w:val="center"/>
          </w:tcPr>
          <w:p w14:paraId="30B969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石灰粉煤灰稳定土底基层、基层</w:t>
            </w:r>
          </w:p>
        </w:tc>
        <w:tc>
          <w:tcPr>
            <w:tcW w:w="749" w:type="dxa"/>
            <w:noWrap w:val="0"/>
            <w:vAlign w:val="top"/>
          </w:tcPr>
          <w:p w14:paraId="730F381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CE58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EA4D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00C4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B4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8B5FF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305-1</w:t>
            </w:r>
          </w:p>
        </w:tc>
        <w:tc>
          <w:tcPr>
            <w:tcW w:w="4732" w:type="dxa"/>
            <w:noWrap w:val="0"/>
            <w:vAlign w:val="top"/>
          </w:tcPr>
          <w:p w14:paraId="22D5B61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石灰粉煤灰稳定土底基层</w:t>
            </w:r>
          </w:p>
        </w:tc>
        <w:tc>
          <w:tcPr>
            <w:tcW w:w="749" w:type="dxa"/>
            <w:noWrap w:val="0"/>
            <w:vAlign w:val="top"/>
          </w:tcPr>
          <w:p w14:paraId="6DD5CB4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B1CB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7D3C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2E49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EA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2B3E7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2FC28E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590C3C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28DF5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1BCD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D916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31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4C9A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305-2</w:t>
            </w:r>
          </w:p>
        </w:tc>
        <w:tc>
          <w:tcPr>
            <w:tcW w:w="4732" w:type="dxa"/>
            <w:noWrap w:val="0"/>
            <w:vAlign w:val="center"/>
          </w:tcPr>
          <w:p w14:paraId="3305576E">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搭板、埋板下石灰粉煤灰稳定土底基层</w:t>
            </w:r>
          </w:p>
        </w:tc>
        <w:tc>
          <w:tcPr>
            <w:tcW w:w="749" w:type="dxa"/>
            <w:noWrap w:val="0"/>
            <w:vAlign w:val="top"/>
          </w:tcPr>
          <w:p w14:paraId="210B310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8DB68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DDEC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9EA72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49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BF4D33">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305-3</w:t>
            </w:r>
          </w:p>
        </w:tc>
        <w:tc>
          <w:tcPr>
            <w:tcW w:w="4732" w:type="dxa"/>
            <w:noWrap w:val="0"/>
            <w:vAlign w:val="center"/>
          </w:tcPr>
          <w:p w14:paraId="3C2BB140">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石灰粉煤灰稳定土基层</w:t>
            </w:r>
          </w:p>
        </w:tc>
        <w:tc>
          <w:tcPr>
            <w:tcW w:w="749" w:type="dxa"/>
            <w:noWrap w:val="0"/>
            <w:vAlign w:val="top"/>
          </w:tcPr>
          <w:p w14:paraId="2C181CB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63E1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D94C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51B1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A7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F92EBC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08AD7A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13FAF93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5C930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966E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4B365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F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734BA1">
            <w:pPr>
              <w:pageBreakBefore w:val="0"/>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305-4</w:t>
            </w:r>
          </w:p>
        </w:tc>
        <w:tc>
          <w:tcPr>
            <w:tcW w:w="4732" w:type="dxa"/>
            <w:noWrap w:val="0"/>
            <w:vAlign w:val="center"/>
          </w:tcPr>
          <w:p w14:paraId="6A92B978">
            <w:pPr>
              <w:pageBreakBefore w:val="0"/>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石灰煤渣稳定土基层</w:t>
            </w:r>
          </w:p>
        </w:tc>
        <w:tc>
          <w:tcPr>
            <w:tcW w:w="749" w:type="dxa"/>
            <w:noWrap w:val="0"/>
            <w:vAlign w:val="center"/>
          </w:tcPr>
          <w:p w14:paraId="68CA735A">
            <w:pPr>
              <w:pageBreakBefore w:val="0"/>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B539C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B5DA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9E37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B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FA96C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EE80CB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37DCBE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D334C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66BE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990D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59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A041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306</w:t>
            </w:r>
          </w:p>
        </w:tc>
        <w:tc>
          <w:tcPr>
            <w:tcW w:w="4732" w:type="dxa"/>
            <w:noWrap w:val="0"/>
            <w:vAlign w:val="center"/>
          </w:tcPr>
          <w:p w14:paraId="72AF62C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级配碎（砾）石底基层、基层</w:t>
            </w:r>
          </w:p>
        </w:tc>
        <w:tc>
          <w:tcPr>
            <w:tcW w:w="749" w:type="dxa"/>
            <w:noWrap w:val="0"/>
            <w:vAlign w:val="center"/>
          </w:tcPr>
          <w:p w14:paraId="2C292D3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BA557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6026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84E6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61E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DA6B8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306-1</w:t>
            </w:r>
          </w:p>
        </w:tc>
        <w:tc>
          <w:tcPr>
            <w:tcW w:w="4732" w:type="dxa"/>
            <w:noWrap w:val="0"/>
            <w:vAlign w:val="center"/>
          </w:tcPr>
          <w:p w14:paraId="1D74500B">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级配碎石底基层</w:t>
            </w:r>
          </w:p>
        </w:tc>
        <w:tc>
          <w:tcPr>
            <w:tcW w:w="749" w:type="dxa"/>
            <w:noWrap w:val="0"/>
            <w:vAlign w:val="center"/>
          </w:tcPr>
          <w:p w14:paraId="1643AB5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F18A8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799F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955C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FC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2F8A3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2B87CB5">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251CBD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278F3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14029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B291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11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EE32C61">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第300章   路  面</w:t>
            </w:r>
          </w:p>
        </w:tc>
      </w:tr>
      <w:tr w14:paraId="19CA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1C742E2A">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35655F8B">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2A5508E2">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17F31A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D059B45">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DED3E4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1E9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ACE42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306-2</w:t>
            </w:r>
          </w:p>
        </w:tc>
        <w:tc>
          <w:tcPr>
            <w:tcW w:w="4732" w:type="dxa"/>
            <w:noWrap w:val="0"/>
            <w:vAlign w:val="top"/>
          </w:tcPr>
          <w:p w14:paraId="290C2494">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搭板、埋板下级配碎石底基层</w:t>
            </w:r>
          </w:p>
        </w:tc>
        <w:tc>
          <w:tcPr>
            <w:tcW w:w="749" w:type="dxa"/>
            <w:noWrap w:val="0"/>
            <w:vAlign w:val="top"/>
          </w:tcPr>
          <w:p w14:paraId="538C5CCD">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906B9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0B29C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20F6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2D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03A82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306-3</w:t>
            </w:r>
          </w:p>
        </w:tc>
        <w:tc>
          <w:tcPr>
            <w:tcW w:w="4732" w:type="dxa"/>
            <w:noWrap w:val="0"/>
            <w:vAlign w:val="center"/>
          </w:tcPr>
          <w:p w14:paraId="45706C75">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级配碎石基层</w:t>
            </w:r>
          </w:p>
        </w:tc>
        <w:tc>
          <w:tcPr>
            <w:tcW w:w="749" w:type="dxa"/>
            <w:noWrap w:val="0"/>
            <w:vAlign w:val="center"/>
          </w:tcPr>
          <w:p w14:paraId="4D20A69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83527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935F0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480E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43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D8806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246FD99">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377EA9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D7E9D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3162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4F83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E02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88D6D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306-4</w:t>
            </w:r>
          </w:p>
        </w:tc>
        <w:tc>
          <w:tcPr>
            <w:tcW w:w="4732" w:type="dxa"/>
            <w:noWrap w:val="0"/>
            <w:vAlign w:val="center"/>
          </w:tcPr>
          <w:p w14:paraId="4B21F88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级配砾石底基层</w:t>
            </w:r>
          </w:p>
        </w:tc>
        <w:tc>
          <w:tcPr>
            <w:tcW w:w="749" w:type="dxa"/>
            <w:noWrap w:val="0"/>
            <w:vAlign w:val="center"/>
          </w:tcPr>
          <w:p w14:paraId="72F72363">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430A9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C9E4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6977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CE3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0FAD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2E16AF2">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890A69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662D6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2CC4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151B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A3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6FEFA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306-5</w:t>
            </w:r>
          </w:p>
        </w:tc>
        <w:tc>
          <w:tcPr>
            <w:tcW w:w="4732" w:type="dxa"/>
            <w:noWrap w:val="0"/>
            <w:vAlign w:val="center"/>
          </w:tcPr>
          <w:p w14:paraId="72A2D7C0">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搭板、埋板下级配砾石底基层</w:t>
            </w:r>
          </w:p>
        </w:tc>
        <w:tc>
          <w:tcPr>
            <w:tcW w:w="749" w:type="dxa"/>
            <w:noWrap w:val="0"/>
            <w:vAlign w:val="top"/>
          </w:tcPr>
          <w:p w14:paraId="2F04913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7B85B8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0E1C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4523F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91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E09E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306-6</w:t>
            </w:r>
          </w:p>
        </w:tc>
        <w:tc>
          <w:tcPr>
            <w:tcW w:w="4732" w:type="dxa"/>
            <w:noWrap w:val="0"/>
            <w:vAlign w:val="center"/>
          </w:tcPr>
          <w:p w14:paraId="50250A40">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级配砾石基层</w:t>
            </w:r>
          </w:p>
        </w:tc>
        <w:tc>
          <w:tcPr>
            <w:tcW w:w="749" w:type="dxa"/>
            <w:noWrap w:val="0"/>
            <w:vAlign w:val="center"/>
          </w:tcPr>
          <w:p w14:paraId="03298C5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29D0C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6ABC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55D1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A8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3BEC8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D62669E">
            <w:pPr>
              <w:pageBreakBefore w:val="0"/>
              <w:widowControl/>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3E558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848AA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DBAC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F919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2E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B796C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307</w:t>
            </w:r>
          </w:p>
        </w:tc>
        <w:tc>
          <w:tcPr>
            <w:tcW w:w="4732" w:type="dxa"/>
            <w:noWrap w:val="0"/>
            <w:vAlign w:val="center"/>
          </w:tcPr>
          <w:p w14:paraId="70B0EC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沥青稳定碎石基层（ATB）</w:t>
            </w:r>
          </w:p>
        </w:tc>
        <w:tc>
          <w:tcPr>
            <w:tcW w:w="749" w:type="dxa"/>
            <w:noWrap w:val="0"/>
            <w:vAlign w:val="top"/>
          </w:tcPr>
          <w:p w14:paraId="2F91FEA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9D3B1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2EE2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4005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BD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977E71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307-1</w:t>
            </w:r>
          </w:p>
        </w:tc>
        <w:tc>
          <w:tcPr>
            <w:tcW w:w="4732" w:type="dxa"/>
            <w:noWrap w:val="0"/>
            <w:vAlign w:val="top"/>
          </w:tcPr>
          <w:p w14:paraId="44DB5CE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沥青稳定碎石基层（ATB）</w:t>
            </w:r>
          </w:p>
        </w:tc>
        <w:tc>
          <w:tcPr>
            <w:tcW w:w="749" w:type="dxa"/>
            <w:noWrap w:val="0"/>
            <w:vAlign w:val="top"/>
          </w:tcPr>
          <w:p w14:paraId="6EE41AC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1432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163E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A8D8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45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9A770D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1673BFE">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F8DE20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A710F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4D45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EA8CC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D4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D072D1">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359C38A">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85EBC18">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3252E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C672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FC0D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4E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690F2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308</w:t>
            </w:r>
          </w:p>
        </w:tc>
        <w:tc>
          <w:tcPr>
            <w:tcW w:w="4732" w:type="dxa"/>
            <w:noWrap w:val="0"/>
            <w:vAlign w:val="center"/>
          </w:tcPr>
          <w:p w14:paraId="1349FA5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透层和黏层</w:t>
            </w:r>
          </w:p>
        </w:tc>
        <w:tc>
          <w:tcPr>
            <w:tcW w:w="749" w:type="dxa"/>
            <w:noWrap w:val="0"/>
            <w:vAlign w:val="top"/>
          </w:tcPr>
          <w:p w14:paraId="45F180F3">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8451F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4C8B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7FE7F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50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CF47F2">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-1</w:t>
            </w:r>
          </w:p>
        </w:tc>
        <w:tc>
          <w:tcPr>
            <w:tcW w:w="4732" w:type="dxa"/>
            <w:noWrap w:val="0"/>
            <w:vAlign w:val="top"/>
          </w:tcPr>
          <w:p w14:paraId="38E291EB">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透层</w:t>
            </w:r>
          </w:p>
        </w:tc>
        <w:tc>
          <w:tcPr>
            <w:tcW w:w="749" w:type="dxa"/>
            <w:noWrap w:val="0"/>
            <w:vAlign w:val="top"/>
          </w:tcPr>
          <w:p w14:paraId="1AC47012">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B6ABA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2007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CD60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23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C0AD20">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308</w:t>
            </w:r>
            <w:r>
              <w:rPr>
                <w:rFonts w:hint="default" w:ascii="Times New Roman" w:hAnsi="Times New Roman" w:cs="Times New Roman"/>
                <w:color w:val="auto"/>
                <w:szCs w:val="21"/>
                <w:highlight w:val="none"/>
              </w:rPr>
              <w:t>-2</w:t>
            </w:r>
          </w:p>
        </w:tc>
        <w:tc>
          <w:tcPr>
            <w:tcW w:w="4732" w:type="dxa"/>
            <w:noWrap w:val="0"/>
            <w:vAlign w:val="top"/>
          </w:tcPr>
          <w:p w14:paraId="46EA719E">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黏层</w:t>
            </w:r>
          </w:p>
        </w:tc>
        <w:tc>
          <w:tcPr>
            <w:tcW w:w="749" w:type="dxa"/>
            <w:noWrap w:val="0"/>
            <w:vAlign w:val="top"/>
          </w:tcPr>
          <w:p w14:paraId="77E7C2DD">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59D31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DF4B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A36B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EA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7D1F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309</w:t>
            </w:r>
          </w:p>
        </w:tc>
        <w:tc>
          <w:tcPr>
            <w:tcW w:w="4732" w:type="dxa"/>
            <w:noWrap w:val="0"/>
            <w:vAlign w:val="center"/>
          </w:tcPr>
          <w:p w14:paraId="76AA574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热拌沥青混合料面层</w:t>
            </w:r>
          </w:p>
        </w:tc>
        <w:tc>
          <w:tcPr>
            <w:tcW w:w="749" w:type="dxa"/>
            <w:noWrap w:val="0"/>
            <w:vAlign w:val="top"/>
          </w:tcPr>
          <w:p w14:paraId="4395B57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3D7A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B447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2D7C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2A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C2D570">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309-1</w:t>
            </w:r>
          </w:p>
        </w:tc>
        <w:tc>
          <w:tcPr>
            <w:tcW w:w="4732" w:type="dxa"/>
            <w:noWrap w:val="0"/>
            <w:vAlign w:val="top"/>
          </w:tcPr>
          <w:p w14:paraId="32A9A9D2">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细粒式沥青混凝土</w:t>
            </w:r>
          </w:p>
        </w:tc>
        <w:tc>
          <w:tcPr>
            <w:tcW w:w="749" w:type="dxa"/>
            <w:noWrap w:val="0"/>
            <w:vAlign w:val="top"/>
          </w:tcPr>
          <w:p w14:paraId="7131A547">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22415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31F9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78660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32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E796EC">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185DA2E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268E38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278D9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D817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05587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EE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CEBFD4">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769F14D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23EEE5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707EE8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FF27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58605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9B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C08D05">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309-2</w:t>
            </w:r>
          </w:p>
        </w:tc>
        <w:tc>
          <w:tcPr>
            <w:tcW w:w="4732" w:type="dxa"/>
            <w:noWrap w:val="0"/>
            <w:vAlign w:val="top"/>
          </w:tcPr>
          <w:p w14:paraId="7F008DE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中粒式沥青混凝土</w:t>
            </w:r>
          </w:p>
        </w:tc>
        <w:tc>
          <w:tcPr>
            <w:tcW w:w="749" w:type="dxa"/>
            <w:noWrap w:val="0"/>
            <w:vAlign w:val="top"/>
          </w:tcPr>
          <w:p w14:paraId="1611E94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D466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7D94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62C1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EF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0E12FC">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6A9394B7">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6F3B4C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E0BB0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83E5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0362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CFF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75EBBF">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1FFE08E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A2589A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8891C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F8C6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ACBB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78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C1FDFCD">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309-3</w:t>
            </w:r>
          </w:p>
        </w:tc>
        <w:tc>
          <w:tcPr>
            <w:tcW w:w="4732" w:type="dxa"/>
            <w:noWrap w:val="0"/>
            <w:vAlign w:val="top"/>
          </w:tcPr>
          <w:p w14:paraId="2B8477D3">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粗粒式沥青混凝土</w:t>
            </w:r>
          </w:p>
        </w:tc>
        <w:tc>
          <w:tcPr>
            <w:tcW w:w="749" w:type="dxa"/>
            <w:noWrap w:val="0"/>
            <w:vAlign w:val="top"/>
          </w:tcPr>
          <w:p w14:paraId="34404A1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FB43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79B0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36AB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1C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0EE588">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-a</w:t>
            </w:r>
          </w:p>
        </w:tc>
        <w:tc>
          <w:tcPr>
            <w:tcW w:w="4732" w:type="dxa"/>
            <w:noWrap w:val="0"/>
            <w:vAlign w:val="top"/>
          </w:tcPr>
          <w:p w14:paraId="7A9BF39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2DFFF54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AFB14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B4C1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84808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5B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708925">
            <w:pPr>
              <w:pageBreakBefore w:val="0"/>
              <w:kinsoku/>
              <w:wordWrap w:val="0"/>
              <w:autoSpaceDE w:val="0"/>
              <w:autoSpaceDN w:val="0"/>
              <w:bidi w:val="0"/>
              <w:spacing w:line="360" w:lineRule="atLeast"/>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35EA2D0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87309D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1D699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62F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3E686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5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89E1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310</w:t>
            </w:r>
          </w:p>
        </w:tc>
        <w:tc>
          <w:tcPr>
            <w:tcW w:w="4732" w:type="dxa"/>
            <w:noWrap w:val="0"/>
            <w:vAlign w:val="center"/>
          </w:tcPr>
          <w:p w14:paraId="2B0E609E">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沥青表面处置与封层</w:t>
            </w:r>
          </w:p>
        </w:tc>
        <w:tc>
          <w:tcPr>
            <w:tcW w:w="749" w:type="dxa"/>
            <w:noWrap w:val="0"/>
            <w:vAlign w:val="top"/>
          </w:tcPr>
          <w:p w14:paraId="0CB5C31C">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411E29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DEAB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81C6C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72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5FDD2D">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-1</w:t>
            </w:r>
          </w:p>
        </w:tc>
        <w:tc>
          <w:tcPr>
            <w:tcW w:w="4732" w:type="dxa"/>
            <w:noWrap w:val="0"/>
            <w:vAlign w:val="top"/>
          </w:tcPr>
          <w:p w14:paraId="64FD799E">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沥青表面处</w:t>
            </w:r>
            <w:r>
              <w:rPr>
                <w:rFonts w:hint="default" w:ascii="Times New Roman" w:hAnsi="Times New Roman" w:cs="Times New Roman"/>
                <w:color w:val="auto"/>
                <w:kern w:val="0"/>
                <w:szCs w:val="21"/>
                <w:highlight w:val="none"/>
              </w:rPr>
              <w:t>置</w:t>
            </w:r>
          </w:p>
        </w:tc>
        <w:tc>
          <w:tcPr>
            <w:tcW w:w="749" w:type="dxa"/>
            <w:noWrap w:val="0"/>
            <w:vAlign w:val="top"/>
          </w:tcPr>
          <w:p w14:paraId="3A08D3FA">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p>
        </w:tc>
        <w:tc>
          <w:tcPr>
            <w:tcW w:w="837" w:type="dxa"/>
            <w:noWrap w:val="0"/>
            <w:vAlign w:val="center"/>
          </w:tcPr>
          <w:p w14:paraId="61359E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3813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561E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7B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81AC98">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8453D50">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6527FEA9">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318CC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6138F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1DDD8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C3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D59A42">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-b</w:t>
            </w:r>
          </w:p>
        </w:tc>
        <w:tc>
          <w:tcPr>
            <w:tcW w:w="4732" w:type="dxa"/>
            <w:noWrap w:val="0"/>
            <w:vAlign w:val="top"/>
          </w:tcPr>
          <w:p w14:paraId="02D59658">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58CB707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02717D0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E69C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8F35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37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C6E4600">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310</w:t>
            </w:r>
            <w:r>
              <w:rPr>
                <w:rFonts w:hint="default" w:ascii="Times New Roman" w:hAnsi="Times New Roman" w:cs="Times New Roman"/>
                <w:color w:val="auto"/>
                <w:szCs w:val="21"/>
                <w:highlight w:val="none"/>
              </w:rPr>
              <w:t>-2</w:t>
            </w:r>
          </w:p>
        </w:tc>
        <w:tc>
          <w:tcPr>
            <w:tcW w:w="4732" w:type="dxa"/>
            <w:noWrap w:val="0"/>
            <w:vAlign w:val="top"/>
          </w:tcPr>
          <w:p w14:paraId="0AAFE1D3">
            <w:pPr>
              <w:pageBreakBefore w:val="0"/>
              <w:kinsoku/>
              <w:wordWrap w:val="0"/>
              <w:overflowPunct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封层</w:t>
            </w:r>
          </w:p>
        </w:tc>
        <w:tc>
          <w:tcPr>
            <w:tcW w:w="749" w:type="dxa"/>
            <w:noWrap w:val="0"/>
            <w:vAlign w:val="top"/>
          </w:tcPr>
          <w:p w14:paraId="39CD4971">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4755F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E09C6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E965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BD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3AA9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311</w:t>
            </w:r>
          </w:p>
        </w:tc>
        <w:tc>
          <w:tcPr>
            <w:tcW w:w="4732" w:type="dxa"/>
            <w:noWrap w:val="0"/>
            <w:vAlign w:val="center"/>
          </w:tcPr>
          <w:p w14:paraId="5424CFA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改性沥青及改性沥青混合料</w:t>
            </w:r>
          </w:p>
        </w:tc>
        <w:tc>
          <w:tcPr>
            <w:tcW w:w="749" w:type="dxa"/>
            <w:noWrap w:val="0"/>
            <w:vAlign w:val="top"/>
          </w:tcPr>
          <w:p w14:paraId="3D01E9F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C311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2290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FFAFE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37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04021B">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311-1</w:t>
            </w:r>
          </w:p>
        </w:tc>
        <w:tc>
          <w:tcPr>
            <w:tcW w:w="4732" w:type="dxa"/>
            <w:noWrap w:val="0"/>
            <w:vAlign w:val="top"/>
          </w:tcPr>
          <w:p w14:paraId="080F8E38">
            <w:pPr>
              <w:pageBreakBefore w:val="0"/>
              <w:kinsoku/>
              <w:wordWrap w:val="0"/>
              <w:overflowPunct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细粒式改性沥青混合料路面</w:t>
            </w:r>
          </w:p>
        </w:tc>
        <w:tc>
          <w:tcPr>
            <w:tcW w:w="749" w:type="dxa"/>
            <w:noWrap w:val="0"/>
            <w:vAlign w:val="top"/>
          </w:tcPr>
          <w:p w14:paraId="0768191E">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0105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D0F28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B4D6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F3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592116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1179CA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78B41F0B">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AD618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C37DF3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C9139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49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94F9EF">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16AE5E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992887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87E2D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AD77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A28B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1DA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930C10">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311-2</w:t>
            </w:r>
          </w:p>
        </w:tc>
        <w:tc>
          <w:tcPr>
            <w:tcW w:w="4732" w:type="dxa"/>
            <w:noWrap w:val="0"/>
            <w:vAlign w:val="top"/>
          </w:tcPr>
          <w:p w14:paraId="6C48A1E5">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中粒式改性沥青混合料路面</w:t>
            </w:r>
          </w:p>
        </w:tc>
        <w:tc>
          <w:tcPr>
            <w:tcW w:w="749" w:type="dxa"/>
            <w:noWrap w:val="0"/>
            <w:vAlign w:val="top"/>
          </w:tcPr>
          <w:p w14:paraId="46AC0EDE">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496A9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ECE90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1613E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92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F7167C">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144F15E0">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4A3558CF">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0502B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CEE3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9C93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58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1EBEBD">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66CB231">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5E16D6A">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DA759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ED4C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1C77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04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9B3496">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311-3</w:t>
            </w:r>
          </w:p>
        </w:tc>
        <w:tc>
          <w:tcPr>
            <w:tcW w:w="4732" w:type="dxa"/>
            <w:noWrap w:val="0"/>
            <w:vAlign w:val="top"/>
          </w:tcPr>
          <w:p w14:paraId="40855303">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SMA路面</w:t>
            </w:r>
          </w:p>
        </w:tc>
        <w:tc>
          <w:tcPr>
            <w:tcW w:w="749" w:type="dxa"/>
            <w:noWrap w:val="0"/>
            <w:vAlign w:val="top"/>
          </w:tcPr>
          <w:p w14:paraId="2C821A9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F8B1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ADBF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AF3C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E96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CD3C507">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7DE1CB8">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3E36BD34">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B5935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B1040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E989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37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FB3F74">
            <w:pPr>
              <w:pageBreakBefore w:val="0"/>
              <w:kinsoku/>
              <w:wordWrap w:val="0"/>
              <w:overflowPunct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6B00454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w:t>
            </w:r>
          </w:p>
        </w:tc>
        <w:tc>
          <w:tcPr>
            <w:tcW w:w="749" w:type="dxa"/>
            <w:noWrap w:val="0"/>
            <w:vAlign w:val="top"/>
          </w:tcPr>
          <w:p w14:paraId="070C235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24F424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913F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9E2A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99F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75C8F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312</w:t>
            </w:r>
          </w:p>
        </w:tc>
        <w:tc>
          <w:tcPr>
            <w:tcW w:w="4732" w:type="dxa"/>
            <w:noWrap w:val="0"/>
            <w:vAlign w:val="center"/>
          </w:tcPr>
          <w:p w14:paraId="1FEFF3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水泥混凝土面板</w:t>
            </w:r>
          </w:p>
        </w:tc>
        <w:tc>
          <w:tcPr>
            <w:tcW w:w="749" w:type="dxa"/>
            <w:noWrap w:val="0"/>
            <w:vAlign w:val="center"/>
          </w:tcPr>
          <w:p w14:paraId="2767436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6017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2923D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B741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270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A799D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312-1</w:t>
            </w:r>
          </w:p>
        </w:tc>
        <w:tc>
          <w:tcPr>
            <w:tcW w:w="4732" w:type="dxa"/>
            <w:noWrap w:val="0"/>
            <w:vAlign w:val="center"/>
          </w:tcPr>
          <w:p w14:paraId="25CB436F">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水泥混凝土面板</w:t>
            </w:r>
          </w:p>
        </w:tc>
        <w:tc>
          <w:tcPr>
            <w:tcW w:w="749" w:type="dxa"/>
            <w:noWrap w:val="0"/>
            <w:vAlign w:val="center"/>
          </w:tcPr>
          <w:p w14:paraId="51DAA54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F19C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20F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2558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7F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DA3DB0">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84392A3">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08636406">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60D94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E695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B04D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DA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774682">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5BFE9E74">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厚…mm （混凝土弯拉强度…MPa）</w:t>
            </w:r>
          </w:p>
        </w:tc>
        <w:tc>
          <w:tcPr>
            <w:tcW w:w="749" w:type="dxa"/>
            <w:noWrap w:val="0"/>
            <w:vAlign w:val="center"/>
          </w:tcPr>
          <w:p w14:paraId="0878CBE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49312E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8005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D889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2F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341843">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312-2</w:t>
            </w:r>
          </w:p>
        </w:tc>
        <w:tc>
          <w:tcPr>
            <w:tcW w:w="4732" w:type="dxa"/>
            <w:noWrap w:val="0"/>
            <w:vAlign w:val="center"/>
          </w:tcPr>
          <w:p w14:paraId="2695D8DC">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749" w:type="dxa"/>
            <w:noWrap w:val="0"/>
            <w:vAlign w:val="center"/>
          </w:tcPr>
          <w:p w14:paraId="4B503C15">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F4AD9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5EEA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74E8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2F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F6352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BFA0D06">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center"/>
          </w:tcPr>
          <w:p w14:paraId="0378C35C">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099D8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8264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08E99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077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C08BED">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792664D">
            <w:pPr>
              <w:pageBreakBefore w:val="0"/>
              <w:kinsoku/>
              <w:wordWrap w:val="0"/>
              <w:autoSpaceDE w:val="0"/>
              <w:autoSpaceDN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center"/>
          </w:tcPr>
          <w:p w14:paraId="5BAFF259">
            <w:pPr>
              <w:pageBreakBefore w:val="0"/>
              <w:kinsoku/>
              <w:wordWrap w:val="0"/>
              <w:autoSpaceDE w:val="0"/>
              <w:autoSpaceDN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0371BC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0F5F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40DEC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88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60A4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313</w:t>
            </w:r>
          </w:p>
        </w:tc>
        <w:tc>
          <w:tcPr>
            <w:tcW w:w="4732" w:type="dxa"/>
            <w:noWrap w:val="0"/>
            <w:vAlign w:val="center"/>
          </w:tcPr>
          <w:p w14:paraId="38F1E62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路肩培土、中央分隔带回填土、土路肩加固及路缘石</w:t>
            </w:r>
          </w:p>
        </w:tc>
        <w:tc>
          <w:tcPr>
            <w:tcW w:w="749" w:type="dxa"/>
            <w:noWrap w:val="0"/>
            <w:vAlign w:val="top"/>
          </w:tcPr>
          <w:p w14:paraId="69BB6C5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733739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2D8A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2F5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01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E90BE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313-1</w:t>
            </w:r>
          </w:p>
        </w:tc>
        <w:tc>
          <w:tcPr>
            <w:tcW w:w="4732" w:type="dxa"/>
            <w:noWrap w:val="0"/>
            <w:vAlign w:val="top"/>
          </w:tcPr>
          <w:p w14:paraId="18900AE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路肩培土</w:t>
            </w:r>
          </w:p>
        </w:tc>
        <w:tc>
          <w:tcPr>
            <w:tcW w:w="749" w:type="dxa"/>
            <w:noWrap w:val="0"/>
            <w:vAlign w:val="top"/>
          </w:tcPr>
          <w:p w14:paraId="0171219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CA30E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9330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E6E7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C1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E9B409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313-2</w:t>
            </w:r>
          </w:p>
        </w:tc>
        <w:tc>
          <w:tcPr>
            <w:tcW w:w="4732" w:type="dxa"/>
            <w:noWrap w:val="0"/>
            <w:vAlign w:val="top"/>
          </w:tcPr>
          <w:p w14:paraId="4ED896B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中央分隔带回填土</w:t>
            </w:r>
          </w:p>
        </w:tc>
        <w:tc>
          <w:tcPr>
            <w:tcW w:w="749" w:type="dxa"/>
            <w:noWrap w:val="0"/>
            <w:vAlign w:val="top"/>
          </w:tcPr>
          <w:p w14:paraId="331F144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7578A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F4DF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9D4FE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27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5EE8F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313-3</w:t>
            </w:r>
          </w:p>
        </w:tc>
        <w:tc>
          <w:tcPr>
            <w:tcW w:w="4732" w:type="dxa"/>
            <w:noWrap w:val="0"/>
            <w:vAlign w:val="top"/>
          </w:tcPr>
          <w:p w14:paraId="12E336F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现浇混凝土加固土路肩</w:t>
            </w:r>
          </w:p>
        </w:tc>
        <w:tc>
          <w:tcPr>
            <w:tcW w:w="749" w:type="dxa"/>
            <w:noWrap w:val="0"/>
            <w:vAlign w:val="top"/>
          </w:tcPr>
          <w:p w14:paraId="72AD3FE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7536BA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D05B7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3157C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8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40E70B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313-4</w:t>
            </w:r>
          </w:p>
        </w:tc>
        <w:tc>
          <w:tcPr>
            <w:tcW w:w="4732" w:type="dxa"/>
            <w:noWrap w:val="0"/>
            <w:vAlign w:val="top"/>
          </w:tcPr>
          <w:p w14:paraId="671B4FD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混凝土预制块加固土路肩</w:t>
            </w:r>
          </w:p>
        </w:tc>
        <w:tc>
          <w:tcPr>
            <w:tcW w:w="749" w:type="dxa"/>
            <w:noWrap w:val="0"/>
            <w:vAlign w:val="top"/>
          </w:tcPr>
          <w:p w14:paraId="5ABA7F1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D0787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8D84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AC98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07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1AA3B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313-5</w:t>
            </w:r>
          </w:p>
        </w:tc>
        <w:tc>
          <w:tcPr>
            <w:tcW w:w="4732" w:type="dxa"/>
            <w:noWrap w:val="0"/>
            <w:vAlign w:val="top"/>
          </w:tcPr>
          <w:p w14:paraId="1C99187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混凝土预制块路缘石</w:t>
            </w:r>
          </w:p>
        </w:tc>
        <w:tc>
          <w:tcPr>
            <w:tcW w:w="749" w:type="dxa"/>
            <w:noWrap w:val="0"/>
            <w:vAlign w:val="top"/>
          </w:tcPr>
          <w:p w14:paraId="55033B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8A72C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89E4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EAB8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E2A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76AF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314</w:t>
            </w:r>
          </w:p>
        </w:tc>
        <w:tc>
          <w:tcPr>
            <w:tcW w:w="4732" w:type="dxa"/>
            <w:noWrap w:val="0"/>
            <w:vAlign w:val="center"/>
          </w:tcPr>
          <w:p w14:paraId="1B02D7C1">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路面及中央分隔带排水</w:t>
            </w:r>
          </w:p>
        </w:tc>
        <w:tc>
          <w:tcPr>
            <w:tcW w:w="749" w:type="dxa"/>
            <w:noWrap w:val="0"/>
            <w:vAlign w:val="center"/>
          </w:tcPr>
          <w:p w14:paraId="07945EB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513CD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35AB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A466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48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7B82D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314-1</w:t>
            </w:r>
          </w:p>
        </w:tc>
        <w:tc>
          <w:tcPr>
            <w:tcW w:w="4732" w:type="dxa"/>
            <w:noWrap w:val="0"/>
            <w:vAlign w:val="center"/>
          </w:tcPr>
          <w:p w14:paraId="6C02347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排水管</w:t>
            </w:r>
          </w:p>
        </w:tc>
        <w:tc>
          <w:tcPr>
            <w:tcW w:w="749" w:type="dxa"/>
            <w:noWrap w:val="0"/>
            <w:vAlign w:val="center"/>
          </w:tcPr>
          <w:p w14:paraId="7E56B1A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50F65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1346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F9F6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D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E4F7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314-2</w:t>
            </w:r>
          </w:p>
        </w:tc>
        <w:tc>
          <w:tcPr>
            <w:tcW w:w="4732" w:type="dxa"/>
            <w:noWrap w:val="0"/>
            <w:vAlign w:val="center"/>
          </w:tcPr>
          <w:p w14:paraId="31D2EA8B">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纵向雨水沟（管）</w:t>
            </w:r>
          </w:p>
        </w:tc>
        <w:tc>
          <w:tcPr>
            <w:tcW w:w="749" w:type="dxa"/>
            <w:noWrap w:val="0"/>
            <w:vAlign w:val="center"/>
          </w:tcPr>
          <w:p w14:paraId="0256A67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B0255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DD41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F1260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D0B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72BA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314-3</w:t>
            </w:r>
          </w:p>
        </w:tc>
        <w:tc>
          <w:tcPr>
            <w:tcW w:w="4732" w:type="dxa"/>
            <w:noWrap w:val="0"/>
            <w:vAlign w:val="center"/>
          </w:tcPr>
          <w:p w14:paraId="329F8B5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集水井 </w:t>
            </w:r>
          </w:p>
        </w:tc>
        <w:tc>
          <w:tcPr>
            <w:tcW w:w="749" w:type="dxa"/>
            <w:noWrap w:val="0"/>
            <w:vAlign w:val="center"/>
          </w:tcPr>
          <w:p w14:paraId="1234EC0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3981A9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7B430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27F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37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ECEEC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314-4</w:t>
            </w:r>
          </w:p>
        </w:tc>
        <w:tc>
          <w:tcPr>
            <w:tcW w:w="4732" w:type="dxa"/>
            <w:noWrap w:val="0"/>
            <w:vAlign w:val="center"/>
          </w:tcPr>
          <w:p w14:paraId="7E91141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中央分隔带渗沟</w:t>
            </w:r>
          </w:p>
        </w:tc>
        <w:tc>
          <w:tcPr>
            <w:tcW w:w="749" w:type="dxa"/>
            <w:noWrap w:val="0"/>
            <w:vAlign w:val="center"/>
          </w:tcPr>
          <w:p w14:paraId="162A239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1A350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9071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9AD9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79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9A41C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314-5</w:t>
            </w:r>
          </w:p>
        </w:tc>
        <w:tc>
          <w:tcPr>
            <w:tcW w:w="4732" w:type="dxa"/>
            <w:noWrap w:val="0"/>
            <w:vAlign w:val="center"/>
          </w:tcPr>
          <w:p w14:paraId="43B58FDF">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沥青油毡防水层</w:t>
            </w:r>
          </w:p>
        </w:tc>
        <w:tc>
          <w:tcPr>
            <w:tcW w:w="749" w:type="dxa"/>
            <w:noWrap w:val="0"/>
            <w:vAlign w:val="top"/>
          </w:tcPr>
          <w:p w14:paraId="53B04DF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BF11B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7EA60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7246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54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E835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314-6</w:t>
            </w:r>
          </w:p>
        </w:tc>
        <w:tc>
          <w:tcPr>
            <w:tcW w:w="4732" w:type="dxa"/>
            <w:noWrap w:val="0"/>
            <w:vAlign w:val="center"/>
          </w:tcPr>
          <w:p w14:paraId="46574F8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路肩排水沟</w:t>
            </w:r>
          </w:p>
        </w:tc>
        <w:tc>
          <w:tcPr>
            <w:tcW w:w="749" w:type="dxa"/>
            <w:noWrap w:val="0"/>
            <w:vAlign w:val="center"/>
          </w:tcPr>
          <w:p w14:paraId="591915A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D9371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A94D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BE2F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6C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F94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314-7</w:t>
            </w:r>
          </w:p>
        </w:tc>
        <w:tc>
          <w:tcPr>
            <w:tcW w:w="4732" w:type="dxa"/>
            <w:noWrap w:val="0"/>
            <w:vAlign w:val="center"/>
          </w:tcPr>
          <w:p w14:paraId="75EA70A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拦水带</w:t>
            </w:r>
          </w:p>
        </w:tc>
        <w:tc>
          <w:tcPr>
            <w:tcW w:w="749" w:type="dxa"/>
            <w:noWrap w:val="0"/>
            <w:vAlign w:val="center"/>
          </w:tcPr>
          <w:p w14:paraId="20BF7D1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1238F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75296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AAFE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7D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F520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29FEB61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沥青混凝土拦水带</w:t>
            </w:r>
          </w:p>
        </w:tc>
        <w:tc>
          <w:tcPr>
            <w:tcW w:w="749" w:type="dxa"/>
            <w:noWrap w:val="0"/>
            <w:vAlign w:val="center"/>
          </w:tcPr>
          <w:p w14:paraId="3F3597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596EEBF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469F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0640E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50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D76FF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center"/>
          </w:tcPr>
          <w:p w14:paraId="5CCD956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水泥混凝土拦水带</w:t>
            </w:r>
          </w:p>
        </w:tc>
        <w:tc>
          <w:tcPr>
            <w:tcW w:w="749" w:type="dxa"/>
            <w:noWrap w:val="0"/>
            <w:vAlign w:val="center"/>
          </w:tcPr>
          <w:p w14:paraId="4754822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E16FB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0FA0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ABFA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7D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CCF6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EAD695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0DBBA3E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0DAB9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36CF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79497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1AE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7189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FE5387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1997BD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EEDEA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3790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5814B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F2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7E1F135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清单第300章合计  人民币</w:t>
            </w:r>
            <w:r>
              <w:rPr>
                <w:rFonts w:hint="default" w:ascii="Times New Roman" w:hAnsi="Times New Roman" w:cs="Times New Roman"/>
                <w:bCs/>
                <w:color w:val="auto"/>
                <w:kern w:val="0"/>
                <w:szCs w:val="21"/>
                <w:highlight w:val="none"/>
                <w:u w:val="single"/>
              </w:rPr>
              <w:t xml:space="preserve">                    </w:t>
            </w:r>
          </w:p>
        </w:tc>
      </w:tr>
    </w:tbl>
    <w:p w14:paraId="0B370D37">
      <w:pPr>
        <w:pageBreakBefore w:val="0"/>
        <w:widowControl/>
        <w:kinsoku/>
        <w:wordWrap w:val="0"/>
        <w:bidi w:val="0"/>
        <w:spacing w:line="360" w:lineRule="atLeast"/>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EB0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1C8CCD5">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2023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490594F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4ED792B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094A672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6B6D5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3C019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2DA2C6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2E9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B8189D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w:t>
            </w:r>
          </w:p>
        </w:tc>
        <w:tc>
          <w:tcPr>
            <w:tcW w:w="4732" w:type="dxa"/>
            <w:tcBorders>
              <w:top w:val="single" w:color="auto" w:sz="4" w:space="0"/>
              <w:left w:val="single" w:color="auto" w:sz="4" w:space="0"/>
              <w:right w:val="single" w:color="auto" w:sz="4" w:space="0"/>
            </w:tcBorders>
            <w:noWrap w:val="0"/>
            <w:vAlign w:val="center"/>
          </w:tcPr>
          <w:p w14:paraId="2EB6A21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通则</w:t>
            </w:r>
          </w:p>
        </w:tc>
        <w:tc>
          <w:tcPr>
            <w:tcW w:w="749" w:type="dxa"/>
            <w:tcBorders>
              <w:top w:val="single" w:color="auto" w:sz="4" w:space="0"/>
              <w:left w:val="single" w:color="auto" w:sz="4" w:space="0"/>
              <w:right w:val="single" w:color="auto" w:sz="4" w:space="0"/>
            </w:tcBorders>
            <w:noWrap w:val="0"/>
            <w:vAlign w:val="top"/>
          </w:tcPr>
          <w:p w14:paraId="1D22C55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28479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4B9C3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E1C6EA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EF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3CFC059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1-1</w:t>
            </w:r>
          </w:p>
        </w:tc>
        <w:tc>
          <w:tcPr>
            <w:tcW w:w="4732" w:type="dxa"/>
            <w:tcBorders>
              <w:top w:val="single" w:color="auto" w:sz="4" w:space="0"/>
              <w:left w:val="single" w:color="auto" w:sz="4" w:space="0"/>
              <w:right w:val="single" w:color="auto" w:sz="4" w:space="0"/>
            </w:tcBorders>
            <w:noWrap w:val="0"/>
            <w:vAlign w:val="top"/>
          </w:tcPr>
          <w:p w14:paraId="3A1018A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桥梁荷载试验（暂估价）</w:t>
            </w:r>
          </w:p>
        </w:tc>
        <w:tc>
          <w:tcPr>
            <w:tcW w:w="749" w:type="dxa"/>
            <w:tcBorders>
              <w:top w:val="single" w:color="auto" w:sz="4" w:space="0"/>
              <w:left w:val="single" w:color="auto" w:sz="4" w:space="0"/>
              <w:right w:val="single" w:color="auto" w:sz="4" w:space="0"/>
            </w:tcBorders>
            <w:noWrap w:val="0"/>
            <w:vAlign w:val="top"/>
          </w:tcPr>
          <w:p w14:paraId="593E877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tcBorders>
              <w:top w:val="single" w:color="auto" w:sz="4" w:space="0"/>
              <w:left w:val="single" w:color="auto" w:sz="4" w:space="0"/>
              <w:right w:val="single" w:color="auto" w:sz="4" w:space="0"/>
            </w:tcBorders>
            <w:noWrap w:val="0"/>
            <w:vAlign w:val="center"/>
          </w:tcPr>
          <w:p w14:paraId="7865BA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4F4C9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FADEC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F1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406AB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401-2</w:t>
            </w:r>
          </w:p>
        </w:tc>
        <w:tc>
          <w:tcPr>
            <w:tcW w:w="4732" w:type="dxa"/>
            <w:noWrap w:val="0"/>
            <w:vAlign w:val="center"/>
          </w:tcPr>
          <w:p w14:paraId="2838D5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桥梁施工监控（</w:t>
            </w:r>
            <w:r>
              <w:rPr>
                <w:rFonts w:hint="default" w:ascii="Times New Roman" w:hAnsi="Times New Roman" w:cs="Times New Roman"/>
                <w:color w:val="auto"/>
                <w:kern w:val="0"/>
                <w:szCs w:val="21"/>
                <w:highlight w:val="none"/>
              </w:rPr>
              <w:t>暂估价</w:t>
            </w:r>
            <w:r>
              <w:rPr>
                <w:rFonts w:hint="default" w:ascii="Times New Roman" w:hAnsi="Times New Roman" w:cs="Times New Roman"/>
                <w:color w:val="auto"/>
                <w:szCs w:val="21"/>
                <w:highlight w:val="none"/>
              </w:rPr>
              <w:t>）</w:t>
            </w:r>
          </w:p>
        </w:tc>
        <w:tc>
          <w:tcPr>
            <w:tcW w:w="749" w:type="dxa"/>
            <w:noWrap w:val="0"/>
            <w:vAlign w:val="center"/>
          </w:tcPr>
          <w:p w14:paraId="052D5DE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总额</w:t>
            </w:r>
          </w:p>
        </w:tc>
        <w:tc>
          <w:tcPr>
            <w:tcW w:w="837" w:type="dxa"/>
            <w:noWrap w:val="0"/>
            <w:vAlign w:val="center"/>
          </w:tcPr>
          <w:p w14:paraId="3FD0F0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F6A5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73B3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E2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1D0C61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40</w:t>
            </w:r>
            <w:r>
              <w:rPr>
                <w:rFonts w:hint="default" w:ascii="Times New Roman" w:hAnsi="Times New Roman" w:cs="Times New Roman"/>
                <w:color w:val="auto"/>
                <w:szCs w:val="21"/>
                <w:highlight w:val="none"/>
              </w:rPr>
              <w:t>1-3</w:t>
            </w:r>
          </w:p>
        </w:tc>
        <w:tc>
          <w:tcPr>
            <w:tcW w:w="4732" w:type="dxa"/>
            <w:noWrap w:val="0"/>
            <w:vAlign w:val="top"/>
          </w:tcPr>
          <w:p w14:paraId="36F8A23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地质钻探及取样试验（暂定工程量）</w:t>
            </w:r>
          </w:p>
        </w:tc>
        <w:tc>
          <w:tcPr>
            <w:tcW w:w="749" w:type="dxa"/>
            <w:noWrap w:val="0"/>
            <w:vAlign w:val="top"/>
          </w:tcPr>
          <w:p w14:paraId="1A86B6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35AD8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33D0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4194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CC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71951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C040F8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Ф70mm</w:t>
            </w:r>
          </w:p>
        </w:tc>
        <w:tc>
          <w:tcPr>
            <w:tcW w:w="749" w:type="dxa"/>
            <w:noWrap w:val="0"/>
            <w:vAlign w:val="top"/>
          </w:tcPr>
          <w:p w14:paraId="719F37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4F2CDF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36B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2C084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4D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F421F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EEC1F7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Ф110mm</w:t>
            </w:r>
          </w:p>
        </w:tc>
        <w:tc>
          <w:tcPr>
            <w:tcW w:w="749" w:type="dxa"/>
            <w:noWrap w:val="0"/>
            <w:vAlign w:val="top"/>
          </w:tcPr>
          <w:p w14:paraId="528ACA6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65C0A1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1C88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09F72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56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57C5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403</w:t>
            </w:r>
          </w:p>
        </w:tc>
        <w:tc>
          <w:tcPr>
            <w:tcW w:w="4732" w:type="dxa"/>
            <w:noWrap w:val="0"/>
            <w:vAlign w:val="center"/>
          </w:tcPr>
          <w:p w14:paraId="5411A27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top"/>
          </w:tcPr>
          <w:p w14:paraId="65D38059">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0C03B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A277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CA83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67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5C669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403-1</w:t>
            </w:r>
          </w:p>
        </w:tc>
        <w:tc>
          <w:tcPr>
            <w:tcW w:w="4732" w:type="dxa"/>
            <w:noWrap w:val="0"/>
            <w:vAlign w:val="center"/>
          </w:tcPr>
          <w:p w14:paraId="301390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基础钢筋（含灌注桩、承台、桩系梁、沉桩、沉井等）</w:t>
            </w:r>
          </w:p>
        </w:tc>
        <w:tc>
          <w:tcPr>
            <w:tcW w:w="749" w:type="dxa"/>
            <w:noWrap w:val="0"/>
            <w:vAlign w:val="top"/>
          </w:tcPr>
          <w:p w14:paraId="61A6C86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9DAA63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372A4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C8BDE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9F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9DEE0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F7EDCA4">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059325B4">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91F81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76CA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353EB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2D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FE85D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1AF78B1">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4886D52C">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11F760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E2EF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28A4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35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D1DFA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403-2</w:t>
            </w:r>
          </w:p>
        </w:tc>
        <w:tc>
          <w:tcPr>
            <w:tcW w:w="4732" w:type="dxa"/>
            <w:noWrap w:val="0"/>
            <w:vAlign w:val="top"/>
          </w:tcPr>
          <w:p w14:paraId="4E8C07DC">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下部结构钢筋</w:t>
            </w:r>
          </w:p>
        </w:tc>
        <w:tc>
          <w:tcPr>
            <w:tcW w:w="749" w:type="dxa"/>
            <w:noWrap w:val="0"/>
            <w:vAlign w:val="top"/>
          </w:tcPr>
          <w:p w14:paraId="7037B99C">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BE9CA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D201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F72E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A9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36EF00">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8A0ACAB">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5A8F74D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11F0F5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C1521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AAAA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68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F55C4">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89C7B0D">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336FC2C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7799ED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A8EE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8F2A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4A3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478798">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403-3</w:t>
            </w:r>
          </w:p>
        </w:tc>
        <w:tc>
          <w:tcPr>
            <w:tcW w:w="4732" w:type="dxa"/>
            <w:noWrap w:val="0"/>
            <w:vAlign w:val="top"/>
          </w:tcPr>
          <w:p w14:paraId="0855D60C">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上部结构钢筋</w:t>
            </w:r>
          </w:p>
        </w:tc>
        <w:tc>
          <w:tcPr>
            <w:tcW w:w="749" w:type="dxa"/>
            <w:noWrap w:val="0"/>
            <w:vAlign w:val="top"/>
          </w:tcPr>
          <w:p w14:paraId="3C414617">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31761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3DDE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9C66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BED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A60F0F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FCB3477">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16E2E98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522E8D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B1E0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C5AD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87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63ABA0A">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504F6A82">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7671922A">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484AB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2771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6B4A37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47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6F26D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403-4</w:t>
            </w:r>
          </w:p>
        </w:tc>
        <w:tc>
          <w:tcPr>
            <w:tcW w:w="4732" w:type="dxa"/>
            <w:noWrap w:val="0"/>
            <w:vAlign w:val="top"/>
          </w:tcPr>
          <w:p w14:paraId="69BEE710">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附属结构钢筋</w:t>
            </w:r>
          </w:p>
        </w:tc>
        <w:tc>
          <w:tcPr>
            <w:tcW w:w="749" w:type="dxa"/>
            <w:noWrap w:val="0"/>
            <w:vAlign w:val="top"/>
          </w:tcPr>
          <w:p w14:paraId="1B833F7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22A48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900ED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BA532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4B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top"/>
          </w:tcPr>
          <w:p w14:paraId="04729AB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0B516BCE">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光圆钢筋（HPB235、HPB300）</w:t>
            </w:r>
          </w:p>
        </w:tc>
        <w:tc>
          <w:tcPr>
            <w:tcW w:w="749" w:type="dxa"/>
            <w:noWrap w:val="0"/>
            <w:vAlign w:val="top"/>
          </w:tcPr>
          <w:p w14:paraId="5B36E23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FB94A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706E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046A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B59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AC3412">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D33819B">
            <w:pPr>
              <w:pageBreakBefore w:val="0"/>
              <w:kinsoku/>
              <w:wordWrap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带肋钢筋（HRB335、HRB400）</w:t>
            </w:r>
          </w:p>
        </w:tc>
        <w:tc>
          <w:tcPr>
            <w:tcW w:w="749" w:type="dxa"/>
            <w:noWrap w:val="0"/>
            <w:vAlign w:val="top"/>
          </w:tcPr>
          <w:p w14:paraId="5E19A6F5">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kg</w:t>
            </w:r>
          </w:p>
        </w:tc>
        <w:tc>
          <w:tcPr>
            <w:tcW w:w="837" w:type="dxa"/>
            <w:noWrap w:val="0"/>
            <w:vAlign w:val="center"/>
          </w:tcPr>
          <w:p w14:paraId="67C176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426DD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3E125A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5E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E08E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404</w:t>
            </w:r>
          </w:p>
        </w:tc>
        <w:tc>
          <w:tcPr>
            <w:tcW w:w="4732" w:type="dxa"/>
            <w:noWrap w:val="0"/>
            <w:vAlign w:val="center"/>
          </w:tcPr>
          <w:p w14:paraId="13A93B3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基坑开挖及回填</w:t>
            </w:r>
          </w:p>
        </w:tc>
        <w:tc>
          <w:tcPr>
            <w:tcW w:w="749" w:type="dxa"/>
            <w:noWrap w:val="0"/>
            <w:vAlign w:val="top"/>
          </w:tcPr>
          <w:p w14:paraId="2D79032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16663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3371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D7F9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2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AEA52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404-1</w:t>
            </w:r>
          </w:p>
        </w:tc>
        <w:tc>
          <w:tcPr>
            <w:tcW w:w="4732" w:type="dxa"/>
            <w:noWrap w:val="0"/>
            <w:vAlign w:val="top"/>
          </w:tcPr>
          <w:p w14:paraId="1BFE3CA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干处挖土方</w:t>
            </w:r>
          </w:p>
        </w:tc>
        <w:tc>
          <w:tcPr>
            <w:tcW w:w="749" w:type="dxa"/>
            <w:noWrap w:val="0"/>
            <w:vAlign w:val="top"/>
          </w:tcPr>
          <w:p w14:paraId="3FFAD3B1">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DE848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2DC7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9DE1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1A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0152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404-2</w:t>
            </w:r>
          </w:p>
        </w:tc>
        <w:tc>
          <w:tcPr>
            <w:tcW w:w="4732" w:type="dxa"/>
            <w:noWrap w:val="0"/>
            <w:vAlign w:val="top"/>
          </w:tcPr>
          <w:p w14:paraId="0E02181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水下挖土方</w:t>
            </w:r>
          </w:p>
        </w:tc>
        <w:tc>
          <w:tcPr>
            <w:tcW w:w="749" w:type="dxa"/>
            <w:noWrap w:val="0"/>
            <w:vAlign w:val="top"/>
          </w:tcPr>
          <w:p w14:paraId="6FD9A3B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025BD0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5C6D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C4C7F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2DC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97C2DE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404-3</w:t>
            </w:r>
          </w:p>
        </w:tc>
        <w:tc>
          <w:tcPr>
            <w:tcW w:w="4732" w:type="dxa"/>
            <w:noWrap w:val="0"/>
            <w:vAlign w:val="top"/>
          </w:tcPr>
          <w:p w14:paraId="6EDE7A1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干处挖石方</w:t>
            </w:r>
          </w:p>
        </w:tc>
        <w:tc>
          <w:tcPr>
            <w:tcW w:w="749" w:type="dxa"/>
            <w:noWrap w:val="0"/>
            <w:vAlign w:val="top"/>
          </w:tcPr>
          <w:p w14:paraId="1EDC444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E33BE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CB0E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3CB3D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748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A4019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404-4</w:t>
            </w:r>
          </w:p>
        </w:tc>
        <w:tc>
          <w:tcPr>
            <w:tcW w:w="4732" w:type="dxa"/>
            <w:noWrap w:val="0"/>
            <w:vAlign w:val="top"/>
          </w:tcPr>
          <w:p w14:paraId="0716126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水下挖石方</w:t>
            </w:r>
          </w:p>
        </w:tc>
        <w:tc>
          <w:tcPr>
            <w:tcW w:w="749" w:type="dxa"/>
            <w:noWrap w:val="0"/>
            <w:vAlign w:val="top"/>
          </w:tcPr>
          <w:p w14:paraId="438004D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FD989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CDAB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43F4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41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36188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w:t>
            </w:r>
          </w:p>
        </w:tc>
        <w:tc>
          <w:tcPr>
            <w:tcW w:w="4732" w:type="dxa"/>
            <w:noWrap w:val="0"/>
            <w:vAlign w:val="center"/>
          </w:tcPr>
          <w:p w14:paraId="4DFC144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top"/>
          </w:tcPr>
          <w:p w14:paraId="307C919D">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6C596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1A50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88221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FE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C7D4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405-1</w:t>
            </w:r>
          </w:p>
        </w:tc>
        <w:tc>
          <w:tcPr>
            <w:tcW w:w="4732" w:type="dxa"/>
            <w:noWrap w:val="0"/>
            <w:vAlign w:val="center"/>
          </w:tcPr>
          <w:p w14:paraId="7ABC8099">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钻孔灌注桩</w:t>
            </w:r>
          </w:p>
        </w:tc>
        <w:tc>
          <w:tcPr>
            <w:tcW w:w="749" w:type="dxa"/>
            <w:noWrap w:val="0"/>
            <w:vAlign w:val="center"/>
          </w:tcPr>
          <w:p w14:paraId="6CC0F316">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3DC7CC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7F18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949DA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6D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15B0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987DE1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陆上钻孔灌注桩</w:t>
            </w:r>
          </w:p>
        </w:tc>
        <w:tc>
          <w:tcPr>
            <w:tcW w:w="749" w:type="dxa"/>
            <w:noWrap w:val="0"/>
            <w:vAlign w:val="center"/>
          </w:tcPr>
          <w:p w14:paraId="7A4E2DD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C6F6B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2F71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702B5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45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BC372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85A890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水中钻孔灌注桩</w:t>
            </w:r>
          </w:p>
        </w:tc>
        <w:tc>
          <w:tcPr>
            <w:tcW w:w="749" w:type="dxa"/>
            <w:noWrap w:val="0"/>
            <w:vAlign w:val="center"/>
          </w:tcPr>
          <w:p w14:paraId="1AA198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32061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72E9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B867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85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67C18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405-2</w:t>
            </w:r>
          </w:p>
        </w:tc>
        <w:tc>
          <w:tcPr>
            <w:tcW w:w="4732" w:type="dxa"/>
            <w:noWrap w:val="0"/>
            <w:vAlign w:val="center"/>
          </w:tcPr>
          <w:p w14:paraId="584FC05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25D157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94DBE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05F4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3D979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F6D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26C6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405-3</w:t>
            </w:r>
          </w:p>
        </w:tc>
        <w:tc>
          <w:tcPr>
            <w:tcW w:w="4732" w:type="dxa"/>
            <w:noWrap w:val="0"/>
            <w:vAlign w:val="center"/>
          </w:tcPr>
          <w:p w14:paraId="02046FE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7E8F5F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EDC480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2F0A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4CAE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8C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5244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406</w:t>
            </w:r>
          </w:p>
        </w:tc>
        <w:tc>
          <w:tcPr>
            <w:tcW w:w="4732" w:type="dxa"/>
            <w:noWrap w:val="0"/>
            <w:vAlign w:val="center"/>
          </w:tcPr>
          <w:p w14:paraId="0F027AF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沉桩</w:t>
            </w:r>
          </w:p>
        </w:tc>
        <w:tc>
          <w:tcPr>
            <w:tcW w:w="749" w:type="dxa"/>
            <w:noWrap w:val="0"/>
            <w:vAlign w:val="center"/>
          </w:tcPr>
          <w:p w14:paraId="7748F59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1BC1F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42B1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385E6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AB9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6A085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406-1</w:t>
            </w:r>
          </w:p>
        </w:tc>
        <w:tc>
          <w:tcPr>
            <w:tcW w:w="4732" w:type="dxa"/>
            <w:noWrap w:val="0"/>
            <w:vAlign w:val="center"/>
          </w:tcPr>
          <w:p w14:paraId="39FF693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钢筋混凝土沉桩</w:t>
            </w:r>
          </w:p>
        </w:tc>
        <w:tc>
          <w:tcPr>
            <w:tcW w:w="749" w:type="dxa"/>
            <w:noWrap w:val="0"/>
            <w:vAlign w:val="center"/>
          </w:tcPr>
          <w:p w14:paraId="5A028E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49634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EE13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D004D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8F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00E29E9C">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第400章   桥梁、涵洞</w:t>
            </w:r>
          </w:p>
        </w:tc>
      </w:tr>
      <w:tr w14:paraId="2F60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7EC4B2DF">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0C559B0">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1C916697">
            <w:pPr>
              <w:pageBreakBefore w:val="0"/>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217EF7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B30609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33514E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D02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C468F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406-2</w:t>
            </w:r>
          </w:p>
        </w:tc>
        <w:tc>
          <w:tcPr>
            <w:tcW w:w="4732" w:type="dxa"/>
            <w:noWrap w:val="0"/>
            <w:vAlign w:val="center"/>
          </w:tcPr>
          <w:p w14:paraId="064E514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预应力混凝土沉桩</w:t>
            </w:r>
          </w:p>
        </w:tc>
        <w:tc>
          <w:tcPr>
            <w:tcW w:w="749" w:type="dxa"/>
            <w:noWrap w:val="0"/>
            <w:vAlign w:val="center"/>
          </w:tcPr>
          <w:p w14:paraId="030CA2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D54AC0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49D60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5A14E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DC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98E0C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406-3</w:t>
            </w:r>
          </w:p>
        </w:tc>
        <w:tc>
          <w:tcPr>
            <w:tcW w:w="4732" w:type="dxa"/>
            <w:noWrap w:val="0"/>
            <w:vAlign w:val="center"/>
          </w:tcPr>
          <w:p w14:paraId="42284FD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试桩（暂定工程量）</w:t>
            </w:r>
          </w:p>
        </w:tc>
        <w:tc>
          <w:tcPr>
            <w:tcW w:w="749" w:type="dxa"/>
            <w:noWrap w:val="0"/>
            <w:vAlign w:val="center"/>
          </w:tcPr>
          <w:p w14:paraId="1533FE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D11B6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80A3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6665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1E4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AFAED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407</w:t>
            </w:r>
          </w:p>
        </w:tc>
        <w:tc>
          <w:tcPr>
            <w:tcW w:w="4732" w:type="dxa"/>
            <w:noWrap w:val="0"/>
            <w:vAlign w:val="center"/>
          </w:tcPr>
          <w:p w14:paraId="6574BF4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top"/>
          </w:tcPr>
          <w:p w14:paraId="682AB49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B4781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DB66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8EF2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919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741A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407-1</w:t>
            </w:r>
          </w:p>
        </w:tc>
        <w:tc>
          <w:tcPr>
            <w:tcW w:w="4732" w:type="dxa"/>
            <w:noWrap w:val="0"/>
            <w:vAlign w:val="center"/>
          </w:tcPr>
          <w:p w14:paraId="106826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挖孔灌注桩</w:t>
            </w:r>
          </w:p>
        </w:tc>
        <w:tc>
          <w:tcPr>
            <w:tcW w:w="749" w:type="dxa"/>
            <w:noWrap w:val="0"/>
            <w:vAlign w:val="center"/>
          </w:tcPr>
          <w:p w14:paraId="0B5A48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A1422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1A09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BCE63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77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64DB8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407-2</w:t>
            </w:r>
          </w:p>
        </w:tc>
        <w:tc>
          <w:tcPr>
            <w:tcW w:w="4732" w:type="dxa"/>
            <w:noWrap w:val="0"/>
            <w:vAlign w:val="center"/>
          </w:tcPr>
          <w:p w14:paraId="626B117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钻取混凝土芯样检测（暂定工程量）</w:t>
            </w:r>
          </w:p>
        </w:tc>
        <w:tc>
          <w:tcPr>
            <w:tcW w:w="749" w:type="dxa"/>
            <w:noWrap w:val="0"/>
            <w:vAlign w:val="center"/>
          </w:tcPr>
          <w:p w14:paraId="4504FF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7A043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61E6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7E302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8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DB63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407-3</w:t>
            </w:r>
          </w:p>
        </w:tc>
        <w:tc>
          <w:tcPr>
            <w:tcW w:w="4732" w:type="dxa"/>
            <w:noWrap w:val="0"/>
            <w:vAlign w:val="center"/>
          </w:tcPr>
          <w:p w14:paraId="65BB044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破坏荷载试验用桩（暂定工程量）</w:t>
            </w:r>
          </w:p>
        </w:tc>
        <w:tc>
          <w:tcPr>
            <w:tcW w:w="749" w:type="dxa"/>
            <w:noWrap w:val="0"/>
            <w:vAlign w:val="center"/>
          </w:tcPr>
          <w:p w14:paraId="7704DF1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F0197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BD1E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D5A4E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52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E2D4B9">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408</w:t>
            </w:r>
          </w:p>
        </w:tc>
        <w:tc>
          <w:tcPr>
            <w:tcW w:w="4732" w:type="dxa"/>
            <w:noWrap w:val="0"/>
            <w:vAlign w:val="center"/>
          </w:tcPr>
          <w:p w14:paraId="34A4018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桩的垂直静荷载试验</w:t>
            </w:r>
          </w:p>
        </w:tc>
        <w:tc>
          <w:tcPr>
            <w:tcW w:w="749" w:type="dxa"/>
            <w:noWrap w:val="0"/>
            <w:vAlign w:val="top"/>
          </w:tcPr>
          <w:p w14:paraId="783E483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12A8FF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EC5C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0BB6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F3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45A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408-1</w:t>
            </w:r>
          </w:p>
        </w:tc>
        <w:tc>
          <w:tcPr>
            <w:tcW w:w="4732" w:type="dxa"/>
            <w:noWrap w:val="0"/>
            <w:vAlign w:val="center"/>
          </w:tcPr>
          <w:p w14:paraId="6F8094C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桩的检验荷载试验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0CE8631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3D969F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5A153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EE084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804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E900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408-2</w:t>
            </w:r>
          </w:p>
        </w:tc>
        <w:tc>
          <w:tcPr>
            <w:tcW w:w="4732" w:type="dxa"/>
            <w:noWrap w:val="0"/>
            <w:vAlign w:val="center"/>
          </w:tcPr>
          <w:p w14:paraId="1C5EDBA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桩的破坏荷载试验</w:t>
            </w:r>
            <w:r>
              <w:rPr>
                <w:rFonts w:hint="default" w:ascii="Times New Roman" w:hAnsi="Times New Roman" w:cs="Times New Roman"/>
                <w:color w:val="auto"/>
                <w:kern w:val="0"/>
                <w:szCs w:val="21"/>
                <w:highlight w:val="none"/>
              </w:rPr>
              <w:t>（暂定工程量）</w:t>
            </w:r>
          </w:p>
        </w:tc>
        <w:tc>
          <w:tcPr>
            <w:tcW w:w="749" w:type="dxa"/>
            <w:noWrap w:val="0"/>
            <w:vAlign w:val="center"/>
          </w:tcPr>
          <w:p w14:paraId="6987F1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每一试桩</w:t>
            </w:r>
          </w:p>
        </w:tc>
        <w:tc>
          <w:tcPr>
            <w:tcW w:w="837" w:type="dxa"/>
            <w:noWrap w:val="0"/>
            <w:vAlign w:val="center"/>
          </w:tcPr>
          <w:p w14:paraId="0A3090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58F4B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CD7B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6C2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BB7C2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409</w:t>
            </w:r>
          </w:p>
        </w:tc>
        <w:tc>
          <w:tcPr>
            <w:tcW w:w="4732" w:type="dxa"/>
            <w:noWrap w:val="0"/>
            <w:vAlign w:val="center"/>
          </w:tcPr>
          <w:p w14:paraId="071DED5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沉井</w:t>
            </w:r>
          </w:p>
        </w:tc>
        <w:tc>
          <w:tcPr>
            <w:tcW w:w="749" w:type="dxa"/>
            <w:noWrap w:val="0"/>
            <w:vAlign w:val="top"/>
          </w:tcPr>
          <w:p w14:paraId="5307A53A">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C5D78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A247B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5B9A0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79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339F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409-1</w:t>
            </w:r>
          </w:p>
        </w:tc>
        <w:tc>
          <w:tcPr>
            <w:tcW w:w="4732" w:type="dxa"/>
            <w:noWrap w:val="0"/>
            <w:vAlign w:val="center"/>
          </w:tcPr>
          <w:p w14:paraId="4D049F3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钢筋混凝土沉井</w:t>
            </w:r>
          </w:p>
        </w:tc>
        <w:tc>
          <w:tcPr>
            <w:tcW w:w="749" w:type="dxa"/>
            <w:noWrap w:val="0"/>
            <w:vAlign w:val="center"/>
          </w:tcPr>
          <w:p w14:paraId="6A5284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A5E9D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4E06D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9266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6F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BF6D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0338B27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井壁混凝土</w:t>
            </w:r>
          </w:p>
        </w:tc>
        <w:tc>
          <w:tcPr>
            <w:tcW w:w="749" w:type="dxa"/>
            <w:noWrap w:val="0"/>
            <w:vAlign w:val="center"/>
          </w:tcPr>
          <w:p w14:paraId="1D0525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0A185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23ACE8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58807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49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DBCEC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38C4B04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封底混凝土</w:t>
            </w:r>
          </w:p>
        </w:tc>
        <w:tc>
          <w:tcPr>
            <w:tcW w:w="749" w:type="dxa"/>
            <w:noWrap w:val="0"/>
            <w:vAlign w:val="center"/>
          </w:tcPr>
          <w:p w14:paraId="55CF51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660BF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B5769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5D34F4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2C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796E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033FFA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填芯混凝土</w:t>
            </w:r>
          </w:p>
        </w:tc>
        <w:tc>
          <w:tcPr>
            <w:tcW w:w="749" w:type="dxa"/>
            <w:noWrap w:val="0"/>
            <w:vAlign w:val="center"/>
          </w:tcPr>
          <w:p w14:paraId="566868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5710F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C04A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AA41A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78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9617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780D1E1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顶板混凝土</w:t>
            </w:r>
          </w:p>
        </w:tc>
        <w:tc>
          <w:tcPr>
            <w:tcW w:w="749" w:type="dxa"/>
            <w:noWrap w:val="0"/>
            <w:vAlign w:val="center"/>
          </w:tcPr>
          <w:p w14:paraId="46CECED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44E8D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FE9C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AAEB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4F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15C491">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w:t>
            </w:r>
          </w:p>
        </w:tc>
        <w:tc>
          <w:tcPr>
            <w:tcW w:w="4732" w:type="dxa"/>
            <w:noWrap w:val="0"/>
            <w:vAlign w:val="center"/>
          </w:tcPr>
          <w:p w14:paraId="1941C96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结构混凝土工程</w:t>
            </w:r>
          </w:p>
        </w:tc>
        <w:tc>
          <w:tcPr>
            <w:tcW w:w="749" w:type="dxa"/>
            <w:noWrap w:val="0"/>
            <w:vAlign w:val="center"/>
          </w:tcPr>
          <w:p w14:paraId="4382279F">
            <w:pPr>
              <w:pageBreakBefore w:val="0"/>
              <w:kinsoku/>
              <w:wordWrap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D89B46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04E5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214C7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7B4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DF7D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410-1</w:t>
            </w:r>
          </w:p>
        </w:tc>
        <w:tc>
          <w:tcPr>
            <w:tcW w:w="4732" w:type="dxa"/>
            <w:noWrap w:val="0"/>
            <w:vAlign w:val="center"/>
          </w:tcPr>
          <w:p w14:paraId="3EA2698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混凝土基础（包括支撑梁、桩基承台、桩系梁，但不包括桩基）</w:t>
            </w:r>
          </w:p>
        </w:tc>
        <w:tc>
          <w:tcPr>
            <w:tcW w:w="749" w:type="dxa"/>
            <w:noWrap w:val="0"/>
            <w:vAlign w:val="center"/>
          </w:tcPr>
          <w:p w14:paraId="4CA253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0"/>
                <w:szCs w:val="20"/>
                <w:highlight w:val="none"/>
              </w:rPr>
              <w:t>m³</w:t>
            </w:r>
          </w:p>
        </w:tc>
        <w:tc>
          <w:tcPr>
            <w:tcW w:w="837" w:type="dxa"/>
            <w:noWrap w:val="0"/>
            <w:vAlign w:val="center"/>
          </w:tcPr>
          <w:p w14:paraId="333DFE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9B73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DC9C2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59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1561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410-2</w:t>
            </w:r>
          </w:p>
        </w:tc>
        <w:tc>
          <w:tcPr>
            <w:tcW w:w="4732" w:type="dxa"/>
            <w:noWrap w:val="0"/>
            <w:vAlign w:val="center"/>
          </w:tcPr>
          <w:p w14:paraId="5DDE63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混凝土下部结构</w:t>
            </w:r>
          </w:p>
        </w:tc>
        <w:tc>
          <w:tcPr>
            <w:tcW w:w="749" w:type="dxa"/>
            <w:noWrap w:val="0"/>
            <w:vAlign w:val="center"/>
          </w:tcPr>
          <w:p w14:paraId="721BBF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C3470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2B2C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B58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70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F279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89983E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桥台混凝土</w:t>
            </w:r>
          </w:p>
        </w:tc>
        <w:tc>
          <w:tcPr>
            <w:tcW w:w="749" w:type="dxa"/>
            <w:noWrap w:val="0"/>
            <w:vAlign w:val="center"/>
          </w:tcPr>
          <w:p w14:paraId="79E1242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78A26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9467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48009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CC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B52A7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52C2B37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桥墩混凝土</w:t>
            </w:r>
          </w:p>
        </w:tc>
        <w:tc>
          <w:tcPr>
            <w:tcW w:w="749" w:type="dxa"/>
            <w:noWrap w:val="0"/>
            <w:vAlign w:val="center"/>
          </w:tcPr>
          <w:p w14:paraId="61EC003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E0219F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66FF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0DF87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D5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7F75D5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C34BDD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盖梁混凝土</w:t>
            </w:r>
          </w:p>
        </w:tc>
        <w:tc>
          <w:tcPr>
            <w:tcW w:w="749" w:type="dxa"/>
            <w:noWrap w:val="0"/>
            <w:vAlign w:val="center"/>
          </w:tcPr>
          <w:p w14:paraId="0A93097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235CC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DF5A3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33E3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8A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557B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000833D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台帽混凝土</w:t>
            </w:r>
          </w:p>
        </w:tc>
        <w:tc>
          <w:tcPr>
            <w:tcW w:w="749" w:type="dxa"/>
            <w:noWrap w:val="0"/>
            <w:vAlign w:val="center"/>
          </w:tcPr>
          <w:p w14:paraId="484739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3E4E3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3873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CDD9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BC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1C781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410-3</w:t>
            </w:r>
          </w:p>
        </w:tc>
        <w:tc>
          <w:tcPr>
            <w:tcW w:w="4732" w:type="dxa"/>
            <w:noWrap w:val="0"/>
            <w:vAlign w:val="center"/>
          </w:tcPr>
          <w:p w14:paraId="0FE4F3A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现浇混凝土上部结构</w:t>
            </w:r>
          </w:p>
        </w:tc>
        <w:tc>
          <w:tcPr>
            <w:tcW w:w="749" w:type="dxa"/>
            <w:noWrap w:val="0"/>
            <w:vAlign w:val="center"/>
          </w:tcPr>
          <w:p w14:paraId="55A3A9C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83158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F3EA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4189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18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6169C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410-4</w:t>
            </w:r>
          </w:p>
        </w:tc>
        <w:tc>
          <w:tcPr>
            <w:tcW w:w="4732" w:type="dxa"/>
            <w:noWrap w:val="0"/>
            <w:vAlign w:val="center"/>
          </w:tcPr>
          <w:p w14:paraId="5F8F4FC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预制混凝土上部结构</w:t>
            </w:r>
          </w:p>
        </w:tc>
        <w:tc>
          <w:tcPr>
            <w:tcW w:w="749" w:type="dxa"/>
            <w:noWrap w:val="0"/>
            <w:vAlign w:val="center"/>
          </w:tcPr>
          <w:p w14:paraId="581A07EC">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8600C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F918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50046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F4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162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410-5</w:t>
            </w:r>
          </w:p>
        </w:tc>
        <w:tc>
          <w:tcPr>
            <w:tcW w:w="4732" w:type="dxa"/>
            <w:noWrap w:val="0"/>
            <w:vAlign w:val="center"/>
          </w:tcPr>
          <w:p w14:paraId="1A90E73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桥梁上部结构现浇整体化混凝土</w:t>
            </w:r>
          </w:p>
        </w:tc>
        <w:tc>
          <w:tcPr>
            <w:tcW w:w="749" w:type="dxa"/>
            <w:noWrap w:val="0"/>
            <w:vAlign w:val="center"/>
          </w:tcPr>
          <w:p w14:paraId="26C73CD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　</w:t>
            </w:r>
          </w:p>
        </w:tc>
        <w:tc>
          <w:tcPr>
            <w:tcW w:w="837" w:type="dxa"/>
            <w:noWrap w:val="0"/>
            <w:vAlign w:val="center"/>
          </w:tcPr>
          <w:p w14:paraId="4CD205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BE8E2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3BB3B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93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F1687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410-6</w:t>
            </w:r>
          </w:p>
        </w:tc>
        <w:tc>
          <w:tcPr>
            <w:tcW w:w="4732" w:type="dxa"/>
            <w:noWrap w:val="0"/>
            <w:vAlign w:val="center"/>
          </w:tcPr>
          <w:p w14:paraId="3A2706F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现浇混凝土附属结构</w:t>
            </w:r>
          </w:p>
        </w:tc>
        <w:tc>
          <w:tcPr>
            <w:tcW w:w="749" w:type="dxa"/>
            <w:noWrap w:val="0"/>
            <w:vAlign w:val="center"/>
          </w:tcPr>
          <w:p w14:paraId="577D448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2CCD5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9006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F314F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B4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09804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410-7</w:t>
            </w:r>
          </w:p>
        </w:tc>
        <w:tc>
          <w:tcPr>
            <w:tcW w:w="4732" w:type="dxa"/>
            <w:noWrap w:val="0"/>
            <w:vAlign w:val="center"/>
          </w:tcPr>
          <w:p w14:paraId="2B1D389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预制混凝土附属结构</w:t>
            </w:r>
          </w:p>
        </w:tc>
        <w:tc>
          <w:tcPr>
            <w:tcW w:w="749" w:type="dxa"/>
            <w:noWrap w:val="0"/>
            <w:vAlign w:val="center"/>
          </w:tcPr>
          <w:p w14:paraId="3D00E11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2E9E4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65352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A41C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94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62AC1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411</w:t>
            </w:r>
          </w:p>
        </w:tc>
        <w:tc>
          <w:tcPr>
            <w:tcW w:w="4732" w:type="dxa"/>
            <w:noWrap w:val="0"/>
            <w:vAlign w:val="center"/>
          </w:tcPr>
          <w:p w14:paraId="5D96D491">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预应力混凝土工程</w:t>
            </w:r>
          </w:p>
        </w:tc>
        <w:tc>
          <w:tcPr>
            <w:tcW w:w="749" w:type="dxa"/>
            <w:noWrap w:val="0"/>
            <w:vAlign w:val="top"/>
          </w:tcPr>
          <w:p w14:paraId="1694AED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77E05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7175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9F35D0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4A1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1C1C2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411-1</w:t>
            </w:r>
          </w:p>
        </w:tc>
        <w:tc>
          <w:tcPr>
            <w:tcW w:w="4732" w:type="dxa"/>
            <w:noWrap w:val="0"/>
            <w:vAlign w:val="center"/>
          </w:tcPr>
          <w:p w14:paraId="4C9FEEF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2CD576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3C36E7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2A61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F04DB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4A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C4C51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411-2</w:t>
            </w:r>
          </w:p>
        </w:tc>
        <w:tc>
          <w:tcPr>
            <w:tcW w:w="4732" w:type="dxa"/>
            <w:noWrap w:val="0"/>
            <w:vAlign w:val="center"/>
          </w:tcPr>
          <w:p w14:paraId="54AD88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45DE70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F1AE9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7C82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0695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9F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7A8DC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411-3</w:t>
            </w:r>
          </w:p>
        </w:tc>
        <w:tc>
          <w:tcPr>
            <w:tcW w:w="4732" w:type="dxa"/>
            <w:noWrap w:val="0"/>
            <w:vAlign w:val="center"/>
          </w:tcPr>
          <w:p w14:paraId="4B3A3E0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5BC226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2D8D3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551F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EE01C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91F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3EC1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411-4</w:t>
            </w:r>
          </w:p>
        </w:tc>
        <w:tc>
          <w:tcPr>
            <w:tcW w:w="4732" w:type="dxa"/>
            <w:noWrap w:val="0"/>
            <w:vAlign w:val="center"/>
          </w:tcPr>
          <w:p w14:paraId="0B29A6E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钢丝</w:t>
            </w:r>
          </w:p>
        </w:tc>
        <w:tc>
          <w:tcPr>
            <w:tcW w:w="749" w:type="dxa"/>
            <w:noWrap w:val="0"/>
            <w:vAlign w:val="center"/>
          </w:tcPr>
          <w:p w14:paraId="7D1922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46A35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CAB28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79C7B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FB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EAD9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411-5</w:t>
            </w:r>
          </w:p>
        </w:tc>
        <w:tc>
          <w:tcPr>
            <w:tcW w:w="4732" w:type="dxa"/>
            <w:noWrap w:val="0"/>
            <w:vAlign w:val="center"/>
          </w:tcPr>
          <w:p w14:paraId="77BF8BE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钢绞线</w:t>
            </w:r>
          </w:p>
        </w:tc>
        <w:tc>
          <w:tcPr>
            <w:tcW w:w="749" w:type="dxa"/>
            <w:noWrap w:val="0"/>
            <w:vAlign w:val="center"/>
          </w:tcPr>
          <w:p w14:paraId="105955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68AC3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24688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04C9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A6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AFAD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411-6</w:t>
            </w:r>
          </w:p>
        </w:tc>
        <w:tc>
          <w:tcPr>
            <w:tcW w:w="4732" w:type="dxa"/>
            <w:noWrap w:val="0"/>
            <w:vAlign w:val="center"/>
          </w:tcPr>
          <w:p w14:paraId="1B741B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后张法</w:t>
            </w:r>
            <w:r>
              <w:rPr>
                <w:rFonts w:hint="default" w:ascii="Times New Roman" w:hAnsi="Times New Roman" w:cs="Times New Roman"/>
                <w:color w:val="auto"/>
                <w:szCs w:val="21"/>
                <w:highlight w:val="none"/>
              </w:rPr>
              <w:t>预应力</w:t>
            </w:r>
            <w:r>
              <w:rPr>
                <w:rFonts w:hint="default" w:ascii="Times New Roman" w:hAnsi="Times New Roman" w:cs="Times New Roman"/>
                <w:color w:val="auto"/>
                <w:kern w:val="0"/>
                <w:szCs w:val="21"/>
                <w:highlight w:val="none"/>
              </w:rPr>
              <w:t>钢筋</w:t>
            </w:r>
          </w:p>
        </w:tc>
        <w:tc>
          <w:tcPr>
            <w:tcW w:w="749" w:type="dxa"/>
            <w:noWrap w:val="0"/>
            <w:vAlign w:val="center"/>
          </w:tcPr>
          <w:p w14:paraId="71BB5A3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0A247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5112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C42D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21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2895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411-7</w:t>
            </w:r>
          </w:p>
        </w:tc>
        <w:tc>
          <w:tcPr>
            <w:tcW w:w="4732" w:type="dxa"/>
            <w:noWrap w:val="0"/>
            <w:vAlign w:val="center"/>
          </w:tcPr>
          <w:p w14:paraId="7354273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现浇预应力混凝土上部结构</w:t>
            </w:r>
          </w:p>
        </w:tc>
        <w:tc>
          <w:tcPr>
            <w:tcW w:w="749" w:type="dxa"/>
            <w:noWrap w:val="0"/>
            <w:vAlign w:val="center"/>
          </w:tcPr>
          <w:p w14:paraId="49E8808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4DE15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82A5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341C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C0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5A8C4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411-8</w:t>
            </w:r>
          </w:p>
        </w:tc>
        <w:tc>
          <w:tcPr>
            <w:tcW w:w="4732" w:type="dxa"/>
            <w:noWrap w:val="0"/>
            <w:vAlign w:val="center"/>
          </w:tcPr>
          <w:p w14:paraId="619090A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预制预应力混凝土上部结构</w:t>
            </w:r>
          </w:p>
        </w:tc>
        <w:tc>
          <w:tcPr>
            <w:tcW w:w="749" w:type="dxa"/>
            <w:noWrap w:val="0"/>
            <w:vAlign w:val="center"/>
          </w:tcPr>
          <w:p w14:paraId="00B6587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831A0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8860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A4BF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0E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547704">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413</w:t>
            </w:r>
          </w:p>
        </w:tc>
        <w:tc>
          <w:tcPr>
            <w:tcW w:w="4732" w:type="dxa"/>
            <w:noWrap w:val="0"/>
            <w:vAlign w:val="center"/>
          </w:tcPr>
          <w:p w14:paraId="624C040F">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砌石工程</w:t>
            </w:r>
          </w:p>
        </w:tc>
        <w:tc>
          <w:tcPr>
            <w:tcW w:w="749" w:type="dxa"/>
            <w:noWrap w:val="0"/>
            <w:vAlign w:val="top"/>
          </w:tcPr>
          <w:p w14:paraId="6A19B1C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E3F2B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7E5CC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49A9C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D1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0BC5804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413-1</w:t>
            </w:r>
          </w:p>
        </w:tc>
        <w:tc>
          <w:tcPr>
            <w:tcW w:w="4732" w:type="dxa"/>
            <w:noWrap w:val="0"/>
            <w:vAlign w:val="center"/>
          </w:tcPr>
          <w:p w14:paraId="3D116A3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浆砌片石</w:t>
            </w:r>
          </w:p>
        </w:tc>
        <w:tc>
          <w:tcPr>
            <w:tcW w:w="749" w:type="dxa"/>
            <w:noWrap w:val="0"/>
            <w:vAlign w:val="top"/>
          </w:tcPr>
          <w:p w14:paraId="1868577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E9B22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8440B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821E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F8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F7AC7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65DEE5D8">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2F8B925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C3EC32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BC35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8D8E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DC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FC23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413-2</w:t>
            </w:r>
          </w:p>
        </w:tc>
        <w:tc>
          <w:tcPr>
            <w:tcW w:w="4732" w:type="dxa"/>
            <w:noWrap w:val="0"/>
            <w:vAlign w:val="center"/>
          </w:tcPr>
          <w:p w14:paraId="7E23809E">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浆砌块石</w:t>
            </w:r>
          </w:p>
        </w:tc>
        <w:tc>
          <w:tcPr>
            <w:tcW w:w="749" w:type="dxa"/>
            <w:noWrap w:val="0"/>
            <w:vAlign w:val="top"/>
          </w:tcPr>
          <w:p w14:paraId="7225700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2703C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DFE49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C684F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53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BBB1DC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3BCABEA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7A869FB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563FFB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34223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03094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3C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8B5A3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413-3</w:t>
            </w:r>
          </w:p>
        </w:tc>
        <w:tc>
          <w:tcPr>
            <w:tcW w:w="4732" w:type="dxa"/>
            <w:noWrap w:val="0"/>
            <w:vAlign w:val="center"/>
          </w:tcPr>
          <w:p w14:paraId="05880CD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浆砌料石</w:t>
            </w:r>
          </w:p>
        </w:tc>
        <w:tc>
          <w:tcPr>
            <w:tcW w:w="749" w:type="dxa"/>
            <w:noWrap w:val="0"/>
            <w:vAlign w:val="top"/>
          </w:tcPr>
          <w:p w14:paraId="2629DDB9">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56E07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43A53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6B812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C5C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6DB53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11D19029">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17CA128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2A049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BD6A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F5B7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97F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80606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413-4</w:t>
            </w:r>
          </w:p>
        </w:tc>
        <w:tc>
          <w:tcPr>
            <w:tcW w:w="4732" w:type="dxa"/>
            <w:noWrap w:val="0"/>
            <w:vAlign w:val="center"/>
          </w:tcPr>
          <w:p w14:paraId="433CD27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浆砌预制混凝土块</w:t>
            </w:r>
          </w:p>
        </w:tc>
        <w:tc>
          <w:tcPr>
            <w:tcW w:w="749" w:type="dxa"/>
            <w:noWrap w:val="0"/>
            <w:vAlign w:val="top"/>
          </w:tcPr>
          <w:p w14:paraId="7DC6178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1EAF05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5B148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2DDC3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82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2AC13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center"/>
          </w:tcPr>
          <w:p w14:paraId="2691CF4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749" w:type="dxa"/>
            <w:noWrap w:val="0"/>
            <w:vAlign w:val="top"/>
          </w:tcPr>
          <w:p w14:paraId="74B544CA">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71A5C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D37C2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8B6F7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A59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2068C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w:t>
            </w:r>
          </w:p>
        </w:tc>
        <w:tc>
          <w:tcPr>
            <w:tcW w:w="4732" w:type="dxa"/>
            <w:noWrap w:val="0"/>
            <w:vAlign w:val="center"/>
          </w:tcPr>
          <w:p w14:paraId="16AF3DF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桥面铺装</w:t>
            </w:r>
          </w:p>
        </w:tc>
        <w:tc>
          <w:tcPr>
            <w:tcW w:w="749" w:type="dxa"/>
            <w:noWrap w:val="0"/>
            <w:vAlign w:val="top"/>
          </w:tcPr>
          <w:p w14:paraId="17E6CD8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0256C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A22B7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3AB2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70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806F4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415-1</w:t>
            </w:r>
          </w:p>
        </w:tc>
        <w:tc>
          <w:tcPr>
            <w:tcW w:w="4732" w:type="dxa"/>
            <w:noWrap w:val="0"/>
            <w:vAlign w:val="center"/>
          </w:tcPr>
          <w:p w14:paraId="19F93BA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沥青混凝土桥面铺装</w:t>
            </w:r>
          </w:p>
        </w:tc>
        <w:tc>
          <w:tcPr>
            <w:tcW w:w="749" w:type="dxa"/>
            <w:noWrap w:val="0"/>
            <w:vAlign w:val="center"/>
          </w:tcPr>
          <w:p w14:paraId="6653B9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3879A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501CC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46A7AE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E9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02C9E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415-2</w:t>
            </w:r>
          </w:p>
        </w:tc>
        <w:tc>
          <w:tcPr>
            <w:tcW w:w="4732" w:type="dxa"/>
            <w:noWrap w:val="0"/>
            <w:vAlign w:val="center"/>
          </w:tcPr>
          <w:p w14:paraId="6BAB524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水泥混凝土桥面铺装</w:t>
            </w:r>
          </w:p>
        </w:tc>
        <w:tc>
          <w:tcPr>
            <w:tcW w:w="749" w:type="dxa"/>
            <w:noWrap w:val="0"/>
            <w:vAlign w:val="center"/>
          </w:tcPr>
          <w:p w14:paraId="250A9C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F4466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7B72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048E5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09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FF31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415-3</w:t>
            </w:r>
          </w:p>
        </w:tc>
        <w:tc>
          <w:tcPr>
            <w:tcW w:w="4732" w:type="dxa"/>
            <w:noWrap w:val="0"/>
            <w:vAlign w:val="center"/>
          </w:tcPr>
          <w:p w14:paraId="633373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749" w:type="dxa"/>
            <w:noWrap w:val="0"/>
            <w:vAlign w:val="center"/>
          </w:tcPr>
          <w:p w14:paraId="0322B9D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355172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544B14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4A9B2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5D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4488A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A1C97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桥面混凝土表面处理</w:t>
            </w:r>
          </w:p>
        </w:tc>
        <w:tc>
          <w:tcPr>
            <w:tcW w:w="749" w:type="dxa"/>
            <w:noWrap w:val="0"/>
            <w:vAlign w:val="center"/>
          </w:tcPr>
          <w:p w14:paraId="151574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56FD4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701F9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5DE6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A6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6E80D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148DDA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铺设防水层</w:t>
            </w:r>
          </w:p>
        </w:tc>
        <w:tc>
          <w:tcPr>
            <w:tcW w:w="749" w:type="dxa"/>
            <w:noWrap w:val="0"/>
            <w:vAlign w:val="center"/>
          </w:tcPr>
          <w:p w14:paraId="1D7BE00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4D5348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E45937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8D314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0F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D026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415-4</w:t>
            </w:r>
          </w:p>
        </w:tc>
        <w:tc>
          <w:tcPr>
            <w:tcW w:w="4732" w:type="dxa"/>
            <w:noWrap w:val="0"/>
            <w:vAlign w:val="center"/>
          </w:tcPr>
          <w:p w14:paraId="1883AAC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桥面排水</w:t>
            </w:r>
          </w:p>
        </w:tc>
        <w:tc>
          <w:tcPr>
            <w:tcW w:w="749" w:type="dxa"/>
            <w:noWrap w:val="0"/>
            <w:vAlign w:val="center"/>
          </w:tcPr>
          <w:p w14:paraId="3946551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400FFB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1753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36EC7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70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8349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B94DA7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竖、横向集中排水管</w:t>
            </w:r>
          </w:p>
        </w:tc>
        <w:tc>
          <w:tcPr>
            <w:tcW w:w="749" w:type="dxa"/>
            <w:noWrap w:val="0"/>
            <w:vAlign w:val="center"/>
          </w:tcPr>
          <w:p w14:paraId="6E4C245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15C46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A458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614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A9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55D6A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-a-1</w:t>
            </w:r>
          </w:p>
        </w:tc>
        <w:tc>
          <w:tcPr>
            <w:tcW w:w="4732" w:type="dxa"/>
            <w:noWrap w:val="0"/>
            <w:vAlign w:val="center"/>
          </w:tcPr>
          <w:p w14:paraId="6F4942B7">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铸铁管</w:t>
            </w:r>
          </w:p>
        </w:tc>
        <w:tc>
          <w:tcPr>
            <w:tcW w:w="749" w:type="dxa"/>
            <w:noWrap w:val="0"/>
            <w:vAlign w:val="top"/>
          </w:tcPr>
          <w:p w14:paraId="2DB54CD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62CF2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A29E1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C9B5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DC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856A5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-a-2</w:t>
            </w:r>
          </w:p>
        </w:tc>
        <w:tc>
          <w:tcPr>
            <w:tcW w:w="4732" w:type="dxa"/>
            <w:noWrap w:val="0"/>
            <w:vAlign w:val="center"/>
          </w:tcPr>
          <w:p w14:paraId="15449B0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w:t>
            </w:r>
          </w:p>
        </w:tc>
        <w:tc>
          <w:tcPr>
            <w:tcW w:w="749" w:type="dxa"/>
            <w:noWrap w:val="0"/>
            <w:vAlign w:val="center"/>
          </w:tcPr>
          <w:p w14:paraId="441004C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10834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A78B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9EFD8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5F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54CB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732" w:type="dxa"/>
            <w:noWrap w:val="0"/>
            <w:vAlign w:val="center"/>
          </w:tcPr>
          <w:p w14:paraId="123491B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PVC管</w:t>
            </w:r>
          </w:p>
        </w:tc>
        <w:tc>
          <w:tcPr>
            <w:tcW w:w="749" w:type="dxa"/>
            <w:noWrap w:val="0"/>
            <w:vAlign w:val="center"/>
          </w:tcPr>
          <w:p w14:paraId="4F682AB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85C5A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74DB6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5DBD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A5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1E6F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02A9853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桥面边部碎石盲沟</w:t>
            </w:r>
          </w:p>
        </w:tc>
        <w:tc>
          <w:tcPr>
            <w:tcW w:w="749" w:type="dxa"/>
            <w:noWrap w:val="0"/>
            <w:vAlign w:val="center"/>
          </w:tcPr>
          <w:p w14:paraId="778DC58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FC79E6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5A750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F5FEE1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45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3F8981B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w:t>
            </w:r>
          </w:p>
        </w:tc>
        <w:tc>
          <w:tcPr>
            <w:tcW w:w="4732" w:type="dxa"/>
            <w:noWrap w:val="0"/>
            <w:vAlign w:val="center"/>
          </w:tcPr>
          <w:p w14:paraId="6F94CD4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桥梁支座</w:t>
            </w:r>
          </w:p>
        </w:tc>
        <w:tc>
          <w:tcPr>
            <w:tcW w:w="749" w:type="dxa"/>
            <w:noWrap w:val="0"/>
            <w:vAlign w:val="top"/>
          </w:tcPr>
          <w:p w14:paraId="6BB6A0A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EB0B6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A2A9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A515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60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42A1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416-1</w:t>
            </w:r>
          </w:p>
        </w:tc>
        <w:tc>
          <w:tcPr>
            <w:tcW w:w="4732" w:type="dxa"/>
            <w:noWrap w:val="0"/>
            <w:vAlign w:val="center"/>
          </w:tcPr>
          <w:p w14:paraId="103F55E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板式橡胶支座</w:t>
            </w:r>
          </w:p>
        </w:tc>
        <w:tc>
          <w:tcPr>
            <w:tcW w:w="749" w:type="dxa"/>
            <w:noWrap w:val="0"/>
            <w:vAlign w:val="center"/>
          </w:tcPr>
          <w:p w14:paraId="4F4EBAF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dm³</w:t>
            </w:r>
          </w:p>
        </w:tc>
        <w:tc>
          <w:tcPr>
            <w:tcW w:w="837" w:type="dxa"/>
            <w:noWrap w:val="0"/>
            <w:vAlign w:val="center"/>
          </w:tcPr>
          <w:p w14:paraId="411B10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C6AC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4009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1A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C0344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416-2</w:t>
            </w:r>
          </w:p>
        </w:tc>
        <w:tc>
          <w:tcPr>
            <w:tcW w:w="4732" w:type="dxa"/>
            <w:noWrap w:val="0"/>
            <w:vAlign w:val="center"/>
          </w:tcPr>
          <w:p w14:paraId="6BE561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盆式支座</w:t>
            </w:r>
          </w:p>
        </w:tc>
        <w:tc>
          <w:tcPr>
            <w:tcW w:w="749" w:type="dxa"/>
            <w:noWrap w:val="0"/>
            <w:vAlign w:val="center"/>
          </w:tcPr>
          <w:p w14:paraId="7D56410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8A007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1306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94CD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57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5EEC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416-3</w:t>
            </w:r>
          </w:p>
        </w:tc>
        <w:tc>
          <w:tcPr>
            <w:tcW w:w="4732" w:type="dxa"/>
            <w:noWrap w:val="0"/>
            <w:vAlign w:val="center"/>
          </w:tcPr>
          <w:p w14:paraId="18D598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隔震橡胶支座</w:t>
            </w:r>
          </w:p>
        </w:tc>
        <w:tc>
          <w:tcPr>
            <w:tcW w:w="749" w:type="dxa"/>
            <w:noWrap w:val="0"/>
            <w:vAlign w:val="center"/>
          </w:tcPr>
          <w:p w14:paraId="7DB2657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5FB628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4F11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CCC6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3E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B293B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416-4</w:t>
            </w:r>
          </w:p>
        </w:tc>
        <w:tc>
          <w:tcPr>
            <w:tcW w:w="4732" w:type="dxa"/>
            <w:noWrap w:val="0"/>
            <w:vAlign w:val="center"/>
          </w:tcPr>
          <w:p w14:paraId="46152D1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球形支座</w:t>
            </w:r>
          </w:p>
        </w:tc>
        <w:tc>
          <w:tcPr>
            <w:tcW w:w="749" w:type="dxa"/>
            <w:noWrap w:val="0"/>
            <w:vAlign w:val="center"/>
          </w:tcPr>
          <w:p w14:paraId="38356A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0600A7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2C4D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435E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AFE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3414F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w:t>
            </w:r>
          </w:p>
        </w:tc>
        <w:tc>
          <w:tcPr>
            <w:tcW w:w="4732" w:type="dxa"/>
            <w:noWrap w:val="0"/>
            <w:vAlign w:val="center"/>
          </w:tcPr>
          <w:p w14:paraId="0524664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桥梁接缝和伸缩装置</w:t>
            </w:r>
          </w:p>
        </w:tc>
        <w:tc>
          <w:tcPr>
            <w:tcW w:w="749" w:type="dxa"/>
            <w:noWrap w:val="0"/>
            <w:vAlign w:val="top"/>
          </w:tcPr>
          <w:p w14:paraId="1A11B10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735DA3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8BDB6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2610B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9B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A273F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417-1</w:t>
            </w:r>
          </w:p>
        </w:tc>
        <w:tc>
          <w:tcPr>
            <w:tcW w:w="4732" w:type="dxa"/>
            <w:noWrap w:val="0"/>
            <w:vAlign w:val="center"/>
          </w:tcPr>
          <w:p w14:paraId="6E00270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橡胶伸缩装置</w:t>
            </w:r>
          </w:p>
        </w:tc>
        <w:tc>
          <w:tcPr>
            <w:tcW w:w="749" w:type="dxa"/>
            <w:noWrap w:val="0"/>
            <w:vAlign w:val="center"/>
          </w:tcPr>
          <w:p w14:paraId="31964A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C4977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64A4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A480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7C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47205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417-2</w:t>
            </w:r>
          </w:p>
        </w:tc>
        <w:tc>
          <w:tcPr>
            <w:tcW w:w="4732" w:type="dxa"/>
            <w:noWrap w:val="0"/>
            <w:vAlign w:val="center"/>
          </w:tcPr>
          <w:p w14:paraId="5A7B94F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模数式伸缩装置</w:t>
            </w:r>
          </w:p>
        </w:tc>
        <w:tc>
          <w:tcPr>
            <w:tcW w:w="749" w:type="dxa"/>
            <w:noWrap w:val="0"/>
            <w:vAlign w:val="center"/>
          </w:tcPr>
          <w:p w14:paraId="1AA711E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261AF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47B1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6B57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6C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E932B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417-3</w:t>
            </w:r>
          </w:p>
        </w:tc>
        <w:tc>
          <w:tcPr>
            <w:tcW w:w="4732" w:type="dxa"/>
            <w:noWrap w:val="0"/>
            <w:vAlign w:val="center"/>
          </w:tcPr>
          <w:p w14:paraId="6FBC1C3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梳齿板式伸缩装置</w:t>
            </w:r>
          </w:p>
        </w:tc>
        <w:tc>
          <w:tcPr>
            <w:tcW w:w="749" w:type="dxa"/>
            <w:noWrap w:val="0"/>
            <w:vAlign w:val="center"/>
          </w:tcPr>
          <w:p w14:paraId="2BADE3A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6587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722C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4D6DC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D30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65DF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417-4</w:t>
            </w:r>
          </w:p>
        </w:tc>
        <w:tc>
          <w:tcPr>
            <w:tcW w:w="4732" w:type="dxa"/>
            <w:noWrap w:val="0"/>
            <w:vAlign w:val="center"/>
          </w:tcPr>
          <w:p w14:paraId="1825F3E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填充式材料伸缩装置</w:t>
            </w:r>
          </w:p>
        </w:tc>
        <w:tc>
          <w:tcPr>
            <w:tcW w:w="749" w:type="dxa"/>
            <w:noWrap w:val="0"/>
            <w:vAlign w:val="center"/>
          </w:tcPr>
          <w:p w14:paraId="448E6A3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5934F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70993F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CED7C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A1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D9839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w:t>
            </w:r>
          </w:p>
        </w:tc>
        <w:tc>
          <w:tcPr>
            <w:tcW w:w="4732" w:type="dxa"/>
            <w:noWrap w:val="0"/>
            <w:vAlign w:val="center"/>
          </w:tcPr>
          <w:p w14:paraId="6F8496B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圆管涵及倒虹吸管涵</w:t>
            </w:r>
          </w:p>
        </w:tc>
        <w:tc>
          <w:tcPr>
            <w:tcW w:w="749" w:type="dxa"/>
            <w:noWrap w:val="0"/>
            <w:vAlign w:val="top"/>
          </w:tcPr>
          <w:p w14:paraId="3047086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A2CBC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1742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9CFF9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88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94A4B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419-1</w:t>
            </w:r>
          </w:p>
        </w:tc>
        <w:tc>
          <w:tcPr>
            <w:tcW w:w="4732" w:type="dxa"/>
            <w:noWrap w:val="0"/>
            <w:vAlign w:val="center"/>
          </w:tcPr>
          <w:p w14:paraId="4024FF23">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单孔钢筋混凝土圆管涵</w:t>
            </w:r>
          </w:p>
        </w:tc>
        <w:tc>
          <w:tcPr>
            <w:tcW w:w="749" w:type="dxa"/>
            <w:noWrap w:val="0"/>
            <w:vAlign w:val="center"/>
          </w:tcPr>
          <w:p w14:paraId="1721C9AF">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78EDE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C3768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99C15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369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DCA6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419-2</w:t>
            </w:r>
          </w:p>
        </w:tc>
        <w:tc>
          <w:tcPr>
            <w:tcW w:w="4732" w:type="dxa"/>
            <w:noWrap w:val="0"/>
            <w:vAlign w:val="center"/>
          </w:tcPr>
          <w:p w14:paraId="5C481904">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双孔钢筋混凝土圆管涵</w:t>
            </w:r>
          </w:p>
        </w:tc>
        <w:tc>
          <w:tcPr>
            <w:tcW w:w="749" w:type="dxa"/>
            <w:noWrap w:val="0"/>
            <w:vAlign w:val="center"/>
          </w:tcPr>
          <w:p w14:paraId="2EB583C5">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784BA8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BC88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7A900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35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542D2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419-3</w:t>
            </w:r>
          </w:p>
        </w:tc>
        <w:tc>
          <w:tcPr>
            <w:tcW w:w="4732" w:type="dxa"/>
            <w:noWrap w:val="0"/>
            <w:vAlign w:val="center"/>
          </w:tcPr>
          <w:p w14:paraId="4613172E">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钢筋混凝土圆管倒虹吸管涵</w:t>
            </w:r>
          </w:p>
        </w:tc>
        <w:tc>
          <w:tcPr>
            <w:tcW w:w="749" w:type="dxa"/>
            <w:noWrap w:val="0"/>
            <w:vAlign w:val="center"/>
          </w:tcPr>
          <w:p w14:paraId="6C0E971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79A59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8B9A9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05A31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E7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7A152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w:t>
            </w:r>
          </w:p>
        </w:tc>
        <w:tc>
          <w:tcPr>
            <w:tcW w:w="4732" w:type="dxa"/>
            <w:noWrap w:val="0"/>
            <w:vAlign w:val="center"/>
          </w:tcPr>
          <w:p w14:paraId="05016CD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盖板涵、箱涵</w:t>
            </w:r>
          </w:p>
        </w:tc>
        <w:tc>
          <w:tcPr>
            <w:tcW w:w="749" w:type="dxa"/>
            <w:noWrap w:val="0"/>
            <w:vAlign w:val="center"/>
          </w:tcPr>
          <w:p w14:paraId="3C5DAFDA">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color w:val="auto"/>
                <w:szCs w:val="21"/>
                <w:highlight w:val="none"/>
              </w:rPr>
            </w:pPr>
          </w:p>
        </w:tc>
        <w:tc>
          <w:tcPr>
            <w:tcW w:w="837" w:type="dxa"/>
            <w:noWrap w:val="0"/>
            <w:vAlign w:val="center"/>
          </w:tcPr>
          <w:p w14:paraId="133C8E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9D92C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7EC13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2F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04406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420-1</w:t>
            </w:r>
          </w:p>
        </w:tc>
        <w:tc>
          <w:tcPr>
            <w:tcW w:w="4732" w:type="dxa"/>
            <w:noWrap w:val="0"/>
            <w:vAlign w:val="center"/>
          </w:tcPr>
          <w:p w14:paraId="2106403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钢筋混凝土盖板涵</w:t>
            </w:r>
          </w:p>
        </w:tc>
        <w:tc>
          <w:tcPr>
            <w:tcW w:w="749" w:type="dxa"/>
            <w:noWrap w:val="0"/>
            <w:vAlign w:val="center"/>
          </w:tcPr>
          <w:p w14:paraId="18E7F26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9B674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A2A38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5ACD8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2A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F8D74E">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420-2</w:t>
            </w:r>
          </w:p>
        </w:tc>
        <w:tc>
          <w:tcPr>
            <w:tcW w:w="4732" w:type="dxa"/>
            <w:noWrap w:val="0"/>
            <w:vAlign w:val="center"/>
          </w:tcPr>
          <w:p w14:paraId="7C5A828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钢筋混凝土箱涵</w:t>
            </w:r>
          </w:p>
        </w:tc>
        <w:tc>
          <w:tcPr>
            <w:tcW w:w="749" w:type="dxa"/>
            <w:noWrap w:val="0"/>
            <w:vAlign w:val="center"/>
          </w:tcPr>
          <w:p w14:paraId="7B4AB66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7D6E1F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32BC65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8F73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E7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74E57D">
            <w:pPr>
              <w:pageBreakBefore w:val="0"/>
              <w:widowControl/>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bCs/>
                <w:color w:val="auto"/>
                <w:kern w:val="0"/>
                <w:szCs w:val="21"/>
                <w:highlight w:val="none"/>
              </w:rPr>
              <w:t>420-3</w:t>
            </w:r>
          </w:p>
        </w:tc>
        <w:tc>
          <w:tcPr>
            <w:tcW w:w="4732" w:type="dxa"/>
            <w:noWrap w:val="0"/>
            <w:vAlign w:val="center"/>
          </w:tcPr>
          <w:p w14:paraId="5C04ED0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钢筋混凝土盖板通道涵</w:t>
            </w:r>
          </w:p>
        </w:tc>
        <w:tc>
          <w:tcPr>
            <w:tcW w:w="749" w:type="dxa"/>
            <w:noWrap w:val="0"/>
            <w:vAlign w:val="center"/>
          </w:tcPr>
          <w:p w14:paraId="76FF37D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56A11A0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59FD4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1333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52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40A44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420-4</w:t>
            </w:r>
          </w:p>
        </w:tc>
        <w:tc>
          <w:tcPr>
            <w:tcW w:w="4732" w:type="dxa"/>
            <w:noWrap w:val="0"/>
            <w:vAlign w:val="center"/>
          </w:tcPr>
          <w:p w14:paraId="16FCF70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钢筋混凝土箱形通道涵</w:t>
            </w:r>
          </w:p>
        </w:tc>
        <w:tc>
          <w:tcPr>
            <w:tcW w:w="749" w:type="dxa"/>
            <w:noWrap w:val="0"/>
            <w:vAlign w:val="center"/>
          </w:tcPr>
          <w:p w14:paraId="17C2AA2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6171856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B2602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B088D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85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883B43">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w:t>
            </w:r>
          </w:p>
        </w:tc>
        <w:tc>
          <w:tcPr>
            <w:tcW w:w="4732" w:type="dxa"/>
            <w:noWrap w:val="0"/>
            <w:vAlign w:val="center"/>
          </w:tcPr>
          <w:p w14:paraId="669DC435">
            <w:pPr>
              <w:pageBreakBefore w:val="0"/>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拱涵</w:t>
            </w:r>
          </w:p>
        </w:tc>
        <w:tc>
          <w:tcPr>
            <w:tcW w:w="749" w:type="dxa"/>
            <w:noWrap w:val="0"/>
            <w:vAlign w:val="top"/>
          </w:tcPr>
          <w:p w14:paraId="79CE8509">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color w:val="auto"/>
                <w:szCs w:val="21"/>
                <w:highlight w:val="none"/>
              </w:rPr>
            </w:pPr>
          </w:p>
        </w:tc>
        <w:tc>
          <w:tcPr>
            <w:tcW w:w="837" w:type="dxa"/>
            <w:noWrap w:val="0"/>
            <w:vAlign w:val="center"/>
          </w:tcPr>
          <w:p w14:paraId="590DAF2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8E777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C2BC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5FE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4730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421-1</w:t>
            </w:r>
          </w:p>
        </w:tc>
        <w:tc>
          <w:tcPr>
            <w:tcW w:w="4732" w:type="dxa"/>
            <w:noWrap w:val="0"/>
            <w:vAlign w:val="center"/>
          </w:tcPr>
          <w:p w14:paraId="2D2E157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拱涵</w:t>
            </w:r>
          </w:p>
        </w:tc>
        <w:tc>
          <w:tcPr>
            <w:tcW w:w="749" w:type="dxa"/>
            <w:noWrap w:val="0"/>
            <w:vAlign w:val="center"/>
          </w:tcPr>
          <w:p w14:paraId="60E7EF32">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FF7AA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F847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6C8F0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8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DC3EF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7BA1AE7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石拱涵</w:t>
            </w:r>
          </w:p>
        </w:tc>
        <w:tc>
          <w:tcPr>
            <w:tcW w:w="749" w:type="dxa"/>
            <w:noWrap w:val="0"/>
            <w:vAlign w:val="center"/>
          </w:tcPr>
          <w:p w14:paraId="3A3B10C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2DF84F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AD17B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D09DF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9D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C75B6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311011E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混凝土拱涵</w:t>
            </w:r>
          </w:p>
        </w:tc>
        <w:tc>
          <w:tcPr>
            <w:tcW w:w="749" w:type="dxa"/>
            <w:noWrap w:val="0"/>
            <w:vAlign w:val="center"/>
          </w:tcPr>
          <w:p w14:paraId="75622AF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5C00EE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4ACE0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7C34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9A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AE9848">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421-2</w:t>
            </w:r>
          </w:p>
        </w:tc>
        <w:tc>
          <w:tcPr>
            <w:tcW w:w="4732" w:type="dxa"/>
            <w:noWrap w:val="0"/>
            <w:vAlign w:val="center"/>
          </w:tcPr>
          <w:p w14:paraId="4E6CFD06">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拱形通道涵</w:t>
            </w:r>
          </w:p>
        </w:tc>
        <w:tc>
          <w:tcPr>
            <w:tcW w:w="749" w:type="dxa"/>
            <w:noWrap w:val="0"/>
            <w:vAlign w:val="center"/>
          </w:tcPr>
          <w:p w14:paraId="157D6E3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06275B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BD28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8B0C3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5AE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1E95097">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w:t>
            </w:r>
          </w:p>
        </w:tc>
        <w:tc>
          <w:tcPr>
            <w:tcW w:w="4732" w:type="dxa"/>
            <w:noWrap w:val="0"/>
            <w:vAlign w:val="center"/>
          </w:tcPr>
          <w:p w14:paraId="19B12B5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石拱通道涵</w:t>
            </w:r>
          </w:p>
        </w:tc>
        <w:tc>
          <w:tcPr>
            <w:tcW w:w="749" w:type="dxa"/>
            <w:noWrap w:val="0"/>
            <w:vAlign w:val="center"/>
          </w:tcPr>
          <w:p w14:paraId="75379C3D">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3893C3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ECAC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EDBDC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8A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405BA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w:t>
            </w:r>
          </w:p>
        </w:tc>
        <w:tc>
          <w:tcPr>
            <w:tcW w:w="4732" w:type="dxa"/>
            <w:noWrap w:val="0"/>
            <w:vAlign w:val="center"/>
          </w:tcPr>
          <w:p w14:paraId="5E92BBAB">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混凝土拱</w:t>
            </w:r>
            <w:r>
              <w:rPr>
                <w:rFonts w:hint="default" w:ascii="Times New Roman" w:hAnsi="Times New Roman" w:cs="Times New Roman"/>
                <w:color w:val="auto"/>
                <w:szCs w:val="21"/>
                <w:highlight w:val="none"/>
              </w:rPr>
              <w:t>通道涵</w:t>
            </w:r>
          </w:p>
        </w:tc>
        <w:tc>
          <w:tcPr>
            <w:tcW w:w="749" w:type="dxa"/>
            <w:noWrap w:val="0"/>
            <w:vAlign w:val="center"/>
          </w:tcPr>
          <w:p w14:paraId="147F424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m</w:t>
            </w:r>
          </w:p>
        </w:tc>
        <w:tc>
          <w:tcPr>
            <w:tcW w:w="837" w:type="dxa"/>
            <w:noWrap w:val="0"/>
            <w:vAlign w:val="center"/>
          </w:tcPr>
          <w:p w14:paraId="4527D0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F41E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3002D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183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B6FFC7">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18BA60F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84A0FB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887CC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2175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5EB0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93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0941E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F27D7D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7850DAB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FC47E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73BF1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D6AD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1CB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69166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78EE4A4">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4D9F21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ED7CCD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B1309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760A3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B1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460DC5">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3894273A">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BDDA9A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6E4B3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47EB8D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F0F02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5F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0BD57F">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349614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0400B42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3F901D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1186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B70D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E6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CCDAE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6EBAF1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A7E690B">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00C9FBA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639D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4974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A99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917B1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6D92768C">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FDEC36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1F4D3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EBE8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F80E8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04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6A1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08318585">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4EDED90C">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DCAF01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3344D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C264CA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35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5952535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4DAC5E93">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1D6ADE4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FB138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9687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D56F1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C90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12AE4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E7478F0">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B0E27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A133D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D0757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718F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DA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53617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265A8FFD">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5B5CF93D">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1073B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EA303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7FEE6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E8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117CA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4732" w:type="dxa"/>
            <w:noWrap w:val="0"/>
            <w:vAlign w:val="center"/>
          </w:tcPr>
          <w:p w14:paraId="7BCDFC92">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p>
        </w:tc>
        <w:tc>
          <w:tcPr>
            <w:tcW w:w="749" w:type="dxa"/>
            <w:noWrap w:val="0"/>
            <w:vAlign w:val="top"/>
          </w:tcPr>
          <w:p w14:paraId="63EF4414">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2EBF2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6C99C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E34DAD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E7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CA504C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清单第400章合计  人民币</w:t>
            </w:r>
            <w:r>
              <w:rPr>
                <w:rFonts w:hint="default" w:ascii="Times New Roman" w:hAnsi="Times New Roman" w:cs="Times New Roman"/>
                <w:bCs/>
                <w:color w:val="auto"/>
                <w:kern w:val="0"/>
                <w:szCs w:val="21"/>
                <w:highlight w:val="none"/>
                <w:u w:val="single"/>
              </w:rPr>
              <w:t xml:space="preserve">                    </w:t>
            </w:r>
          </w:p>
        </w:tc>
      </w:tr>
    </w:tbl>
    <w:p w14:paraId="57FCC680">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061326AA">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6F9F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C0E2F6">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0FC9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6B2BA7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289FADC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24D01F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FDEB9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4D8BAB2">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1EE5F6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76D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136F81EA">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5CA7A8D6">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1875638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F2A1B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D6E99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39F0176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EF5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20C8888E">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65EDBE7B">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01ACBDD2">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C78B3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38FB4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1AD4C5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B2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41638146">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tcBorders>
              <w:top w:val="single" w:color="auto" w:sz="4" w:space="0"/>
              <w:left w:val="single" w:color="auto" w:sz="4" w:space="0"/>
              <w:right w:val="single" w:color="auto" w:sz="4" w:space="0"/>
            </w:tcBorders>
            <w:noWrap w:val="0"/>
            <w:vAlign w:val="top"/>
          </w:tcPr>
          <w:p w14:paraId="768305C1">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土方</w:t>
            </w:r>
          </w:p>
        </w:tc>
        <w:tc>
          <w:tcPr>
            <w:tcW w:w="837" w:type="dxa"/>
            <w:tcBorders>
              <w:top w:val="single" w:color="auto" w:sz="4" w:space="0"/>
              <w:left w:val="single" w:color="auto" w:sz="4" w:space="0"/>
              <w:right w:val="single" w:color="auto" w:sz="4" w:space="0"/>
            </w:tcBorders>
            <w:noWrap w:val="0"/>
            <w:vAlign w:val="center"/>
          </w:tcPr>
          <w:p w14:paraId="497B87D8">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tcBorders>
              <w:top w:val="single" w:color="auto" w:sz="4" w:space="0"/>
              <w:left w:val="single" w:color="auto" w:sz="4" w:space="0"/>
              <w:right w:val="single" w:color="auto" w:sz="4" w:space="0"/>
            </w:tcBorders>
            <w:noWrap w:val="0"/>
            <w:vAlign w:val="center"/>
          </w:tcPr>
          <w:p w14:paraId="07304FA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834F3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5F47F9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26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4B52853">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top"/>
          </w:tcPr>
          <w:p w14:paraId="20960A46">
            <w:pPr>
              <w:pageBreakBefore w:val="0"/>
              <w:kinsoku/>
              <w:wordWrap w:val="0"/>
              <w:autoSpaceDE w:val="0"/>
              <w:autoSpaceDN w:val="0"/>
              <w:bidi w:val="0"/>
              <w:spacing w:line="36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石方</w:t>
            </w:r>
          </w:p>
        </w:tc>
        <w:tc>
          <w:tcPr>
            <w:tcW w:w="837" w:type="dxa"/>
            <w:noWrap w:val="0"/>
            <w:vAlign w:val="center"/>
          </w:tcPr>
          <w:p w14:paraId="6FB775B0">
            <w:pPr>
              <w:pageBreakBefore w:val="0"/>
              <w:kinsoku/>
              <w:wordWrap w:val="0"/>
              <w:autoSpaceDE w:val="0"/>
              <w:autoSpaceDN w:val="0"/>
              <w:bidi w:val="0"/>
              <w:spacing w:line="36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1FD8D4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29A2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9B567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FF9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EF2B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502-2</w:t>
            </w:r>
          </w:p>
        </w:tc>
        <w:tc>
          <w:tcPr>
            <w:tcW w:w="4644" w:type="dxa"/>
            <w:noWrap w:val="0"/>
            <w:vAlign w:val="center"/>
          </w:tcPr>
          <w:p w14:paraId="3097E98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588265D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6D0B1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FD8F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660C9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98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A121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FB097E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石砌截水沟、排水沟</w:t>
            </w:r>
          </w:p>
        </w:tc>
        <w:tc>
          <w:tcPr>
            <w:tcW w:w="837" w:type="dxa"/>
            <w:noWrap w:val="0"/>
            <w:vAlign w:val="center"/>
          </w:tcPr>
          <w:p w14:paraId="0B093C8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88686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588E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4E2BC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2FA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34B6A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218E6A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74253FA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178257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3239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1F1A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6F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2AF2B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97DC90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330FB3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433790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07F15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E0263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2D7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A9B07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2D0A03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55C2AB6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049BF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51D613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9C6E4E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3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85AF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0F538D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noWrap w:val="0"/>
            <w:vAlign w:val="center"/>
          </w:tcPr>
          <w:p w14:paraId="4BB4C6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1D619A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DCE7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31E5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FD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A351D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7A4B25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渗沟</w:t>
            </w:r>
          </w:p>
        </w:tc>
        <w:tc>
          <w:tcPr>
            <w:tcW w:w="837" w:type="dxa"/>
            <w:noWrap w:val="0"/>
            <w:vAlign w:val="center"/>
          </w:tcPr>
          <w:p w14:paraId="6E37D4C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DA031D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97315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69BE4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D93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7E783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02B1BD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67F575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CDFA8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3F07B0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0F6CA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2B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3B0A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502-3</w:t>
            </w:r>
          </w:p>
        </w:tc>
        <w:tc>
          <w:tcPr>
            <w:tcW w:w="4644" w:type="dxa"/>
            <w:noWrap w:val="0"/>
            <w:vAlign w:val="center"/>
          </w:tcPr>
          <w:p w14:paraId="652D94B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洞口坡面防护</w:t>
            </w:r>
          </w:p>
        </w:tc>
        <w:tc>
          <w:tcPr>
            <w:tcW w:w="837" w:type="dxa"/>
            <w:noWrap w:val="0"/>
            <w:vAlign w:val="center"/>
          </w:tcPr>
          <w:p w14:paraId="4EB3E86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F7F52F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5D208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11525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4D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9544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486895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浆砌片石护坡</w:t>
            </w:r>
          </w:p>
        </w:tc>
        <w:tc>
          <w:tcPr>
            <w:tcW w:w="837" w:type="dxa"/>
            <w:noWrap w:val="0"/>
            <w:vAlign w:val="center"/>
          </w:tcPr>
          <w:p w14:paraId="573CDA6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1738D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5CFD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F884E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21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94649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6FDAF27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现浇混凝土护坡</w:t>
            </w:r>
          </w:p>
        </w:tc>
        <w:tc>
          <w:tcPr>
            <w:tcW w:w="837" w:type="dxa"/>
            <w:noWrap w:val="0"/>
            <w:vAlign w:val="center"/>
          </w:tcPr>
          <w:p w14:paraId="75C606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ED25A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2A5DD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B2326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B93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96CF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655A68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预制安装混凝土护坡</w:t>
            </w:r>
          </w:p>
        </w:tc>
        <w:tc>
          <w:tcPr>
            <w:tcW w:w="837" w:type="dxa"/>
            <w:noWrap w:val="0"/>
            <w:vAlign w:val="center"/>
          </w:tcPr>
          <w:p w14:paraId="08AFB7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44A14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85554D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B78B1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D9C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C6F4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0D244A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喷射混凝土护坡</w:t>
            </w:r>
          </w:p>
        </w:tc>
        <w:tc>
          <w:tcPr>
            <w:tcW w:w="837" w:type="dxa"/>
            <w:noWrap w:val="0"/>
            <w:vAlign w:val="center"/>
          </w:tcPr>
          <w:p w14:paraId="4B20CDB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688B6E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CA992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C29D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A63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41BEF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64C254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浆砌护面墙</w:t>
            </w:r>
          </w:p>
        </w:tc>
        <w:tc>
          <w:tcPr>
            <w:tcW w:w="837" w:type="dxa"/>
            <w:noWrap w:val="0"/>
            <w:vAlign w:val="center"/>
          </w:tcPr>
          <w:p w14:paraId="0FF7A08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5C0F99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778B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41B5C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9F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55C8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14E9622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现浇混凝土护面墙</w:t>
            </w:r>
          </w:p>
        </w:tc>
        <w:tc>
          <w:tcPr>
            <w:tcW w:w="837" w:type="dxa"/>
            <w:noWrap w:val="0"/>
            <w:vAlign w:val="center"/>
          </w:tcPr>
          <w:p w14:paraId="2D1713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67BD1E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F5B3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43EB8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A80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3ADF2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4811749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混凝土挡土墙</w:t>
            </w:r>
          </w:p>
        </w:tc>
        <w:tc>
          <w:tcPr>
            <w:tcW w:w="837" w:type="dxa"/>
            <w:noWrap w:val="0"/>
            <w:vAlign w:val="center"/>
          </w:tcPr>
          <w:p w14:paraId="31142B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4896D5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B1A32D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279B3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618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BD9CD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-h</w:t>
            </w:r>
          </w:p>
        </w:tc>
        <w:tc>
          <w:tcPr>
            <w:tcW w:w="4644" w:type="dxa"/>
            <w:noWrap w:val="0"/>
            <w:vAlign w:val="center"/>
          </w:tcPr>
          <w:p w14:paraId="608A1C9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地表注浆</w:t>
            </w:r>
          </w:p>
        </w:tc>
        <w:tc>
          <w:tcPr>
            <w:tcW w:w="837" w:type="dxa"/>
            <w:noWrap w:val="0"/>
            <w:vAlign w:val="center"/>
          </w:tcPr>
          <w:p w14:paraId="7D72D35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FA51E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04E3C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C47D26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10A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0972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-i</w:t>
            </w:r>
          </w:p>
        </w:tc>
        <w:tc>
          <w:tcPr>
            <w:tcW w:w="4644" w:type="dxa"/>
            <w:noWrap w:val="0"/>
            <w:vAlign w:val="center"/>
          </w:tcPr>
          <w:p w14:paraId="53B62A6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9E3310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C822E4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68BED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F4913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797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3D061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-j</w:t>
            </w:r>
          </w:p>
        </w:tc>
        <w:tc>
          <w:tcPr>
            <w:tcW w:w="4644" w:type="dxa"/>
            <w:noWrap w:val="0"/>
            <w:vAlign w:val="center"/>
          </w:tcPr>
          <w:p w14:paraId="44B9E28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w:t>
            </w:r>
          </w:p>
        </w:tc>
        <w:tc>
          <w:tcPr>
            <w:tcW w:w="837" w:type="dxa"/>
            <w:noWrap w:val="0"/>
            <w:vAlign w:val="center"/>
          </w:tcPr>
          <w:p w14:paraId="2E466F2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75C29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CB3D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2D2F3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37C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C3925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w:t>
            </w:r>
          </w:p>
        </w:tc>
        <w:tc>
          <w:tcPr>
            <w:tcW w:w="4644" w:type="dxa"/>
            <w:noWrap w:val="0"/>
            <w:vAlign w:val="center"/>
          </w:tcPr>
          <w:p w14:paraId="19F794E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主动防护系统</w:t>
            </w:r>
          </w:p>
        </w:tc>
        <w:tc>
          <w:tcPr>
            <w:tcW w:w="837" w:type="dxa"/>
            <w:noWrap w:val="0"/>
            <w:vAlign w:val="center"/>
          </w:tcPr>
          <w:p w14:paraId="48C117B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61924D3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9F293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1C4F1F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92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A687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-l</w:t>
            </w:r>
          </w:p>
        </w:tc>
        <w:tc>
          <w:tcPr>
            <w:tcW w:w="4644" w:type="dxa"/>
            <w:noWrap w:val="0"/>
            <w:vAlign w:val="center"/>
          </w:tcPr>
          <w:p w14:paraId="58F0ECE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被动防护系统</w:t>
            </w:r>
          </w:p>
        </w:tc>
        <w:tc>
          <w:tcPr>
            <w:tcW w:w="837" w:type="dxa"/>
            <w:noWrap w:val="0"/>
            <w:vAlign w:val="center"/>
          </w:tcPr>
          <w:p w14:paraId="1FE7861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A91A35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39DF4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F763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D15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3C276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502-4</w:t>
            </w:r>
          </w:p>
        </w:tc>
        <w:tc>
          <w:tcPr>
            <w:tcW w:w="4644" w:type="dxa"/>
            <w:noWrap w:val="0"/>
            <w:vAlign w:val="center"/>
          </w:tcPr>
          <w:p w14:paraId="05CF13E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洞门建筑</w:t>
            </w:r>
          </w:p>
        </w:tc>
        <w:tc>
          <w:tcPr>
            <w:tcW w:w="837" w:type="dxa"/>
            <w:noWrap w:val="0"/>
            <w:vAlign w:val="center"/>
          </w:tcPr>
          <w:p w14:paraId="693F221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058049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98F6EB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28FC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01E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C6239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B25489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288570C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CD3B5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36818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329FF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A9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BA21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82E9C9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预制安装混凝土块</w:t>
            </w:r>
          </w:p>
        </w:tc>
        <w:tc>
          <w:tcPr>
            <w:tcW w:w="837" w:type="dxa"/>
            <w:noWrap w:val="0"/>
            <w:vAlign w:val="center"/>
          </w:tcPr>
          <w:p w14:paraId="2366411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717CB9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85E16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1A69D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F8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EA051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845AC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浆砌片粗料石（块石）</w:t>
            </w:r>
          </w:p>
        </w:tc>
        <w:tc>
          <w:tcPr>
            <w:tcW w:w="837" w:type="dxa"/>
            <w:noWrap w:val="0"/>
            <w:vAlign w:val="center"/>
          </w:tcPr>
          <w:p w14:paraId="69B3006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50F7B1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37D9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D38A0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B5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E34A1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7DF558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洞门墙装修</w:t>
            </w:r>
          </w:p>
        </w:tc>
        <w:tc>
          <w:tcPr>
            <w:tcW w:w="837" w:type="dxa"/>
            <w:noWrap w:val="0"/>
            <w:vAlign w:val="center"/>
          </w:tcPr>
          <w:p w14:paraId="2D970C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639E278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F9ECD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E4B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0B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204F3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3817F3B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1F93DB3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9284E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65E2CF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12AA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98E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BC63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2CE5B18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隧道铭牌</w:t>
            </w:r>
          </w:p>
        </w:tc>
        <w:tc>
          <w:tcPr>
            <w:tcW w:w="837" w:type="dxa"/>
            <w:noWrap w:val="0"/>
            <w:vAlign w:val="center"/>
          </w:tcPr>
          <w:p w14:paraId="409FF7C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698EDD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EB1B0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345F81">
            <w:pPr>
              <w:pageBreakBefore w:val="0"/>
              <w:kinsoku/>
              <w:wordWrap w:val="0"/>
              <w:bidi w:val="0"/>
              <w:spacing w:line="360" w:lineRule="atLeast"/>
              <w:jc w:val="center"/>
              <w:rPr>
                <w:rFonts w:hint="default" w:ascii="Times New Roman" w:hAnsi="Times New Roman" w:cs="Times New Roman"/>
                <w:color w:val="auto"/>
                <w:szCs w:val="21"/>
                <w:highlight w:val="none"/>
              </w:rPr>
            </w:pPr>
          </w:p>
        </w:tc>
      </w:tr>
    </w:tbl>
    <w:p w14:paraId="647867E6">
      <w:pPr>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1FA0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400556A">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第500章   隧  道</w:t>
            </w:r>
          </w:p>
        </w:tc>
      </w:tr>
      <w:tr w14:paraId="75B5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0E3580B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136C5A2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C8FAFC8">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71B9EC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536A32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69E9729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E57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D048B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502-5</w:t>
            </w:r>
          </w:p>
        </w:tc>
        <w:tc>
          <w:tcPr>
            <w:tcW w:w="4644" w:type="dxa"/>
            <w:tcBorders>
              <w:top w:val="single" w:color="auto" w:sz="4" w:space="0"/>
              <w:left w:val="single" w:color="auto" w:sz="4" w:space="0"/>
              <w:right w:val="single" w:color="auto" w:sz="4" w:space="0"/>
            </w:tcBorders>
            <w:noWrap w:val="0"/>
            <w:vAlign w:val="center"/>
          </w:tcPr>
          <w:p w14:paraId="56ABEC8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明洞衬砌</w:t>
            </w:r>
          </w:p>
        </w:tc>
        <w:tc>
          <w:tcPr>
            <w:tcW w:w="837" w:type="dxa"/>
            <w:tcBorders>
              <w:top w:val="single" w:color="auto" w:sz="4" w:space="0"/>
              <w:left w:val="single" w:color="auto" w:sz="4" w:space="0"/>
              <w:right w:val="single" w:color="auto" w:sz="4" w:space="0"/>
            </w:tcBorders>
            <w:noWrap w:val="0"/>
            <w:vAlign w:val="center"/>
          </w:tcPr>
          <w:p w14:paraId="4284C48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5A3BF3C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2AB7364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51B77D8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AD6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B97DF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5B47DDF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tcBorders>
              <w:top w:val="single" w:color="auto" w:sz="4" w:space="0"/>
              <w:left w:val="single" w:color="auto" w:sz="4" w:space="0"/>
              <w:right w:val="single" w:color="auto" w:sz="4" w:space="0"/>
            </w:tcBorders>
            <w:noWrap w:val="0"/>
            <w:vAlign w:val="center"/>
          </w:tcPr>
          <w:p w14:paraId="6724578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3C6BBA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B01FB5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BE8EE6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B8F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top w:val="single" w:color="auto" w:sz="4" w:space="0"/>
              <w:left w:val="single" w:color="auto" w:sz="12" w:space="0"/>
              <w:right w:val="single" w:color="auto" w:sz="4" w:space="0"/>
            </w:tcBorders>
            <w:noWrap w:val="0"/>
            <w:vAlign w:val="center"/>
          </w:tcPr>
          <w:p w14:paraId="38C7DDD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194A32B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tcBorders>
              <w:top w:val="single" w:color="auto" w:sz="4" w:space="0"/>
              <w:left w:val="single" w:color="auto" w:sz="4" w:space="0"/>
              <w:right w:val="single" w:color="auto" w:sz="4" w:space="0"/>
            </w:tcBorders>
            <w:noWrap w:val="0"/>
            <w:vAlign w:val="center"/>
          </w:tcPr>
          <w:p w14:paraId="02DEE1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tcBorders>
              <w:top w:val="single" w:color="auto" w:sz="4" w:space="0"/>
              <w:left w:val="single" w:color="auto" w:sz="4" w:space="0"/>
              <w:right w:val="single" w:color="auto" w:sz="4" w:space="0"/>
            </w:tcBorders>
            <w:noWrap w:val="0"/>
            <w:vAlign w:val="center"/>
          </w:tcPr>
          <w:p w14:paraId="3A5E43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3ADDD7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D9C8E5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70B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DC5C59E">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502-6</w:t>
            </w:r>
          </w:p>
        </w:tc>
        <w:tc>
          <w:tcPr>
            <w:tcW w:w="4644" w:type="dxa"/>
            <w:tcBorders>
              <w:top w:val="single" w:color="auto" w:sz="4" w:space="0"/>
              <w:left w:val="single" w:color="auto" w:sz="4" w:space="0"/>
              <w:right w:val="single" w:color="auto" w:sz="4" w:space="0"/>
            </w:tcBorders>
            <w:noWrap w:val="0"/>
            <w:vAlign w:val="center"/>
          </w:tcPr>
          <w:p w14:paraId="41AB6B0C">
            <w:pPr>
              <w:pageBreakBefore w:val="0"/>
              <w:widowControl/>
              <w:kinsoku/>
              <w:wordWrap w:val="0"/>
              <w:bidi w:val="0"/>
              <w:spacing w:line="340" w:lineRule="atLeast"/>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遮光棚（板）</w:t>
            </w:r>
          </w:p>
        </w:tc>
        <w:tc>
          <w:tcPr>
            <w:tcW w:w="837" w:type="dxa"/>
            <w:tcBorders>
              <w:top w:val="single" w:color="auto" w:sz="4" w:space="0"/>
              <w:left w:val="single" w:color="auto" w:sz="4" w:space="0"/>
              <w:right w:val="single" w:color="auto" w:sz="4" w:space="0"/>
            </w:tcBorders>
            <w:noWrap w:val="0"/>
            <w:vAlign w:val="center"/>
          </w:tcPr>
          <w:p w14:paraId="3E9EDD6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68583D1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66F049F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3CB9DF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850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ED1103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502-7</w:t>
            </w:r>
          </w:p>
        </w:tc>
        <w:tc>
          <w:tcPr>
            <w:tcW w:w="4644" w:type="dxa"/>
            <w:tcBorders>
              <w:top w:val="single" w:color="auto" w:sz="4" w:space="0"/>
              <w:left w:val="single" w:color="auto" w:sz="4" w:space="0"/>
              <w:right w:val="single" w:color="auto" w:sz="4" w:space="0"/>
            </w:tcBorders>
            <w:noWrap w:val="0"/>
            <w:vAlign w:val="center"/>
          </w:tcPr>
          <w:p w14:paraId="2FD15BB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洞顶回填</w:t>
            </w:r>
          </w:p>
        </w:tc>
        <w:tc>
          <w:tcPr>
            <w:tcW w:w="837" w:type="dxa"/>
            <w:tcBorders>
              <w:top w:val="single" w:color="auto" w:sz="4" w:space="0"/>
              <w:left w:val="single" w:color="auto" w:sz="4" w:space="0"/>
              <w:right w:val="single" w:color="auto" w:sz="4" w:space="0"/>
            </w:tcBorders>
            <w:noWrap w:val="0"/>
            <w:vAlign w:val="center"/>
          </w:tcPr>
          <w:p w14:paraId="7C4C4A7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tcBorders>
              <w:top w:val="single" w:color="auto" w:sz="4" w:space="0"/>
              <w:left w:val="single" w:color="auto" w:sz="4" w:space="0"/>
              <w:right w:val="single" w:color="auto" w:sz="4" w:space="0"/>
            </w:tcBorders>
            <w:noWrap w:val="0"/>
            <w:vAlign w:val="center"/>
          </w:tcPr>
          <w:p w14:paraId="2BAC004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77ABB49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89F710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0CD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C5B137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tcBorders>
              <w:top w:val="single" w:color="auto" w:sz="4" w:space="0"/>
              <w:left w:val="single" w:color="auto" w:sz="4" w:space="0"/>
              <w:right w:val="single" w:color="auto" w:sz="4" w:space="0"/>
            </w:tcBorders>
            <w:noWrap w:val="0"/>
            <w:vAlign w:val="center"/>
          </w:tcPr>
          <w:p w14:paraId="2C43B35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防水层</w:t>
            </w:r>
          </w:p>
        </w:tc>
        <w:tc>
          <w:tcPr>
            <w:tcW w:w="837" w:type="dxa"/>
            <w:tcBorders>
              <w:top w:val="single" w:color="auto" w:sz="4" w:space="0"/>
              <w:left w:val="single" w:color="auto" w:sz="4" w:space="0"/>
              <w:right w:val="single" w:color="auto" w:sz="4" w:space="0"/>
            </w:tcBorders>
            <w:noWrap w:val="0"/>
            <w:vAlign w:val="center"/>
          </w:tcPr>
          <w:p w14:paraId="2613E6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2EA2260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1A618F4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4891CA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DE9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799E3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tcBorders>
              <w:top w:val="single" w:color="auto" w:sz="4" w:space="0"/>
              <w:left w:val="single" w:color="auto" w:sz="4" w:space="0"/>
              <w:right w:val="single" w:color="auto" w:sz="4" w:space="0"/>
            </w:tcBorders>
            <w:noWrap w:val="0"/>
            <w:vAlign w:val="center"/>
          </w:tcPr>
          <w:p w14:paraId="4C9879B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黏土防水层</w:t>
            </w:r>
          </w:p>
        </w:tc>
        <w:tc>
          <w:tcPr>
            <w:tcW w:w="837" w:type="dxa"/>
            <w:tcBorders>
              <w:top w:val="single" w:color="auto" w:sz="4" w:space="0"/>
              <w:left w:val="single" w:color="auto" w:sz="4" w:space="0"/>
              <w:right w:val="single" w:color="auto" w:sz="4" w:space="0"/>
            </w:tcBorders>
            <w:noWrap w:val="0"/>
            <w:vAlign w:val="center"/>
          </w:tcPr>
          <w:p w14:paraId="68A2585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573556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71500B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4FB9FE0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C6C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177B41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tcBorders>
              <w:top w:val="single" w:color="auto" w:sz="4" w:space="0"/>
              <w:left w:val="single" w:color="auto" w:sz="4" w:space="0"/>
              <w:right w:val="single" w:color="auto" w:sz="4" w:space="0"/>
            </w:tcBorders>
            <w:noWrap w:val="0"/>
            <w:vAlign w:val="center"/>
          </w:tcPr>
          <w:p w14:paraId="3CA4862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土工合成材料</w:t>
            </w:r>
          </w:p>
        </w:tc>
        <w:tc>
          <w:tcPr>
            <w:tcW w:w="837" w:type="dxa"/>
            <w:tcBorders>
              <w:top w:val="single" w:color="auto" w:sz="4" w:space="0"/>
              <w:left w:val="single" w:color="auto" w:sz="4" w:space="0"/>
              <w:right w:val="single" w:color="auto" w:sz="4" w:space="0"/>
            </w:tcBorders>
            <w:noWrap w:val="0"/>
            <w:vAlign w:val="center"/>
          </w:tcPr>
          <w:p w14:paraId="0B6413F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tcBorders>
              <w:top w:val="single" w:color="auto" w:sz="4" w:space="0"/>
              <w:left w:val="single" w:color="auto" w:sz="4" w:space="0"/>
              <w:right w:val="single" w:color="auto" w:sz="4" w:space="0"/>
            </w:tcBorders>
            <w:noWrap w:val="0"/>
            <w:vAlign w:val="center"/>
          </w:tcPr>
          <w:p w14:paraId="3C76012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2879D5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135702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0D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3A567F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tcBorders>
              <w:top w:val="single" w:color="auto" w:sz="4" w:space="0"/>
              <w:left w:val="single" w:color="auto" w:sz="4" w:space="0"/>
              <w:right w:val="single" w:color="auto" w:sz="4" w:space="0"/>
            </w:tcBorders>
            <w:noWrap w:val="0"/>
            <w:vAlign w:val="center"/>
          </w:tcPr>
          <w:p w14:paraId="292B745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回填</w:t>
            </w:r>
          </w:p>
        </w:tc>
        <w:tc>
          <w:tcPr>
            <w:tcW w:w="837" w:type="dxa"/>
            <w:tcBorders>
              <w:top w:val="single" w:color="auto" w:sz="4" w:space="0"/>
              <w:left w:val="single" w:color="auto" w:sz="4" w:space="0"/>
              <w:right w:val="single" w:color="auto" w:sz="4" w:space="0"/>
            </w:tcBorders>
            <w:noWrap w:val="0"/>
            <w:vAlign w:val="center"/>
          </w:tcPr>
          <w:p w14:paraId="1807E54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tcBorders>
              <w:top w:val="single" w:color="auto" w:sz="4" w:space="0"/>
              <w:left w:val="single" w:color="auto" w:sz="4" w:space="0"/>
              <w:right w:val="single" w:color="auto" w:sz="4" w:space="0"/>
            </w:tcBorders>
            <w:noWrap w:val="0"/>
            <w:vAlign w:val="center"/>
          </w:tcPr>
          <w:p w14:paraId="0BB1FA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68918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2222FED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9F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85BF52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w:t>
            </w:r>
          </w:p>
        </w:tc>
        <w:tc>
          <w:tcPr>
            <w:tcW w:w="4644" w:type="dxa"/>
            <w:tcBorders>
              <w:top w:val="single" w:color="auto" w:sz="4" w:space="0"/>
              <w:left w:val="single" w:color="auto" w:sz="4" w:space="0"/>
              <w:right w:val="single" w:color="auto" w:sz="4" w:space="0"/>
            </w:tcBorders>
            <w:noWrap w:val="0"/>
            <w:vAlign w:val="center"/>
          </w:tcPr>
          <w:p w14:paraId="33F3D59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w:t>
            </w:r>
          </w:p>
        </w:tc>
        <w:tc>
          <w:tcPr>
            <w:tcW w:w="837" w:type="dxa"/>
            <w:tcBorders>
              <w:top w:val="single" w:color="auto" w:sz="4" w:space="0"/>
              <w:left w:val="single" w:color="auto" w:sz="4" w:space="0"/>
              <w:right w:val="single" w:color="auto" w:sz="4" w:space="0"/>
            </w:tcBorders>
            <w:noWrap w:val="0"/>
            <w:vAlign w:val="center"/>
          </w:tcPr>
          <w:p w14:paraId="683E2812">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0908762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60C46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0BD7BC9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7E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6FE97B">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503-1</w:t>
            </w:r>
          </w:p>
        </w:tc>
        <w:tc>
          <w:tcPr>
            <w:tcW w:w="4644" w:type="dxa"/>
            <w:noWrap w:val="0"/>
            <w:vAlign w:val="center"/>
          </w:tcPr>
          <w:p w14:paraId="6DC6E3B4">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洞身开挖</w:t>
            </w:r>
          </w:p>
        </w:tc>
        <w:tc>
          <w:tcPr>
            <w:tcW w:w="837" w:type="dxa"/>
            <w:noWrap w:val="0"/>
            <w:vAlign w:val="center"/>
          </w:tcPr>
          <w:p w14:paraId="6140212D">
            <w:pPr>
              <w:pageBreakBefore w:val="0"/>
              <w:kinsoku/>
              <w:wordWrap w:val="0"/>
              <w:bidi w:val="0"/>
              <w:spacing w:line="340" w:lineRule="atLeast"/>
              <w:rPr>
                <w:rFonts w:hint="default" w:ascii="Times New Roman" w:hAnsi="Times New Roman" w:cs="Times New Roman"/>
                <w:color w:val="auto"/>
                <w:szCs w:val="21"/>
                <w:highlight w:val="none"/>
              </w:rPr>
            </w:pPr>
          </w:p>
        </w:tc>
        <w:tc>
          <w:tcPr>
            <w:tcW w:w="837" w:type="dxa"/>
            <w:noWrap w:val="0"/>
            <w:vAlign w:val="center"/>
          </w:tcPr>
          <w:p w14:paraId="6CBC016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70103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F81C6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5E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30F1A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1C2ECD4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洞身开挖（不含竖井、斜井）</w:t>
            </w:r>
          </w:p>
        </w:tc>
        <w:tc>
          <w:tcPr>
            <w:tcW w:w="837" w:type="dxa"/>
            <w:noWrap w:val="0"/>
            <w:vAlign w:val="center"/>
          </w:tcPr>
          <w:p w14:paraId="0D8DDC2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6C1B2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DCD8C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15D21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137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78D08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D7C48F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竖井洞身开挖</w:t>
            </w:r>
          </w:p>
        </w:tc>
        <w:tc>
          <w:tcPr>
            <w:tcW w:w="837" w:type="dxa"/>
            <w:noWrap w:val="0"/>
            <w:vAlign w:val="center"/>
          </w:tcPr>
          <w:p w14:paraId="5E91360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3E1C16F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BC1E98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0F168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429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F9BBC3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4EC4CDE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斜井洞身开挖</w:t>
            </w:r>
          </w:p>
        </w:tc>
        <w:tc>
          <w:tcPr>
            <w:tcW w:w="837" w:type="dxa"/>
            <w:noWrap w:val="0"/>
            <w:vAlign w:val="center"/>
          </w:tcPr>
          <w:p w14:paraId="2C7BFFA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8720A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0D3C7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10755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55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46A57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503-2</w:t>
            </w:r>
          </w:p>
        </w:tc>
        <w:tc>
          <w:tcPr>
            <w:tcW w:w="4644" w:type="dxa"/>
            <w:noWrap w:val="0"/>
            <w:vAlign w:val="center"/>
          </w:tcPr>
          <w:p w14:paraId="538479E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洞身支护</w:t>
            </w:r>
          </w:p>
        </w:tc>
        <w:tc>
          <w:tcPr>
            <w:tcW w:w="837" w:type="dxa"/>
            <w:noWrap w:val="0"/>
            <w:vAlign w:val="center"/>
          </w:tcPr>
          <w:p w14:paraId="22A6E4E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1DA2CB2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018598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68880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C5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1D5D4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3DF91B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管棚支护</w:t>
            </w:r>
          </w:p>
        </w:tc>
        <w:tc>
          <w:tcPr>
            <w:tcW w:w="837" w:type="dxa"/>
            <w:noWrap w:val="0"/>
            <w:vAlign w:val="center"/>
          </w:tcPr>
          <w:p w14:paraId="2C7B3DA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342BBF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A71C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7810A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8FB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FBD19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-a-1</w:t>
            </w:r>
          </w:p>
        </w:tc>
        <w:tc>
          <w:tcPr>
            <w:tcW w:w="4644" w:type="dxa"/>
            <w:noWrap w:val="0"/>
            <w:vAlign w:val="center"/>
          </w:tcPr>
          <w:p w14:paraId="3DF665C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基础钢管桩</w:t>
            </w:r>
          </w:p>
        </w:tc>
        <w:tc>
          <w:tcPr>
            <w:tcW w:w="837" w:type="dxa"/>
            <w:noWrap w:val="0"/>
            <w:vAlign w:val="center"/>
          </w:tcPr>
          <w:p w14:paraId="29E363D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BC40C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6D1969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D4426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04A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552D2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-a-2</w:t>
            </w:r>
          </w:p>
        </w:tc>
        <w:tc>
          <w:tcPr>
            <w:tcW w:w="4644" w:type="dxa"/>
            <w:noWrap w:val="0"/>
            <w:vAlign w:val="center"/>
          </w:tcPr>
          <w:p w14:paraId="13933DB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套拱混凝土</w:t>
            </w:r>
          </w:p>
        </w:tc>
        <w:tc>
          <w:tcPr>
            <w:tcW w:w="837" w:type="dxa"/>
            <w:noWrap w:val="0"/>
            <w:vAlign w:val="center"/>
          </w:tcPr>
          <w:p w14:paraId="20668ED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39EB962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038E3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56B43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46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1DD2F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-a-3</w:t>
            </w:r>
          </w:p>
        </w:tc>
        <w:tc>
          <w:tcPr>
            <w:tcW w:w="4644" w:type="dxa"/>
            <w:noWrap w:val="0"/>
            <w:vAlign w:val="center"/>
          </w:tcPr>
          <w:p w14:paraId="6D7DB24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孔口管</w:t>
            </w:r>
          </w:p>
        </w:tc>
        <w:tc>
          <w:tcPr>
            <w:tcW w:w="837" w:type="dxa"/>
            <w:noWrap w:val="0"/>
            <w:vAlign w:val="center"/>
          </w:tcPr>
          <w:p w14:paraId="6238ABE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9E415C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820DF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D96EE5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B56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205D6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-a-4</w:t>
            </w:r>
          </w:p>
        </w:tc>
        <w:tc>
          <w:tcPr>
            <w:tcW w:w="4644" w:type="dxa"/>
            <w:noWrap w:val="0"/>
            <w:vAlign w:val="center"/>
          </w:tcPr>
          <w:p w14:paraId="110FFA0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套拱钢架</w:t>
            </w:r>
          </w:p>
        </w:tc>
        <w:tc>
          <w:tcPr>
            <w:tcW w:w="837" w:type="dxa"/>
            <w:noWrap w:val="0"/>
            <w:vAlign w:val="center"/>
          </w:tcPr>
          <w:p w14:paraId="42BD00E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82EAA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150C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8EA18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8D7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D6A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-a-5</w:t>
            </w:r>
          </w:p>
        </w:tc>
        <w:tc>
          <w:tcPr>
            <w:tcW w:w="4644" w:type="dxa"/>
            <w:noWrap w:val="0"/>
            <w:vAlign w:val="center"/>
          </w:tcPr>
          <w:p w14:paraId="2CF5B4E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451A79F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A68E9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5BEE0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4CD98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1E5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69680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-a-6</w:t>
            </w:r>
          </w:p>
        </w:tc>
        <w:tc>
          <w:tcPr>
            <w:tcW w:w="4644" w:type="dxa"/>
            <w:noWrap w:val="0"/>
            <w:vAlign w:val="center"/>
          </w:tcPr>
          <w:p w14:paraId="6BD13B6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管棚</w:t>
            </w:r>
          </w:p>
        </w:tc>
        <w:tc>
          <w:tcPr>
            <w:tcW w:w="837" w:type="dxa"/>
            <w:noWrap w:val="0"/>
            <w:vAlign w:val="center"/>
          </w:tcPr>
          <w:p w14:paraId="5F5B4B3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ED1105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3D694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331A8A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4B1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16085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B1B18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注浆小导管</w:t>
            </w:r>
          </w:p>
        </w:tc>
        <w:tc>
          <w:tcPr>
            <w:tcW w:w="837" w:type="dxa"/>
            <w:noWrap w:val="0"/>
            <w:vAlign w:val="center"/>
          </w:tcPr>
          <w:p w14:paraId="32509D4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210872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B45371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631BC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B3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DBD3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057AB6E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锚杆支护</w:t>
            </w:r>
          </w:p>
        </w:tc>
        <w:tc>
          <w:tcPr>
            <w:tcW w:w="837" w:type="dxa"/>
            <w:noWrap w:val="0"/>
            <w:vAlign w:val="center"/>
          </w:tcPr>
          <w:p w14:paraId="72AD645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D733A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D9F11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4A6ED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4F7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15F61B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-c-1</w:t>
            </w:r>
          </w:p>
        </w:tc>
        <w:tc>
          <w:tcPr>
            <w:tcW w:w="4644" w:type="dxa"/>
            <w:noWrap w:val="0"/>
            <w:vAlign w:val="center"/>
          </w:tcPr>
          <w:p w14:paraId="76A4F19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砂浆锚杆</w:t>
            </w:r>
          </w:p>
        </w:tc>
        <w:tc>
          <w:tcPr>
            <w:tcW w:w="837" w:type="dxa"/>
            <w:noWrap w:val="0"/>
            <w:vAlign w:val="center"/>
          </w:tcPr>
          <w:p w14:paraId="364D36C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757860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E0DB28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F9950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8A4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DB32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-c-2</w:t>
            </w:r>
          </w:p>
        </w:tc>
        <w:tc>
          <w:tcPr>
            <w:tcW w:w="4644" w:type="dxa"/>
            <w:noWrap w:val="0"/>
            <w:vAlign w:val="center"/>
          </w:tcPr>
          <w:p w14:paraId="076C086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药包锚杆</w:t>
            </w:r>
          </w:p>
        </w:tc>
        <w:tc>
          <w:tcPr>
            <w:tcW w:w="837" w:type="dxa"/>
            <w:noWrap w:val="0"/>
            <w:vAlign w:val="center"/>
          </w:tcPr>
          <w:p w14:paraId="6D0D5E7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0A46E7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37E63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1809B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771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D6FC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-c-3</w:t>
            </w:r>
          </w:p>
        </w:tc>
        <w:tc>
          <w:tcPr>
            <w:tcW w:w="4644" w:type="dxa"/>
            <w:noWrap w:val="0"/>
            <w:vAlign w:val="center"/>
          </w:tcPr>
          <w:p w14:paraId="06F3EBF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中空注浆锚杆</w:t>
            </w:r>
          </w:p>
        </w:tc>
        <w:tc>
          <w:tcPr>
            <w:tcW w:w="837" w:type="dxa"/>
            <w:noWrap w:val="0"/>
            <w:vAlign w:val="center"/>
          </w:tcPr>
          <w:p w14:paraId="44BFA2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A5BE8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8E5C7F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3A639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590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EF9D3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-c-4</w:t>
            </w:r>
          </w:p>
        </w:tc>
        <w:tc>
          <w:tcPr>
            <w:tcW w:w="4644" w:type="dxa"/>
            <w:noWrap w:val="0"/>
            <w:vAlign w:val="center"/>
          </w:tcPr>
          <w:p w14:paraId="0CC0790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自进式锚杆</w:t>
            </w:r>
          </w:p>
        </w:tc>
        <w:tc>
          <w:tcPr>
            <w:tcW w:w="837" w:type="dxa"/>
            <w:noWrap w:val="0"/>
            <w:vAlign w:val="center"/>
          </w:tcPr>
          <w:p w14:paraId="1D9E6B0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5AA2E7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C829A2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5CA89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07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BFB027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-c-5</w:t>
            </w:r>
          </w:p>
        </w:tc>
        <w:tc>
          <w:tcPr>
            <w:tcW w:w="4644" w:type="dxa"/>
            <w:noWrap w:val="0"/>
            <w:vAlign w:val="center"/>
          </w:tcPr>
          <w:p w14:paraId="261EFFA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预应力锚杆</w:t>
            </w:r>
          </w:p>
        </w:tc>
        <w:tc>
          <w:tcPr>
            <w:tcW w:w="837" w:type="dxa"/>
            <w:noWrap w:val="0"/>
            <w:vAlign w:val="center"/>
          </w:tcPr>
          <w:p w14:paraId="0D89D7B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EEEE0C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8CAD0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2C8F5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CEA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BEBC5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338AC8A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喷射混凝土支护</w:t>
            </w:r>
          </w:p>
        </w:tc>
        <w:tc>
          <w:tcPr>
            <w:tcW w:w="837" w:type="dxa"/>
            <w:noWrap w:val="0"/>
            <w:vAlign w:val="center"/>
          </w:tcPr>
          <w:p w14:paraId="5E39A40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28B3A3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2E0AC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666A43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CD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00070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4644" w:type="dxa"/>
            <w:noWrap w:val="0"/>
            <w:vAlign w:val="center"/>
          </w:tcPr>
          <w:p w14:paraId="4356A84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钢筋网</w:t>
            </w:r>
          </w:p>
        </w:tc>
        <w:tc>
          <w:tcPr>
            <w:tcW w:w="837" w:type="dxa"/>
            <w:noWrap w:val="0"/>
            <w:vAlign w:val="center"/>
          </w:tcPr>
          <w:p w14:paraId="10E1DCF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9DE75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6856F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AFFEB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616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6B9E9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-d-2</w:t>
            </w:r>
          </w:p>
        </w:tc>
        <w:tc>
          <w:tcPr>
            <w:tcW w:w="4644" w:type="dxa"/>
            <w:noWrap w:val="0"/>
            <w:vAlign w:val="center"/>
          </w:tcPr>
          <w:p w14:paraId="73E4734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喷射混凝土</w:t>
            </w:r>
          </w:p>
        </w:tc>
        <w:tc>
          <w:tcPr>
            <w:tcW w:w="837" w:type="dxa"/>
            <w:noWrap w:val="0"/>
            <w:vAlign w:val="center"/>
          </w:tcPr>
          <w:p w14:paraId="541699B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5F9C6C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6586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9C2BA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3D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D44A1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23F2D82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钢支架支护</w:t>
            </w:r>
          </w:p>
        </w:tc>
        <w:tc>
          <w:tcPr>
            <w:tcW w:w="837" w:type="dxa"/>
            <w:noWrap w:val="0"/>
            <w:vAlign w:val="center"/>
          </w:tcPr>
          <w:p w14:paraId="04C326D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C17E36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B3AA8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75AE0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B6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B5064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-e-1</w:t>
            </w:r>
          </w:p>
        </w:tc>
        <w:tc>
          <w:tcPr>
            <w:tcW w:w="4644" w:type="dxa"/>
            <w:noWrap w:val="0"/>
            <w:vAlign w:val="center"/>
          </w:tcPr>
          <w:p w14:paraId="3F2F70F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型钢支架</w:t>
            </w:r>
          </w:p>
        </w:tc>
        <w:tc>
          <w:tcPr>
            <w:tcW w:w="837" w:type="dxa"/>
            <w:noWrap w:val="0"/>
            <w:vAlign w:val="center"/>
          </w:tcPr>
          <w:p w14:paraId="5EBBFCC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FD312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C203E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9AFC2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416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024A0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-e-2</w:t>
            </w:r>
          </w:p>
        </w:tc>
        <w:tc>
          <w:tcPr>
            <w:tcW w:w="4644" w:type="dxa"/>
            <w:noWrap w:val="0"/>
            <w:vAlign w:val="center"/>
          </w:tcPr>
          <w:p w14:paraId="7B8A922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钢筋格栅</w:t>
            </w:r>
          </w:p>
        </w:tc>
        <w:tc>
          <w:tcPr>
            <w:tcW w:w="837" w:type="dxa"/>
            <w:noWrap w:val="0"/>
            <w:vAlign w:val="center"/>
          </w:tcPr>
          <w:p w14:paraId="1F5EB95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62B95DE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E93A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EEB44E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36E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D9C7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w:t>
            </w:r>
          </w:p>
        </w:tc>
        <w:tc>
          <w:tcPr>
            <w:tcW w:w="4644" w:type="dxa"/>
            <w:noWrap w:val="0"/>
            <w:vAlign w:val="center"/>
          </w:tcPr>
          <w:p w14:paraId="7DE9875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493331E4">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4DF7B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02C747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F40A2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46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DB2F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504-1</w:t>
            </w:r>
          </w:p>
        </w:tc>
        <w:tc>
          <w:tcPr>
            <w:tcW w:w="4644" w:type="dxa"/>
            <w:noWrap w:val="0"/>
            <w:vAlign w:val="center"/>
          </w:tcPr>
          <w:p w14:paraId="480DFC2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洞身衬砌</w:t>
            </w:r>
          </w:p>
        </w:tc>
        <w:tc>
          <w:tcPr>
            <w:tcW w:w="837" w:type="dxa"/>
            <w:noWrap w:val="0"/>
            <w:vAlign w:val="center"/>
          </w:tcPr>
          <w:p w14:paraId="6AFD8C9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0B1E6CD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8A20B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78792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F5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CA41A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6881DF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09BF9E1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6C5A2A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1D61AD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ED78F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B9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9874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1BDB17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1BEFC0F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C8ED8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4C112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71B3F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891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91635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504-2</w:t>
            </w:r>
          </w:p>
        </w:tc>
        <w:tc>
          <w:tcPr>
            <w:tcW w:w="4644" w:type="dxa"/>
            <w:noWrap w:val="0"/>
            <w:vAlign w:val="center"/>
          </w:tcPr>
          <w:p w14:paraId="5F1AB57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仰拱、铺底混凝土</w:t>
            </w:r>
          </w:p>
        </w:tc>
        <w:tc>
          <w:tcPr>
            <w:tcW w:w="837" w:type="dxa"/>
            <w:noWrap w:val="0"/>
            <w:vAlign w:val="center"/>
          </w:tcPr>
          <w:p w14:paraId="6E343B75">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57E646B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FAE6F6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2DCA0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AA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0D4C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EC9F86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w:t>
            </w:r>
          </w:p>
        </w:tc>
        <w:tc>
          <w:tcPr>
            <w:tcW w:w="837" w:type="dxa"/>
            <w:noWrap w:val="0"/>
            <w:vAlign w:val="center"/>
          </w:tcPr>
          <w:p w14:paraId="6BB2707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772C2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9CA6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430C3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5DC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384FC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6F79608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现浇混凝土仰拱回填</w:t>
            </w:r>
          </w:p>
        </w:tc>
        <w:tc>
          <w:tcPr>
            <w:tcW w:w="837" w:type="dxa"/>
            <w:noWrap w:val="0"/>
            <w:vAlign w:val="center"/>
          </w:tcPr>
          <w:p w14:paraId="7EA79BE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7804B8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F83A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CFF53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536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0DB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504-3</w:t>
            </w:r>
          </w:p>
        </w:tc>
        <w:tc>
          <w:tcPr>
            <w:tcW w:w="4644" w:type="dxa"/>
            <w:noWrap w:val="0"/>
            <w:vAlign w:val="center"/>
          </w:tcPr>
          <w:p w14:paraId="04A0B8F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边沟、电缆沟混凝土</w:t>
            </w:r>
          </w:p>
        </w:tc>
        <w:tc>
          <w:tcPr>
            <w:tcW w:w="837" w:type="dxa"/>
            <w:noWrap w:val="0"/>
            <w:vAlign w:val="center"/>
          </w:tcPr>
          <w:p w14:paraId="34EB2AD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6DD2D4D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65621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F536A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AA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32DAA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248DE3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现浇混凝土沟槽</w:t>
            </w:r>
          </w:p>
        </w:tc>
        <w:tc>
          <w:tcPr>
            <w:tcW w:w="837" w:type="dxa"/>
            <w:noWrap w:val="0"/>
            <w:vAlign w:val="center"/>
          </w:tcPr>
          <w:p w14:paraId="280EC58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01C47B6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5BF05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3674D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60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C7272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CCA020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w:t>
            </w:r>
          </w:p>
        </w:tc>
        <w:tc>
          <w:tcPr>
            <w:tcW w:w="837" w:type="dxa"/>
            <w:noWrap w:val="0"/>
            <w:vAlign w:val="center"/>
          </w:tcPr>
          <w:p w14:paraId="55DC041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20C559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F059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07E566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16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353E5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196E4A6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预制安装混凝土沟槽盖板</w:t>
            </w:r>
          </w:p>
        </w:tc>
        <w:tc>
          <w:tcPr>
            <w:tcW w:w="837" w:type="dxa"/>
            <w:noWrap w:val="0"/>
            <w:vAlign w:val="center"/>
          </w:tcPr>
          <w:p w14:paraId="16C7ECC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4DC7E99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0DC5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0A85F6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F21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E4553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1FB9AD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7A58E04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18CE71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4F95AF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E98AF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AFF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615B2D3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4BBBAB3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铸铁盖板</w:t>
            </w:r>
          </w:p>
        </w:tc>
        <w:tc>
          <w:tcPr>
            <w:tcW w:w="837" w:type="dxa"/>
            <w:noWrap w:val="0"/>
            <w:vAlign w:val="center"/>
          </w:tcPr>
          <w:p w14:paraId="62DCF1C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CECD9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707AE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11E10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932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2A31437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504-4</w:t>
            </w:r>
          </w:p>
        </w:tc>
        <w:tc>
          <w:tcPr>
            <w:tcW w:w="4644" w:type="dxa"/>
            <w:noWrap w:val="0"/>
            <w:vAlign w:val="center"/>
          </w:tcPr>
          <w:p w14:paraId="044FBEA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洞室门</w:t>
            </w:r>
          </w:p>
        </w:tc>
        <w:tc>
          <w:tcPr>
            <w:tcW w:w="837" w:type="dxa"/>
            <w:noWrap w:val="0"/>
            <w:vAlign w:val="center"/>
          </w:tcPr>
          <w:p w14:paraId="4349F8F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E587C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545C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4F0A9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C18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ADD6B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504-5</w:t>
            </w:r>
          </w:p>
        </w:tc>
        <w:tc>
          <w:tcPr>
            <w:tcW w:w="4644" w:type="dxa"/>
            <w:noWrap w:val="0"/>
            <w:vAlign w:val="center"/>
          </w:tcPr>
          <w:p w14:paraId="6D503A7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洞内路面</w:t>
            </w:r>
          </w:p>
        </w:tc>
        <w:tc>
          <w:tcPr>
            <w:tcW w:w="837" w:type="dxa"/>
            <w:noWrap w:val="0"/>
            <w:vAlign w:val="center"/>
          </w:tcPr>
          <w:p w14:paraId="12C7E90A">
            <w:pPr>
              <w:pageBreakBefore w:val="0"/>
              <w:widowControl/>
              <w:kinsoku/>
              <w:wordWrap w:val="0"/>
              <w:bidi w:val="0"/>
              <w:spacing w:line="340" w:lineRule="atLeast"/>
              <w:rPr>
                <w:rFonts w:hint="default" w:ascii="Times New Roman" w:hAnsi="Times New Roman" w:cs="Times New Roman"/>
                <w:color w:val="auto"/>
                <w:kern w:val="0"/>
                <w:szCs w:val="21"/>
                <w:highlight w:val="none"/>
              </w:rPr>
            </w:pPr>
          </w:p>
        </w:tc>
        <w:tc>
          <w:tcPr>
            <w:tcW w:w="837" w:type="dxa"/>
            <w:noWrap w:val="0"/>
            <w:vAlign w:val="center"/>
          </w:tcPr>
          <w:p w14:paraId="722DF19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1411AD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0B028B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8EF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8A23D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57E848B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837" w:type="dxa"/>
            <w:noWrap w:val="0"/>
            <w:vAlign w:val="center"/>
          </w:tcPr>
          <w:p w14:paraId="285D02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584AF7F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106095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FA01C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C9E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F954C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0B7BEA6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w:t>
            </w:r>
          </w:p>
        </w:tc>
        <w:tc>
          <w:tcPr>
            <w:tcW w:w="837" w:type="dxa"/>
            <w:noWrap w:val="0"/>
            <w:vAlign w:val="center"/>
          </w:tcPr>
          <w:p w14:paraId="4AB65BE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63570E5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CC650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2BC3F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CF4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95FD9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w:t>
            </w:r>
          </w:p>
        </w:tc>
        <w:tc>
          <w:tcPr>
            <w:tcW w:w="4644" w:type="dxa"/>
            <w:noWrap w:val="0"/>
            <w:vAlign w:val="center"/>
          </w:tcPr>
          <w:p w14:paraId="42A0CD9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361E1FC1">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5E2D0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1187F8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53518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0F3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D578D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505-1</w:t>
            </w:r>
          </w:p>
        </w:tc>
        <w:tc>
          <w:tcPr>
            <w:tcW w:w="4644" w:type="dxa"/>
            <w:noWrap w:val="0"/>
            <w:vAlign w:val="center"/>
          </w:tcPr>
          <w:p w14:paraId="5CFE242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防水与排水</w:t>
            </w:r>
          </w:p>
        </w:tc>
        <w:tc>
          <w:tcPr>
            <w:tcW w:w="837" w:type="dxa"/>
            <w:noWrap w:val="0"/>
            <w:vAlign w:val="center"/>
          </w:tcPr>
          <w:p w14:paraId="63E2A22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837894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5558E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EB3B4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469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73428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2738E634">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金属材料</w:t>
            </w:r>
          </w:p>
        </w:tc>
        <w:tc>
          <w:tcPr>
            <w:tcW w:w="837" w:type="dxa"/>
            <w:noWrap w:val="0"/>
            <w:vAlign w:val="center"/>
          </w:tcPr>
          <w:p w14:paraId="7212B62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A06F74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E3BE81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13A2D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93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0C16F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5143144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排水管</w:t>
            </w:r>
          </w:p>
        </w:tc>
        <w:tc>
          <w:tcPr>
            <w:tcW w:w="837" w:type="dxa"/>
            <w:noWrap w:val="0"/>
            <w:vAlign w:val="center"/>
          </w:tcPr>
          <w:p w14:paraId="45FE899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F07C5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F4BA0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74ECB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426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9FD14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75CD7E7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钢筋混凝土排水管</w:t>
            </w:r>
          </w:p>
        </w:tc>
        <w:tc>
          <w:tcPr>
            <w:tcW w:w="837" w:type="dxa"/>
            <w:noWrap w:val="0"/>
            <w:vAlign w:val="center"/>
          </w:tcPr>
          <w:p w14:paraId="0B572AD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20D92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C4EBAD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96A32D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B08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01B9E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02267D0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PVC排水管</w:t>
            </w:r>
          </w:p>
        </w:tc>
        <w:tc>
          <w:tcPr>
            <w:tcW w:w="837" w:type="dxa"/>
            <w:noWrap w:val="0"/>
            <w:vAlign w:val="center"/>
          </w:tcPr>
          <w:p w14:paraId="6DDB38E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604424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462EE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DBAC4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2D0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80843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6814F2C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U形排水管</w:t>
            </w:r>
          </w:p>
        </w:tc>
        <w:tc>
          <w:tcPr>
            <w:tcW w:w="837" w:type="dxa"/>
            <w:noWrap w:val="0"/>
            <w:vAlign w:val="center"/>
          </w:tcPr>
          <w:p w14:paraId="68FE0FC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3BF18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2D135B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316C92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9D6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E4294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-b-4</w:t>
            </w:r>
          </w:p>
        </w:tc>
        <w:tc>
          <w:tcPr>
            <w:tcW w:w="4644" w:type="dxa"/>
            <w:noWrap w:val="0"/>
            <w:vAlign w:val="center"/>
          </w:tcPr>
          <w:p w14:paraId="685DAD8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Ω形排水管</w:t>
            </w:r>
          </w:p>
        </w:tc>
        <w:tc>
          <w:tcPr>
            <w:tcW w:w="837" w:type="dxa"/>
            <w:noWrap w:val="0"/>
            <w:vAlign w:val="center"/>
          </w:tcPr>
          <w:p w14:paraId="3D91F54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13A977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80F7BB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04FE6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68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784C9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2EDCBDA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防水板</w:t>
            </w:r>
          </w:p>
        </w:tc>
        <w:tc>
          <w:tcPr>
            <w:tcW w:w="837" w:type="dxa"/>
            <w:noWrap w:val="0"/>
            <w:vAlign w:val="center"/>
          </w:tcPr>
          <w:p w14:paraId="1AC9C5C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769E950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050F94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496D05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65D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7E41B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0C21065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止水带</w:t>
            </w:r>
          </w:p>
        </w:tc>
        <w:tc>
          <w:tcPr>
            <w:tcW w:w="837" w:type="dxa"/>
            <w:noWrap w:val="0"/>
            <w:vAlign w:val="center"/>
          </w:tcPr>
          <w:p w14:paraId="64AFBAA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1D8312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24CDC6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CA11B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64F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2F4A1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2B19A78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止水条</w:t>
            </w:r>
          </w:p>
        </w:tc>
        <w:tc>
          <w:tcPr>
            <w:tcW w:w="837" w:type="dxa"/>
            <w:noWrap w:val="0"/>
            <w:vAlign w:val="center"/>
          </w:tcPr>
          <w:p w14:paraId="3F8478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2320A5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FDF89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A84DD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AB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59B16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-f</w:t>
            </w:r>
          </w:p>
        </w:tc>
        <w:tc>
          <w:tcPr>
            <w:tcW w:w="4644" w:type="dxa"/>
            <w:noWrap w:val="0"/>
            <w:vAlign w:val="center"/>
          </w:tcPr>
          <w:p w14:paraId="277943E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涂料防水层</w:t>
            </w:r>
          </w:p>
        </w:tc>
        <w:tc>
          <w:tcPr>
            <w:tcW w:w="837" w:type="dxa"/>
            <w:noWrap w:val="0"/>
            <w:vAlign w:val="center"/>
          </w:tcPr>
          <w:p w14:paraId="5B98A62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6B75EF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6D836F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D0F77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CF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E9240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w:t>
            </w:r>
          </w:p>
        </w:tc>
        <w:tc>
          <w:tcPr>
            <w:tcW w:w="4644" w:type="dxa"/>
            <w:noWrap w:val="0"/>
            <w:vAlign w:val="center"/>
          </w:tcPr>
          <w:p w14:paraId="73217C8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注浆</w:t>
            </w:r>
          </w:p>
        </w:tc>
        <w:tc>
          <w:tcPr>
            <w:tcW w:w="837" w:type="dxa"/>
            <w:noWrap w:val="0"/>
            <w:vAlign w:val="center"/>
          </w:tcPr>
          <w:p w14:paraId="3EB7755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0280D61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92A090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A9377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068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451F88B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-g-1</w:t>
            </w:r>
          </w:p>
        </w:tc>
        <w:tc>
          <w:tcPr>
            <w:tcW w:w="4644" w:type="dxa"/>
            <w:noWrap w:val="0"/>
            <w:vAlign w:val="center"/>
          </w:tcPr>
          <w:p w14:paraId="53B4AB3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水泥</w:t>
            </w:r>
          </w:p>
        </w:tc>
        <w:tc>
          <w:tcPr>
            <w:tcW w:w="837" w:type="dxa"/>
            <w:noWrap w:val="0"/>
            <w:vAlign w:val="center"/>
          </w:tcPr>
          <w:p w14:paraId="3490EC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t</w:t>
            </w:r>
          </w:p>
        </w:tc>
        <w:tc>
          <w:tcPr>
            <w:tcW w:w="837" w:type="dxa"/>
            <w:noWrap w:val="0"/>
            <w:vAlign w:val="center"/>
          </w:tcPr>
          <w:p w14:paraId="4E6D9E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91C76D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62E25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80F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3CEF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-g-2</w:t>
            </w:r>
          </w:p>
        </w:tc>
        <w:tc>
          <w:tcPr>
            <w:tcW w:w="4644" w:type="dxa"/>
            <w:noWrap w:val="0"/>
            <w:vAlign w:val="center"/>
          </w:tcPr>
          <w:p w14:paraId="3FD5048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水玻璃原液</w:t>
            </w:r>
          </w:p>
        </w:tc>
        <w:tc>
          <w:tcPr>
            <w:tcW w:w="837" w:type="dxa"/>
            <w:noWrap w:val="0"/>
            <w:vAlign w:val="center"/>
          </w:tcPr>
          <w:p w14:paraId="43DFCE8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m³</w:t>
            </w:r>
          </w:p>
        </w:tc>
        <w:tc>
          <w:tcPr>
            <w:tcW w:w="837" w:type="dxa"/>
            <w:noWrap w:val="0"/>
            <w:vAlign w:val="center"/>
          </w:tcPr>
          <w:p w14:paraId="15F2515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FA9657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E8222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DB6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12069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505-2</w:t>
            </w:r>
          </w:p>
        </w:tc>
        <w:tc>
          <w:tcPr>
            <w:tcW w:w="4644" w:type="dxa"/>
            <w:noWrap w:val="0"/>
            <w:vAlign w:val="center"/>
          </w:tcPr>
          <w:p w14:paraId="56866B62">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w:t>
            </w:r>
          </w:p>
        </w:tc>
        <w:tc>
          <w:tcPr>
            <w:tcW w:w="837" w:type="dxa"/>
            <w:noWrap w:val="0"/>
            <w:vAlign w:val="center"/>
          </w:tcPr>
          <w:p w14:paraId="2709AABE">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5CE9BB8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7DD9A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FA44B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306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7E4A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0D2482C">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保温层</w:t>
            </w:r>
          </w:p>
        </w:tc>
        <w:tc>
          <w:tcPr>
            <w:tcW w:w="837" w:type="dxa"/>
            <w:noWrap w:val="0"/>
            <w:vAlign w:val="center"/>
          </w:tcPr>
          <w:p w14:paraId="342223A2">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B9DEAA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2616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4AA8F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148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FB8A4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4D1E01A7">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洞口排水保温</w:t>
            </w:r>
          </w:p>
        </w:tc>
        <w:tc>
          <w:tcPr>
            <w:tcW w:w="837" w:type="dxa"/>
            <w:noWrap w:val="0"/>
            <w:vAlign w:val="center"/>
          </w:tcPr>
          <w:p w14:paraId="7308C40E">
            <w:pPr>
              <w:pageBreakBefore w:val="0"/>
              <w:widowControl/>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749DB6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EBAA27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A23D98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CEC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7E88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-b-1</w:t>
            </w:r>
          </w:p>
        </w:tc>
        <w:tc>
          <w:tcPr>
            <w:tcW w:w="4644" w:type="dxa"/>
            <w:noWrap w:val="0"/>
            <w:vAlign w:val="center"/>
          </w:tcPr>
          <w:p w14:paraId="3EBD5D51">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洞口排水沟保温层</w:t>
            </w:r>
          </w:p>
        </w:tc>
        <w:tc>
          <w:tcPr>
            <w:tcW w:w="837" w:type="dxa"/>
            <w:noWrap w:val="0"/>
            <w:vAlign w:val="center"/>
          </w:tcPr>
          <w:p w14:paraId="63DB01BB">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4D13011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6F5E87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4A723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F6B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FC9BE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-b-2</w:t>
            </w:r>
          </w:p>
        </w:tc>
        <w:tc>
          <w:tcPr>
            <w:tcW w:w="4644" w:type="dxa"/>
            <w:noWrap w:val="0"/>
            <w:vAlign w:val="center"/>
          </w:tcPr>
          <w:p w14:paraId="044F6F02">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保温出水口暗管</w:t>
            </w:r>
          </w:p>
        </w:tc>
        <w:tc>
          <w:tcPr>
            <w:tcW w:w="837" w:type="dxa"/>
            <w:noWrap w:val="0"/>
            <w:vAlign w:val="center"/>
          </w:tcPr>
          <w:p w14:paraId="6B56B45D">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m </w:t>
            </w:r>
          </w:p>
        </w:tc>
        <w:tc>
          <w:tcPr>
            <w:tcW w:w="837" w:type="dxa"/>
            <w:noWrap w:val="0"/>
            <w:vAlign w:val="center"/>
          </w:tcPr>
          <w:p w14:paraId="6E16BD1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8EB9C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0D5B63">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B78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1E5DB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-b-3</w:t>
            </w:r>
          </w:p>
        </w:tc>
        <w:tc>
          <w:tcPr>
            <w:tcW w:w="4644" w:type="dxa"/>
            <w:noWrap w:val="0"/>
            <w:vAlign w:val="center"/>
          </w:tcPr>
          <w:p w14:paraId="7FD05A93">
            <w:pPr>
              <w:pageBreakBefore w:val="0"/>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保温出水口</w:t>
            </w:r>
          </w:p>
        </w:tc>
        <w:tc>
          <w:tcPr>
            <w:tcW w:w="837" w:type="dxa"/>
            <w:noWrap w:val="0"/>
            <w:vAlign w:val="center"/>
          </w:tcPr>
          <w:p w14:paraId="0F0B8FF9">
            <w:pPr>
              <w:pageBreakBefore w:val="0"/>
              <w:widowControl/>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w:t>
            </w:r>
          </w:p>
        </w:tc>
        <w:tc>
          <w:tcPr>
            <w:tcW w:w="837" w:type="dxa"/>
            <w:noWrap w:val="0"/>
            <w:vAlign w:val="center"/>
          </w:tcPr>
          <w:p w14:paraId="039CEDF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0DE9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0AC45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CEC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C9BAB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w:t>
            </w:r>
          </w:p>
        </w:tc>
        <w:tc>
          <w:tcPr>
            <w:tcW w:w="4644" w:type="dxa"/>
            <w:noWrap w:val="0"/>
            <w:vAlign w:val="center"/>
          </w:tcPr>
          <w:p w14:paraId="723CC6F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洞内防火涂料和装饰工程</w:t>
            </w:r>
          </w:p>
        </w:tc>
        <w:tc>
          <w:tcPr>
            <w:tcW w:w="837" w:type="dxa"/>
            <w:noWrap w:val="0"/>
            <w:vAlign w:val="center"/>
          </w:tcPr>
          <w:p w14:paraId="1057F997">
            <w:pPr>
              <w:pageBreakBefore w:val="0"/>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43B975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A880D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9B3F5F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C8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F365D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506-1</w:t>
            </w:r>
          </w:p>
        </w:tc>
        <w:tc>
          <w:tcPr>
            <w:tcW w:w="4644" w:type="dxa"/>
            <w:noWrap w:val="0"/>
            <w:vAlign w:val="center"/>
          </w:tcPr>
          <w:p w14:paraId="04C3310A">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洞内防火涂料</w:t>
            </w:r>
          </w:p>
        </w:tc>
        <w:tc>
          <w:tcPr>
            <w:tcW w:w="837" w:type="dxa"/>
            <w:noWrap w:val="0"/>
            <w:vAlign w:val="center"/>
          </w:tcPr>
          <w:p w14:paraId="2F52276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5AF2F5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BA78A4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85BD66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77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0ED14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506-2</w:t>
            </w:r>
          </w:p>
        </w:tc>
        <w:tc>
          <w:tcPr>
            <w:tcW w:w="4644" w:type="dxa"/>
            <w:noWrap w:val="0"/>
            <w:vAlign w:val="center"/>
          </w:tcPr>
          <w:p w14:paraId="4377BEB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洞内装饰工程</w:t>
            </w:r>
          </w:p>
        </w:tc>
        <w:tc>
          <w:tcPr>
            <w:tcW w:w="837" w:type="dxa"/>
            <w:noWrap w:val="0"/>
            <w:vAlign w:val="center"/>
          </w:tcPr>
          <w:p w14:paraId="0CDCF37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1EF856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1A4DF7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704E5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E9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E34F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0D427E7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墙面装饰</w:t>
            </w:r>
          </w:p>
        </w:tc>
        <w:tc>
          <w:tcPr>
            <w:tcW w:w="837" w:type="dxa"/>
            <w:noWrap w:val="0"/>
            <w:vAlign w:val="center"/>
          </w:tcPr>
          <w:p w14:paraId="2FFCF21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09E0864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55F80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26C7DB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D43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A2A25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55FCC3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喷涂混凝土专用漆</w:t>
            </w:r>
          </w:p>
        </w:tc>
        <w:tc>
          <w:tcPr>
            <w:tcW w:w="837" w:type="dxa"/>
            <w:noWrap w:val="0"/>
            <w:vAlign w:val="center"/>
          </w:tcPr>
          <w:p w14:paraId="105854E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3C2AE1C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D70A10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864E7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053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D36AB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69EC416F">
            <w:pPr>
              <w:pageBreakBefore w:val="0"/>
              <w:kinsoku/>
              <w:wordWrap w:val="0"/>
              <w:bidi w:val="0"/>
              <w:spacing w:line="3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吊顶</w:t>
            </w:r>
          </w:p>
        </w:tc>
        <w:tc>
          <w:tcPr>
            <w:tcW w:w="837" w:type="dxa"/>
            <w:noWrap w:val="0"/>
            <w:vAlign w:val="center"/>
          </w:tcPr>
          <w:p w14:paraId="709B1A4A">
            <w:pPr>
              <w:pageBreakBefore w:val="0"/>
              <w:kinsoku/>
              <w:wordWrap w:val="0"/>
              <w:bidi w:val="0"/>
              <w:spacing w:line="3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m²</w:t>
            </w:r>
          </w:p>
        </w:tc>
        <w:tc>
          <w:tcPr>
            <w:tcW w:w="837" w:type="dxa"/>
            <w:noWrap w:val="0"/>
            <w:vAlign w:val="center"/>
          </w:tcPr>
          <w:p w14:paraId="7AEE40B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EE6F0B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99B8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4B6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65631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w:t>
            </w:r>
          </w:p>
        </w:tc>
        <w:tc>
          <w:tcPr>
            <w:tcW w:w="4644" w:type="dxa"/>
            <w:noWrap w:val="0"/>
            <w:vAlign w:val="center"/>
          </w:tcPr>
          <w:p w14:paraId="4B7FAC9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7CC0D6B9">
            <w:pPr>
              <w:pageBreakBefore w:val="0"/>
              <w:widowControl/>
              <w:kinsoku/>
              <w:wordWrap w:val="0"/>
              <w:bidi w:val="0"/>
              <w:spacing w:line="340" w:lineRule="atLeast"/>
              <w:jc w:val="center"/>
              <w:rPr>
                <w:rFonts w:hint="default" w:ascii="Times New Roman" w:hAnsi="Times New Roman" w:cs="Times New Roman"/>
                <w:bCs/>
                <w:color w:val="auto"/>
                <w:kern w:val="0"/>
                <w:szCs w:val="21"/>
                <w:highlight w:val="none"/>
              </w:rPr>
            </w:pPr>
          </w:p>
        </w:tc>
        <w:tc>
          <w:tcPr>
            <w:tcW w:w="837" w:type="dxa"/>
            <w:noWrap w:val="0"/>
            <w:vAlign w:val="center"/>
          </w:tcPr>
          <w:p w14:paraId="21140B3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FCF3D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DB3AC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49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A9DE3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508-1</w:t>
            </w:r>
          </w:p>
        </w:tc>
        <w:tc>
          <w:tcPr>
            <w:tcW w:w="4644" w:type="dxa"/>
            <w:noWrap w:val="0"/>
            <w:vAlign w:val="center"/>
          </w:tcPr>
          <w:p w14:paraId="24A6E5E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监控量测</w:t>
            </w:r>
          </w:p>
        </w:tc>
        <w:tc>
          <w:tcPr>
            <w:tcW w:w="837" w:type="dxa"/>
            <w:noWrap w:val="0"/>
            <w:vAlign w:val="center"/>
          </w:tcPr>
          <w:p w14:paraId="718E321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FD33FF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A8171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CB457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874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09504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727C9C3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必测项目</w:t>
            </w:r>
          </w:p>
        </w:tc>
        <w:tc>
          <w:tcPr>
            <w:tcW w:w="837" w:type="dxa"/>
            <w:noWrap w:val="0"/>
            <w:vAlign w:val="center"/>
          </w:tcPr>
          <w:p w14:paraId="66428C0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7E8EEC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B021E7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36521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7EC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8E8245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71C97CF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选测项目</w:t>
            </w:r>
          </w:p>
        </w:tc>
        <w:tc>
          <w:tcPr>
            <w:tcW w:w="837" w:type="dxa"/>
            <w:noWrap w:val="0"/>
            <w:vAlign w:val="center"/>
          </w:tcPr>
          <w:p w14:paraId="2475408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6D31C23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D5E27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8F2C9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C50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86229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w:t>
            </w:r>
          </w:p>
        </w:tc>
        <w:tc>
          <w:tcPr>
            <w:tcW w:w="4644" w:type="dxa"/>
            <w:noWrap w:val="0"/>
            <w:vAlign w:val="center"/>
          </w:tcPr>
          <w:p w14:paraId="64D146BC">
            <w:pPr>
              <w:pageBreakBefore w:val="0"/>
              <w:widowControl/>
              <w:kinsoku/>
              <w:wordWrap w:val="0"/>
              <w:bidi w:val="0"/>
              <w:spacing w:line="34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特殊地质地段的施工与地质预报</w:t>
            </w:r>
          </w:p>
        </w:tc>
        <w:tc>
          <w:tcPr>
            <w:tcW w:w="837" w:type="dxa"/>
            <w:noWrap w:val="0"/>
            <w:vAlign w:val="center"/>
          </w:tcPr>
          <w:p w14:paraId="6A69C39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EFFEC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24D8B1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7EDCC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B9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F7AC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509-1</w:t>
            </w:r>
          </w:p>
        </w:tc>
        <w:tc>
          <w:tcPr>
            <w:tcW w:w="4644" w:type="dxa"/>
            <w:noWrap w:val="0"/>
            <w:vAlign w:val="center"/>
          </w:tcPr>
          <w:p w14:paraId="2E65DC9E">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地质预报</w:t>
            </w:r>
          </w:p>
        </w:tc>
        <w:tc>
          <w:tcPr>
            <w:tcW w:w="837" w:type="dxa"/>
            <w:noWrap w:val="0"/>
            <w:vAlign w:val="center"/>
          </w:tcPr>
          <w:p w14:paraId="2BDF63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总额</w:t>
            </w:r>
          </w:p>
        </w:tc>
        <w:tc>
          <w:tcPr>
            <w:tcW w:w="837" w:type="dxa"/>
            <w:noWrap w:val="0"/>
            <w:vAlign w:val="center"/>
          </w:tcPr>
          <w:p w14:paraId="44EB34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AE9B47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4EA57A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97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2E547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w:t>
            </w:r>
          </w:p>
        </w:tc>
        <w:tc>
          <w:tcPr>
            <w:tcW w:w="4644" w:type="dxa"/>
            <w:noWrap w:val="0"/>
            <w:vAlign w:val="center"/>
          </w:tcPr>
          <w:p w14:paraId="1A6F0FE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洞内机电设施预埋件和消防设施</w:t>
            </w:r>
          </w:p>
        </w:tc>
        <w:tc>
          <w:tcPr>
            <w:tcW w:w="837" w:type="dxa"/>
            <w:noWrap w:val="0"/>
            <w:vAlign w:val="center"/>
          </w:tcPr>
          <w:p w14:paraId="0E5F77F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2998DA1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047993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B11A5D">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6F9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26D47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510-1</w:t>
            </w:r>
          </w:p>
        </w:tc>
        <w:tc>
          <w:tcPr>
            <w:tcW w:w="4644" w:type="dxa"/>
            <w:noWrap w:val="0"/>
            <w:vAlign w:val="center"/>
          </w:tcPr>
          <w:p w14:paraId="223C274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预埋件</w:t>
            </w:r>
          </w:p>
        </w:tc>
        <w:tc>
          <w:tcPr>
            <w:tcW w:w="837" w:type="dxa"/>
            <w:noWrap w:val="0"/>
            <w:vAlign w:val="center"/>
          </w:tcPr>
          <w:p w14:paraId="723D235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54494CB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27156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1E87B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A1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8134D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644" w:type="dxa"/>
            <w:noWrap w:val="0"/>
            <w:vAlign w:val="center"/>
          </w:tcPr>
          <w:p w14:paraId="4200F9A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通风设施预埋件</w:t>
            </w:r>
          </w:p>
        </w:tc>
        <w:tc>
          <w:tcPr>
            <w:tcW w:w="837" w:type="dxa"/>
            <w:noWrap w:val="0"/>
            <w:vAlign w:val="top"/>
          </w:tcPr>
          <w:p w14:paraId="21B8B84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70DB183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0831D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50054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A43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A62A81">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644" w:type="dxa"/>
            <w:noWrap w:val="0"/>
            <w:vAlign w:val="center"/>
          </w:tcPr>
          <w:p w14:paraId="1127784C">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通信设施预埋件</w:t>
            </w:r>
          </w:p>
        </w:tc>
        <w:tc>
          <w:tcPr>
            <w:tcW w:w="837" w:type="dxa"/>
            <w:noWrap w:val="0"/>
            <w:vAlign w:val="top"/>
          </w:tcPr>
          <w:p w14:paraId="02240196">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09B1FF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09AF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82EFF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044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636F7C">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644" w:type="dxa"/>
            <w:noWrap w:val="0"/>
            <w:vAlign w:val="center"/>
          </w:tcPr>
          <w:p w14:paraId="1B2FD630">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照明设施预埋件</w:t>
            </w:r>
          </w:p>
        </w:tc>
        <w:tc>
          <w:tcPr>
            <w:tcW w:w="837" w:type="dxa"/>
            <w:noWrap w:val="0"/>
            <w:vAlign w:val="top"/>
          </w:tcPr>
          <w:p w14:paraId="347CAE4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21004B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5FEB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22FE6E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D93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99EAE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644" w:type="dxa"/>
            <w:noWrap w:val="0"/>
            <w:vAlign w:val="center"/>
          </w:tcPr>
          <w:p w14:paraId="224B771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监控设施预埋件</w:t>
            </w:r>
          </w:p>
        </w:tc>
        <w:tc>
          <w:tcPr>
            <w:tcW w:w="837" w:type="dxa"/>
            <w:noWrap w:val="0"/>
            <w:vAlign w:val="top"/>
          </w:tcPr>
          <w:p w14:paraId="32CAB12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430992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E4DC20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5927A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4D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8689D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-e</w:t>
            </w:r>
          </w:p>
        </w:tc>
        <w:tc>
          <w:tcPr>
            <w:tcW w:w="4644" w:type="dxa"/>
            <w:noWrap w:val="0"/>
            <w:vAlign w:val="center"/>
          </w:tcPr>
          <w:p w14:paraId="5970C662">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供配电设施预埋件</w:t>
            </w:r>
          </w:p>
        </w:tc>
        <w:tc>
          <w:tcPr>
            <w:tcW w:w="837" w:type="dxa"/>
            <w:noWrap w:val="0"/>
            <w:vAlign w:val="top"/>
          </w:tcPr>
          <w:p w14:paraId="21B4A86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1956B09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AFDD6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5797C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275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84C770">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644" w:type="dxa"/>
            <w:noWrap w:val="0"/>
            <w:vAlign w:val="center"/>
          </w:tcPr>
          <w:p w14:paraId="1D997057">
            <w:pPr>
              <w:pageBreakBefore w:val="0"/>
              <w:kinsoku/>
              <w:wordWrap w:val="0"/>
              <w:bidi w:val="0"/>
              <w:snapToGrid w:val="0"/>
              <w:spacing w:line="340" w:lineRule="atLeast"/>
              <w:ind w:left="-50" w:right="-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837" w:type="dxa"/>
            <w:noWrap w:val="0"/>
            <w:vAlign w:val="top"/>
          </w:tcPr>
          <w:p w14:paraId="70E1920C">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75DB11C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F88212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FD7A05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2AB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99A2F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510-2</w:t>
            </w:r>
          </w:p>
        </w:tc>
        <w:tc>
          <w:tcPr>
            <w:tcW w:w="4644" w:type="dxa"/>
            <w:noWrap w:val="0"/>
            <w:vAlign w:val="center"/>
          </w:tcPr>
          <w:p w14:paraId="23613E8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消防设施</w:t>
            </w:r>
          </w:p>
        </w:tc>
        <w:tc>
          <w:tcPr>
            <w:tcW w:w="837" w:type="dxa"/>
            <w:noWrap w:val="0"/>
            <w:vAlign w:val="center"/>
          </w:tcPr>
          <w:p w14:paraId="16918AE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1F7156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680193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7CBE5B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780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E6CE1A">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644" w:type="dxa"/>
            <w:noWrap w:val="0"/>
            <w:vAlign w:val="center"/>
          </w:tcPr>
          <w:p w14:paraId="7E8EEEC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供水钢管（</w:t>
            </w:r>
            <w:r>
              <w:rPr>
                <w:rFonts w:hint="default" w:ascii="Times New Roman" w:hAnsi="Times New Roman" w:cs="Times New Roman"/>
                <w:color w:val="auto"/>
                <w:szCs w:val="21"/>
                <w:highlight w:val="none"/>
              </w:rPr>
              <w:t>Ф…mm</w:t>
            </w:r>
            <w:r>
              <w:rPr>
                <w:rFonts w:hint="default" w:ascii="Times New Roman" w:hAnsi="Times New Roman" w:cs="Times New Roman"/>
                <w:color w:val="auto"/>
                <w:kern w:val="0"/>
                <w:szCs w:val="21"/>
                <w:highlight w:val="none"/>
              </w:rPr>
              <w:t>）</w:t>
            </w:r>
          </w:p>
        </w:tc>
        <w:tc>
          <w:tcPr>
            <w:tcW w:w="837" w:type="dxa"/>
            <w:noWrap w:val="0"/>
            <w:vAlign w:val="center"/>
          </w:tcPr>
          <w:p w14:paraId="6DB09A3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7E39DB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F33394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64CC74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7E6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0D248B">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644" w:type="dxa"/>
            <w:noWrap w:val="0"/>
            <w:vAlign w:val="center"/>
          </w:tcPr>
          <w:p w14:paraId="7B150A18">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消防洞室防火门</w:t>
            </w:r>
          </w:p>
        </w:tc>
        <w:tc>
          <w:tcPr>
            <w:tcW w:w="837" w:type="dxa"/>
            <w:noWrap w:val="0"/>
            <w:vAlign w:val="center"/>
          </w:tcPr>
          <w:p w14:paraId="4BE2E6D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套</w:t>
            </w:r>
          </w:p>
        </w:tc>
        <w:tc>
          <w:tcPr>
            <w:tcW w:w="837" w:type="dxa"/>
            <w:noWrap w:val="0"/>
            <w:vAlign w:val="center"/>
          </w:tcPr>
          <w:p w14:paraId="2D6DEA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55A1FD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698F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FE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4" w:type="dxa"/>
            <w:tcBorders>
              <w:left w:val="single" w:color="auto" w:sz="12" w:space="0"/>
            </w:tcBorders>
            <w:noWrap w:val="0"/>
            <w:vAlign w:val="center"/>
          </w:tcPr>
          <w:p w14:paraId="3BEC78E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644" w:type="dxa"/>
            <w:noWrap w:val="0"/>
            <w:vAlign w:val="center"/>
          </w:tcPr>
          <w:p w14:paraId="4EAC100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集水池</w:t>
            </w:r>
          </w:p>
        </w:tc>
        <w:tc>
          <w:tcPr>
            <w:tcW w:w="837" w:type="dxa"/>
            <w:noWrap w:val="0"/>
            <w:vAlign w:val="center"/>
          </w:tcPr>
          <w:p w14:paraId="177E52CF">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44C59A4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552354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BE03C1">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16B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6CBA5A">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p>
        </w:tc>
        <w:tc>
          <w:tcPr>
            <w:tcW w:w="4644" w:type="dxa"/>
            <w:noWrap w:val="0"/>
            <w:vAlign w:val="center"/>
          </w:tcPr>
          <w:p w14:paraId="3BD767B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蓄水池</w:t>
            </w:r>
          </w:p>
        </w:tc>
        <w:tc>
          <w:tcPr>
            <w:tcW w:w="837" w:type="dxa"/>
            <w:noWrap w:val="0"/>
            <w:vAlign w:val="center"/>
          </w:tcPr>
          <w:p w14:paraId="65F8DCB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5055B08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72078E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863CB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3ED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9FEC42">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w:t>
            </w:r>
          </w:p>
        </w:tc>
        <w:tc>
          <w:tcPr>
            <w:tcW w:w="4644" w:type="dxa"/>
            <w:noWrap w:val="0"/>
            <w:vAlign w:val="center"/>
          </w:tcPr>
          <w:p w14:paraId="6F3FAD1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泵房</w:t>
            </w:r>
          </w:p>
        </w:tc>
        <w:tc>
          <w:tcPr>
            <w:tcW w:w="837" w:type="dxa"/>
            <w:noWrap w:val="0"/>
            <w:vAlign w:val="center"/>
          </w:tcPr>
          <w:p w14:paraId="38C084A5">
            <w:pPr>
              <w:pageBreakBefore w:val="0"/>
              <w:kinsoku/>
              <w:wordWrap w:val="0"/>
              <w:bidi w:val="0"/>
              <w:snapToGrid w:val="0"/>
              <w:spacing w:line="340" w:lineRule="atLeast"/>
              <w:ind w:right="-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座</w:t>
            </w:r>
          </w:p>
        </w:tc>
        <w:tc>
          <w:tcPr>
            <w:tcW w:w="837" w:type="dxa"/>
            <w:noWrap w:val="0"/>
            <w:vAlign w:val="center"/>
          </w:tcPr>
          <w:p w14:paraId="32D970D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FA24D2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D256EA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10B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6114B1">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311152F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w:t>
            </w:r>
          </w:p>
        </w:tc>
        <w:tc>
          <w:tcPr>
            <w:tcW w:w="837" w:type="dxa"/>
            <w:noWrap w:val="0"/>
            <w:vAlign w:val="top"/>
          </w:tcPr>
          <w:p w14:paraId="21A253F4">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15CB3A3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0B8AE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34A8A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0E0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F5F93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0CD85171">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29A8BF3">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6B9A0B8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C06302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8A24C6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0B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B4B016">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57668FF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751E9F58">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3C84E4E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74B61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07774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1D4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74BAB">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4644" w:type="dxa"/>
            <w:noWrap w:val="0"/>
            <w:vAlign w:val="center"/>
          </w:tcPr>
          <w:p w14:paraId="39F27403">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p>
        </w:tc>
        <w:tc>
          <w:tcPr>
            <w:tcW w:w="837" w:type="dxa"/>
            <w:noWrap w:val="0"/>
            <w:vAlign w:val="top"/>
          </w:tcPr>
          <w:p w14:paraId="67AB8B20">
            <w:pPr>
              <w:pageBreakBefore w:val="0"/>
              <w:kinsoku/>
              <w:wordWrap w:val="0"/>
              <w:bidi w:val="0"/>
              <w:snapToGrid w:val="0"/>
              <w:spacing w:line="340" w:lineRule="atLeast"/>
              <w:ind w:left="-50" w:right="-50"/>
              <w:jc w:val="center"/>
              <w:rPr>
                <w:rFonts w:hint="default" w:ascii="Times New Roman" w:hAnsi="Times New Roman" w:cs="Times New Roman"/>
                <w:color w:val="auto"/>
                <w:szCs w:val="21"/>
                <w:highlight w:val="none"/>
              </w:rPr>
            </w:pPr>
          </w:p>
        </w:tc>
        <w:tc>
          <w:tcPr>
            <w:tcW w:w="837" w:type="dxa"/>
            <w:noWrap w:val="0"/>
            <w:vAlign w:val="center"/>
          </w:tcPr>
          <w:p w14:paraId="100A212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CDD8F7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1D3C3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1A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2CB5BF6">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清单第500章合计  人民币</w:t>
            </w:r>
            <w:r>
              <w:rPr>
                <w:rFonts w:hint="default" w:ascii="Times New Roman" w:hAnsi="Times New Roman" w:cs="Times New Roman"/>
                <w:color w:val="auto"/>
                <w:szCs w:val="21"/>
                <w:highlight w:val="none"/>
                <w:u w:val="single"/>
              </w:rPr>
              <w:t xml:space="preserve">                    </w:t>
            </w:r>
          </w:p>
        </w:tc>
      </w:tr>
    </w:tbl>
    <w:p w14:paraId="2C222ACE">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149FFC06">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1FFB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103EEF">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7BD2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51AB980">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426D6F8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0985218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245411B">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0D0E9C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0E1FDDB4">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3E0D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040C4AB0">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1F61EC60">
            <w:pPr>
              <w:pageBreakBefore w:val="0"/>
              <w:widowControl/>
              <w:kinsoku/>
              <w:wordWrap w:val="0"/>
              <w:bidi w:val="0"/>
              <w:spacing w:line="36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13A2D11B">
            <w:pPr>
              <w:pageBreakBefore w:val="0"/>
              <w:widowControl/>
              <w:kinsoku/>
              <w:wordWrap w:val="0"/>
              <w:bidi w:val="0"/>
              <w:spacing w:line="360" w:lineRule="atLeast"/>
              <w:jc w:val="center"/>
              <w:rPr>
                <w:rFonts w:hint="default" w:ascii="Times New Roman" w:hAnsi="Times New Roman" w:cs="Times New Roman"/>
                <w:bCs/>
                <w:color w:val="auto"/>
                <w:kern w:val="0"/>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FDFB9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AFB405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396260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7E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7E1DB0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602-1</w:t>
            </w:r>
          </w:p>
        </w:tc>
        <w:tc>
          <w:tcPr>
            <w:tcW w:w="4732" w:type="dxa"/>
            <w:tcBorders>
              <w:top w:val="single" w:color="auto" w:sz="4" w:space="0"/>
              <w:left w:val="single" w:color="auto" w:sz="4" w:space="0"/>
              <w:right w:val="single" w:color="auto" w:sz="4" w:space="0"/>
            </w:tcBorders>
            <w:noWrap w:val="0"/>
            <w:vAlign w:val="center"/>
          </w:tcPr>
          <w:p w14:paraId="7BD7C2E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混凝土护栏（护墙、立柱）</w:t>
            </w:r>
          </w:p>
        </w:tc>
        <w:tc>
          <w:tcPr>
            <w:tcW w:w="749" w:type="dxa"/>
            <w:tcBorders>
              <w:top w:val="single" w:color="auto" w:sz="4" w:space="0"/>
              <w:left w:val="single" w:color="auto" w:sz="4" w:space="0"/>
              <w:right w:val="single" w:color="auto" w:sz="4" w:space="0"/>
            </w:tcBorders>
            <w:noWrap w:val="0"/>
            <w:vAlign w:val="center"/>
          </w:tcPr>
          <w:p w14:paraId="6E3DEB0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tcBorders>
              <w:top w:val="single" w:color="auto" w:sz="4" w:space="0"/>
              <w:left w:val="single" w:color="auto" w:sz="4" w:space="0"/>
              <w:right w:val="single" w:color="auto" w:sz="4" w:space="0"/>
            </w:tcBorders>
            <w:noWrap w:val="0"/>
            <w:vAlign w:val="center"/>
          </w:tcPr>
          <w:p w14:paraId="64C52F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4" w:space="0"/>
            </w:tcBorders>
            <w:noWrap w:val="0"/>
            <w:vAlign w:val="center"/>
          </w:tcPr>
          <w:p w14:paraId="5C92223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top w:val="single" w:color="auto" w:sz="4" w:space="0"/>
              <w:left w:val="single" w:color="auto" w:sz="4" w:space="0"/>
              <w:right w:val="single" w:color="auto" w:sz="12" w:space="0"/>
            </w:tcBorders>
            <w:noWrap w:val="0"/>
            <w:vAlign w:val="center"/>
          </w:tcPr>
          <w:p w14:paraId="75AA4B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2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5AE4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1A03DD0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现浇混凝土护栏</w:t>
            </w:r>
          </w:p>
        </w:tc>
        <w:tc>
          <w:tcPr>
            <w:tcW w:w="749" w:type="dxa"/>
            <w:noWrap w:val="0"/>
            <w:vAlign w:val="center"/>
          </w:tcPr>
          <w:p w14:paraId="23CAE45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5C9CF0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4FB6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51299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D9F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61EB6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6395DAD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预制安装混凝土护栏</w:t>
            </w:r>
          </w:p>
        </w:tc>
        <w:tc>
          <w:tcPr>
            <w:tcW w:w="749" w:type="dxa"/>
            <w:noWrap w:val="0"/>
            <w:vAlign w:val="center"/>
          </w:tcPr>
          <w:p w14:paraId="38B24B87">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73B3C5A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C1A8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D7FAAF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B20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7D4F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2604373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现浇混凝土基础</w:t>
            </w:r>
          </w:p>
        </w:tc>
        <w:tc>
          <w:tcPr>
            <w:tcW w:w="749" w:type="dxa"/>
            <w:noWrap w:val="0"/>
            <w:vAlign w:val="center"/>
          </w:tcPr>
          <w:p w14:paraId="675B81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103C4DE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AEB86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A6772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D9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DD210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w:t>
            </w:r>
          </w:p>
        </w:tc>
        <w:tc>
          <w:tcPr>
            <w:tcW w:w="4732" w:type="dxa"/>
            <w:noWrap w:val="0"/>
            <w:vAlign w:val="center"/>
          </w:tcPr>
          <w:p w14:paraId="2F87EC6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钢筋</w:t>
            </w:r>
          </w:p>
        </w:tc>
        <w:tc>
          <w:tcPr>
            <w:tcW w:w="749" w:type="dxa"/>
            <w:noWrap w:val="0"/>
            <w:vAlign w:val="center"/>
          </w:tcPr>
          <w:p w14:paraId="653A46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kg</w:t>
            </w:r>
          </w:p>
        </w:tc>
        <w:tc>
          <w:tcPr>
            <w:tcW w:w="837" w:type="dxa"/>
            <w:noWrap w:val="0"/>
            <w:vAlign w:val="center"/>
          </w:tcPr>
          <w:p w14:paraId="3B2FE7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150612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92DECE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4AC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5A858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602-2</w:t>
            </w:r>
          </w:p>
        </w:tc>
        <w:tc>
          <w:tcPr>
            <w:tcW w:w="4732" w:type="dxa"/>
            <w:noWrap w:val="0"/>
            <w:vAlign w:val="center"/>
          </w:tcPr>
          <w:p w14:paraId="5A54E3D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石砌护墙</w:t>
            </w:r>
          </w:p>
        </w:tc>
        <w:tc>
          <w:tcPr>
            <w:tcW w:w="749" w:type="dxa"/>
            <w:noWrap w:val="0"/>
            <w:vAlign w:val="center"/>
          </w:tcPr>
          <w:p w14:paraId="0EC6756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p>
        </w:tc>
        <w:tc>
          <w:tcPr>
            <w:tcW w:w="837" w:type="dxa"/>
            <w:noWrap w:val="0"/>
            <w:vAlign w:val="center"/>
          </w:tcPr>
          <w:p w14:paraId="26AF957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52F51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208099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52D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27280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602-3</w:t>
            </w:r>
          </w:p>
        </w:tc>
        <w:tc>
          <w:tcPr>
            <w:tcW w:w="4732" w:type="dxa"/>
            <w:noWrap w:val="0"/>
            <w:vAlign w:val="center"/>
          </w:tcPr>
          <w:p w14:paraId="1B83C606">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w:t>
            </w:r>
          </w:p>
        </w:tc>
        <w:tc>
          <w:tcPr>
            <w:tcW w:w="749" w:type="dxa"/>
            <w:noWrap w:val="0"/>
            <w:vAlign w:val="center"/>
          </w:tcPr>
          <w:p w14:paraId="3427944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6E0E5B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EF2CE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7D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0A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FE899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206D674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路侧波形梁钢护栏</w:t>
            </w:r>
          </w:p>
        </w:tc>
        <w:tc>
          <w:tcPr>
            <w:tcW w:w="749" w:type="dxa"/>
            <w:noWrap w:val="0"/>
            <w:vAlign w:val="center"/>
          </w:tcPr>
          <w:p w14:paraId="0BAB615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　</w:t>
            </w:r>
          </w:p>
        </w:tc>
        <w:tc>
          <w:tcPr>
            <w:tcW w:w="837" w:type="dxa"/>
            <w:noWrap w:val="0"/>
            <w:vAlign w:val="center"/>
          </w:tcPr>
          <w:p w14:paraId="2DE44C9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B6B4D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F4B447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75B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C1EF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B6E22B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中央分隔带波形梁钢护栏</w:t>
            </w:r>
          </w:p>
        </w:tc>
        <w:tc>
          <w:tcPr>
            <w:tcW w:w="749" w:type="dxa"/>
            <w:noWrap w:val="0"/>
            <w:vAlign w:val="center"/>
          </w:tcPr>
          <w:p w14:paraId="619B737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287C45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9010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1598F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0E1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83967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416A66F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波形梁钢护栏端头</w:t>
            </w:r>
          </w:p>
        </w:tc>
        <w:tc>
          <w:tcPr>
            <w:tcW w:w="749" w:type="dxa"/>
            <w:noWrap w:val="0"/>
            <w:vAlign w:val="center"/>
          </w:tcPr>
          <w:p w14:paraId="5FD4D7B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88EED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20A46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F8A4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1D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8B3C9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602-4</w:t>
            </w:r>
          </w:p>
        </w:tc>
        <w:tc>
          <w:tcPr>
            <w:tcW w:w="4732" w:type="dxa"/>
            <w:noWrap w:val="0"/>
            <w:vAlign w:val="center"/>
          </w:tcPr>
          <w:p w14:paraId="4BD4D18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缆索护栏</w:t>
            </w:r>
          </w:p>
        </w:tc>
        <w:tc>
          <w:tcPr>
            <w:tcW w:w="749" w:type="dxa"/>
            <w:noWrap w:val="0"/>
            <w:vAlign w:val="center"/>
          </w:tcPr>
          <w:p w14:paraId="769EE55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47E3B7B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60BF0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228DB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17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98A4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3A5090C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路侧缆索护栏</w:t>
            </w:r>
          </w:p>
        </w:tc>
        <w:tc>
          <w:tcPr>
            <w:tcW w:w="749" w:type="dxa"/>
            <w:noWrap w:val="0"/>
            <w:vAlign w:val="center"/>
          </w:tcPr>
          <w:p w14:paraId="2F4B997B">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62512DA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2BB4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AB938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93B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55FD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4B55878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中央分隔带缆索护栏</w:t>
            </w:r>
          </w:p>
        </w:tc>
        <w:tc>
          <w:tcPr>
            <w:tcW w:w="749" w:type="dxa"/>
            <w:noWrap w:val="0"/>
            <w:vAlign w:val="center"/>
          </w:tcPr>
          <w:p w14:paraId="08D65E3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1A866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0F4D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1CAEF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81C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35862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602-5</w:t>
            </w:r>
          </w:p>
        </w:tc>
        <w:tc>
          <w:tcPr>
            <w:tcW w:w="4732" w:type="dxa"/>
            <w:noWrap w:val="0"/>
            <w:vAlign w:val="center"/>
          </w:tcPr>
          <w:p w14:paraId="41FAFB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中央分隔带活动护栏</w:t>
            </w:r>
          </w:p>
        </w:tc>
        <w:tc>
          <w:tcPr>
            <w:tcW w:w="749" w:type="dxa"/>
            <w:noWrap w:val="0"/>
            <w:vAlign w:val="center"/>
          </w:tcPr>
          <w:p w14:paraId="35ED26F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　</w:t>
            </w:r>
          </w:p>
        </w:tc>
        <w:tc>
          <w:tcPr>
            <w:tcW w:w="837" w:type="dxa"/>
            <w:noWrap w:val="0"/>
            <w:vAlign w:val="center"/>
          </w:tcPr>
          <w:p w14:paraId="36E4C2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6622B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3E4A1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442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4E8E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w:t>
            </w:r>
          </w:p>
        </w:tc>
        <w:tc>
          <w:tcPr>
            <w:tcW w:w="4732" w:type="dxa"/>
            <w:noWrap w:val="0"/>
            <w:vAlign w:val="center"/>
          </w:tcPr>
          <w:p w14:paraId="516BF293">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钢质插拔式</w:t>
            </w:r>
          </w:p>
        </w:tc>
        <w:tc>
          <w:tcPr>
            <w:tcW w:w="749" w:type="dxa"/>
            <w:noWrap w:val="0"/>
            <w:vAlign w:val="center"/>
          </w:tcPr>
          <w:p w14:paraId="47BD526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754B70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28C7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285B4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E05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5CA455">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w:t>
            </w:r>
          </w:p>
        </w:tc>
        <w:tc>
          <w:tcPr>
            <w:tcW w:w="4732" w:type="dxa"/>
            <w:noWrap w:val="0"/>
            <w:vAlign w:val="center"/>
          </w:tcPr>
          <w:p w14:paraId="7BB21D0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钢质伸缩式</w:t>
            </w:r>
          </w:p>
        </w:tc>
        <w:tc>
          <w:tcPr>
            <w:tcW w:w="749" w:type="dxa"/>
            <w:noWrap w:val="0"/>
            <w:vAlign w:val="center"/>
          </w:tcPr>
          <w:p w14:paraId="5368F1F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EA261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A19D7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E9785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191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6EF57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w:t>
            </w:r>
          </w:p>
        </w:tc>
        <w:tc>
          <w:tcPr>
            <w:tcW w:w="4732" w:type="dxa"/>
            <w:noWrap w:val="0"/>
            <w:vAlign w:val="center"/>
          </w:tcPr>
          <w:p w14:paraId="109E0DC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钢管预应力索防撞活动护栏</w:t>
            </w:r>
          </w:p>
        </w:tc>
        <w:tc>
          <w:tcPr>
            <w:tcW w:w="749" w:type="dxa"/>
            <w:noWrap w:val="0"/>
            <w:vAlign w:val="center"/>
          </w:tcPr>
          <w:p w14:paraId="4539DD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665A2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F7DAFF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F346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84B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A7AE9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w:t>
            </w:r>
          </w:p>
        </w:tc>
        <w:tc>
          <w:tcPr>
            <w:tcW w:w="4732" w:type="dxa"/>
            <w:noWrap w:val="0"/>
            <w:vAlign w:val="center"/>
          </w:tcPr>
          <w:p w14:paraId="659099DF">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隔离栅和防落物网</w:t>
            </w:r>
          </w:p>
        </w:tc>
        <w:tc>
          <w:tcPr>
            <w:tcW w:w="749" w:type="dxa"/>
            <w:noWrap w:val="0"/>
            <w:vAlign w:val="center"/>
          </w:tcPr>
          <w:p w14:paraId="566AA79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2FE8D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DC12C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3E36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516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8ED3E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603-1</w:t>
            </w:r>
          </w:p>
        </w:tc>
        <w:tc>
          <w:tcPr>
            <w:tcW w:w="4732" w:type="dxa"/>
            <w:noWrap w:val="0"/>
            <w:vAlign w:val="center"/>
          </w:tcPr>
          <w:p w14:paraId="17D8D89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钢板网隔离栅</w:t>
            </w:r>
          </w:p>
        </w:tc>
        <w:tc>
          <w:tcPr>
            <w:tcW w:w="749" w:type="dxa"/>
            <w:noWrap w:val="0"/>
            <w:vAlign w:val="center"/>
          </w:tcPr>
          <w:p w14:paraId="1DA4D37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B2F606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38745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9E1BDE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0C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0B48A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603-2</w:t>
            </w:r>
          </w:p>
        </w:tc>
        <w:tc>
          <w:tcPr>
            <w:tcW w:w="4732" w:type="dxa"/>
            <w:noWrap w:val="0"/>
            <w:vAlign w:val="center"/>
          </w:tcPr>
          <w:p w14:paraId="3BFBE3D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编织网隔离栅</w:t>
            </w:r>
          </w:p>
        </w:tc>
        <w:tc>
          <w:tcPr>
            <w:tcW w:w="749" w:type="dxa"/>
            <w:noWrap w:val="0"/>
            <w:vAlign w:val="center"/>
          </w:tcPr>
          <w:p w14:paraId="682D604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188CFAE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E07B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B6454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D4A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4026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603-3</w:t>
            </w:r>
          </w:p>
        </w:tc>
        <w:tc>
          <w:tcPr>
            <w:tcW w:w="4732" w:type="dxa"/>
            <w:noWrap w:val="0"/>
            <w:vAlign w:val="center"/>
          </w:tcPr>
          <w:p w14:paraId="2D4C252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焊接网隔离栅</w:t>
            </w:r>
          </w:p>
        </w:tc>
        <w:tc>
          <w:tcPr>
            <w:tcW w:w="749" w:type="dxa"/>
            <w:noWrap w:val="0"/>
            <w:vAlign w:val="center"/>
          </w:tcPr>
          <w:p w14:paraId="0AD1C78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3E93AA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45B3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AC09E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2E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87CC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603-4</w:t>
            </w:r>
          </w:p>
        </w:tc>
        <w:tc>
          <w:tcPr>
            <w:tcW w:w="4732" w:type="dxa"/>
            <w:noWrap w:val="0"/>
            <w:vAlign w:val="center"/>
          </w:tcPr>
          <w:p w14:paraId="5768FB0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刺钢丝网隔离栅</w:t>
            </w:r>
          </w:p>
        </w:tc>
        <w:tc>
          <w:tcPr>
            <w:tcW w:w="749" w:type="dxa"/>
            <w:noWrap w:val="0"/>
            <w:vAlign w:val="center"/>
          </w:tcPr>
          <w:p w14:paraId="6C791D1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54DF4E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D60AEA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042CBD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01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CAB8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603-5</w:t>
            </w:r>
          </w:p>
        </w:tc>
        <w:tc>
          <w:tcPr>
            <w:tcW w:w="4732" w:type="dxa"/>
            <w:noWrap w:val="0"/>
            <w:vAlign w:val="center"/>
          </w:tcPr>
          <w:p w14:paraId="688157A8">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防落物网</w:t>
            </w:r>
          </w:p>
        </w:tc>
        <w:tc>
          <w:tcPr>
            <w:tcW w:w="749" w:type="dxa"/>
            <w:noWrap w:val="0"/>
            <w:vAlign w:val="center"/>
          </w:tcPr>
          <w:p w14:paraId="2AE10FB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8A6C40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E24C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31102D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852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79DE3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w:t>
            </w:r>
          </w:p>
        </w:tc>
        <w:tc>
          <w:tcPr>
            <w:tcW w:w="4732" w:type="dxa"/>
            <w:noWrap w:val="0"/>
            <w:vAlign w:val="center"/>
          </w:tcPr>
          <w:p w14:paraId="0D8CE0FC">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道路交通标志</w:t>
            </w:r>
          </w:p>
        </w:tc>
        <w:tc>
          <w:tcPr>
            <w:tcW w:w="749" w:type="dxa"/>
            <w:noWrap w:val="0"/>
            <w:vAlign w:val="center"/>
          </w:tcPr>
          <w:p w14:paraId="2237ACE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7F84D48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96FDB1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8BC2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83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25C6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w:t>
            </w:r>
          </w:p>
        </w:tc>
        <w:tc>
          <w:tcPr>
            <w:tcW w:w="4732" w:type="dxa"/>
            <w:noWrap w:val="0"/>
            <w:vAlign w:val="center"/>
          </w:tcPr>
          <w:p w14:paraId="3A01FB1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单柱式交通标志</w:t>
            </w:r>
          </w:p>
        </w:tc>
        <w:tc>
          <w:tcPr>
            <w:tcW w:w="749" w:type="dxa"/>
            <w:noWrap w:val="0"/>
            <w:vAlign w:val="center"/>
          </w:tcPr>
          <w:p w14:paraId="384810B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6D7E0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69D4D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5549F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7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D0284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604-2</w:t>
            </w:r>
          </w:p>
        </w:tc>
        <w:tc>
          <w:tcPr>
            <w:tcW w:w="4732" w:type="dxa"/>
            <w:noWrap w:val="0"/>
            <w:vAlign w:val="center"/>
          </w:tcPr>
          <w:p w14:paraId="079B848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双柱式交通标志</w:t>
            </w:r>
          </w:p>
        </w:tc>
        <w:tc>
          <w:tcPr>
            <w:tcW w:w="749" w:type="dxa"/>
            <w:noWrap w:val="0"/>
            <w:vAlign w:val="center"/>
          </w:tcPr>
          <w:p w14:paraId="259D08F3">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0AC56B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2A9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1812D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91D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CBB7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604-3</w:t>
            </w:r>
          </w:p>
        </w:tc>
        <w:tc>
          <w:tcPr>
            <w:tcW w:w="4732" w:type="dxa"/>
            <w:noWrap w:val="0"/>
            <w:vAlign w:val="center"/>
          </w:tcPr>
          <w:p w14:paraId="2A25B675">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三柱式交通标志</w:t>
            </w:r>
          </w:p>
        </w:tc>
        <w:tc>
          <w:tcPr>
            <w:tcW w:w="749" w:type="dxa"/>
            <w:noWrap w:val="0"/>
            <w:vAlign w:val="center"/>
          </w:tcPr>
          <w:p w14:paraId="5F39056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44707B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87CD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96589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439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C37DF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604-4</w:t>
            </w:r>
          </w:p>
        </w:tc>
        <w:tc>
          <w:tcPr>
            <w:tcW w:w="4732" w:type="dxa"/>
            <w:noWrap w:val="0"/>
            <w:vAlign w:val="center"/>
          </w:tcPr>
          <w:p w14:paraId="4E23129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门架式交通标志</w:t>
            </w:r>
          </w:p>
        </w:tc>
        <w:tc>
          <w:tcPr>
            <w:tcW w:w="749" w:type="dxa"/>
            <w:noWrap w:val="0"/>
            <w:vAlign w:val="center"/>
          </w:tcPr>
          <w:p w14:paraId="5116F76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1E7652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B04E2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C1AFE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588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A71DC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604-5</w:t>
            </w:r>
          </w:p>
        </w:tc>
        <w:tc>
          <w:tcPr>
            <w:tcW w:w="4732" w:type="dxa"/>
            <w:noWrap w:val="0"/>
            <w:vAlign w:val="center"/>
          </w:tcPr>
          <w:p w14:paraId="580E3A6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单悬臂式交通标志</w:t>
            </w:r>
          </w:p>
        </w:tc>
        <w:tc>
          <w:tcPr>
            <w:tcW w:w="749" w:type="dxa"/>
            <w:noWrap w:val="0"/>
            <w:vAlign w:val="center"/>
          </w:tcPr>
          <w:p w14:paraId="675E9CE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2D49AA9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3BAE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B7F6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6BA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8580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604-6</w:t>
            </w:r>
          </w:p>
        </w:tc>
        <w:tc>
          <w:tcPr>
            <w:tcW w:w="4732" w:type="dxa"/>
            <w:noWrap w:val="0"/>
            <w:vAlign w:val="center"/>
          </w:tcPr>
          <w:p w14:paraId="563184C8">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双悬臂式交通标志</w:t>
            </w:r>
          </w:p>
        </w:tc>
        <w:tc>
          <w:tcPr>
            <w:tcW w:w="749" w:type="dxa"/>
            <w:noWrap w:val="0"/>
            <w:vAlign w:val="center"/>
          </w:tcPr>
          <w:p w14:paraId="7CCFF44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4C8499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F16A27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863D53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F6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05A95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604-7</w:t>
            </w:r>
          </w:p>
        </w:tc>
        <w:tc>
          <w:tcPr>
            <w:tcW w:w="4732" w:type="dxa"/>
            <w:noWrap w:val="0"/>
            <w:vAlign w:val="center"/>
          </w:tcPr>
          <w:p w14:paraId="0530AD9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附着式交通标志</w:t>
            </w:r>
          </w:p>
        </w:tc>
        <w:tc>
          <w:tcPr>
            <w:tcW w:w="749" w:type="dxa"/>
            <w:noWrap w:val="0"/>
            <w:vAlign w:val="center"/>
          </w:tcPr>
          <w:p w14:paraId="008DF6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6A450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702B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94019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BE0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F3C39D7">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第600章   安全设施及预埋管线</w:t>
            </w:r>
          </w:p>
        </w:tc>
      </w:tr>
      <w:tr w14:paraId="274F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2791CE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1E2A4BCF">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E1393ED">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289C6EE">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C6DE8F7">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C97947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9D4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7976E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604-8</w:t>
            </w:r>
          </w:p>
        </w:tc>
        <w:tc>
          <w:tcPr>
            <w:tcW w:w="4732" w:type="dxa"/>
            <w:noWrap w:val="0"/>
            <w:vAlign w:val="center"/>
          </w:tcPr>
          <w:p w14:paraId="1B6F48A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里程碑</w:t>
            </w:r>
          </w:p>
        </w:tc>
        <w:tc>
          <w:tcPr>
            <w:tcW w:w="749" w:type="dxa"/>
            <w:noWrap w:val="0"/>
            <w:vAlign w:val="center"/>
          </w:tcPr>
          <w:p w14:paraId="30AAD12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B9670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77F60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5DA890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079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66B00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604-9</w:t>
            </w:r>
          </w:p>
        </w:tc>
        <w:tc>
          <w:tcPr>
            <w:tcW w:w="4732" w:type="dxa"/>
            <w:noWrap w:val="0"/>
            <w:vAlign w:val="center"/>
          </w:tcPr>
          <w:p w14:paraId="20680652">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公路界碑</w:t>
            </w:r>
          </w:p>
        </w:tc>
        <w:tc>
          <w:tcPr>
            <w:tcW w:w="749" w:type="dxa"/>
            <w:noWrap w:val="0"/>
            <w:vAlign w:val="center"/>
          </w:tcPr>
          <w:p w14:paraId="3C17494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4961AC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54E9A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F89FD7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1D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9F457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604-10</w:t>
            </w:r>
          </w:p>
        </w:tc>
        <w:tc>
          <w:tcPr>
            <w:tcW w:w="4732" w:type="dxa"/>
            <w:noWrap w:val="0"/>
            <w:vAlign w:val="center"/>
          </w:tcPr>
          <w:p w14:paraId="1281F370">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百米桩</w:t>
            </w:r>
          </w:p>
        </w:tc>
        <w:tc>
          <w:tcPr>
            <w:tcW w:w="749" w:type="dxa"/>
            <w:noWrap w:val="0"/>
            <w:vAlign w:val="center"/>
          </w:tcPr>
          <w:p w14:paraId="65453E2F">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38B925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2C09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74553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1C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A727E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604-11</w:t>
            </w:r>
          </w:p>
        </w:tc>
        <w:tc>
          <w:tcPr>
            <w:tcW w:w="4732" w:type="dxa"/>
            <w:noWrap w:val="0"/>
            <w:vAlign w:val="center"/>
          </w:tcPr>
          <w:p w14:paraId="545223B1">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防撞桶</w:t>
            </w:r>
          </w:p>
        </w:tc>
        <w:tc>
          <w:tcPr>
            <w:tcW w:w="749" w:type="dxa"/>
            <w:noWrap w:val="0"/>
            <w:vAlign w:val="center"/>
          </w:tcPr>
          <w:p w14:paraId="1DCD5BF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74B96D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7123E5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904F7B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34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9F0232">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604-12</w:t>
            </w:r>
          </w:p>
        </w:tc>
        <w:tc>
          <w:tcPr>
            <w:tcW w:w="4732" w:type="dxa"/>
            <w:noWrap w:val="0"/>
            <w:vAlign w:val="center"/>
          </w:tcPr>
          <w:p w14:paraId="3B026235">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锥形桶</w:t>
            </w:r>
          </w:p>
        </w:tc>
        <w:tc>
          <w:tcPr>
            <w:tcW w:w="749" w:type="dxa"/>
            <w:noWrap w:val="0"/>
            <w:vAlign w:val="center"/>
          </w:tcPr>
          <w:p w14:paraId="34596D0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46E487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3B7D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4DA77C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329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2CBF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604-13</w:t>
            </w:r>
          </w:p>
        </w:tc>
        <w:tc>
          <w:tcPr>
            <w:tcW w:w="4732" w:type="dxa"/>
            <w:noWrap w:val="0"/>
            <w:vAlign w:val="center"/>
          </w:tcPr>
          <w:p w14:paraId="5B801DC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道路反光镜</w:t>
            </w:r>
          </w:p>
        </w:tc>
        <w:tc>
          <w:tcPr>
            <w:tcW w:w="749" w:type="dxa"/>
            <w:noWrap w:val="0"/>
            <w:vAlign w:val="center"/>
          </w:tcPr>
          <w:p w14:paraId="1136CCC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C70F14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41204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F0F5A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356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D3925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w:t>
            </w:r>
          </w:p>
        </w:tc>
        <w:tc>
          <w:tcPr>
            <w:tcW w:w="4732" w:type="dxa"/>
            <w:noWrap w:val="0"/>
            <w:vAlign w:val="center"/>
          </w:tcPr>
          <w:p w14:paraId="5D24C6EF">
            <w:pPr>
              <w:pageBreakBefore w:val="0"/>
              <w:widowControl/>
              <w:kinsoku/>
              <w:wordWrap w:val="0"/>
              <w:bidi w:val="0"/>
              <w:spacing w:line="360" w:lineRule="atLeas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道路交通标线</w:t>
            </w:r>
          </w:p>
        </w:tc>
        <w:tc>
          <w:tcPr>
            <w:tcW w:w="749" w:type="dxa"/>
            <w:noWrap w:val="0"/>
            <w:vAlign w:val="top"/>
          </w:tcPr>
          <w:p w14:paraId="7B48B3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8439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4E11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D0CF8F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B8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A180D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5-1</w:t>
            </w:r>
          </w:p>
        </w:tc>
        <w:tc>
          <w:tcPr>
            <w:tcW w:w="4732" w:type="dxa"/>
            <w:noWrap w:val="0"/>
            <w:vAlign w:val="top"/>
          </w:tcPr>
          <w:p w14:paraId="3C69FC0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热熔型涂料路面标线</w:t>
            </w:r>
          </w:p>
        </w:tc>
        <w:tc>
          <w:tcPr>
            <w:tcW w:w="749" w:type="dxa"/>
            <w:noWrap w:val="0"/>
            <w:vAlign w:val="top"/>
          </w:tcPr>
          <w:p w14:paraId="32609F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8FD0E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FC75D9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098E0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CCC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BC5B5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340F902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370EB8D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1D09369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EC535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8A561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5F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BC98F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605-2</w:t>
            </w:r>
          </w:p>
        </w:tc>
        <w:tc>
          <w:tcPr>
            <w:tcW w:w="4732" w:type="dxa"/>
            <w:noWrap w:val="0"/>
            <w:vAlign w:val="center"/>
          </w:tcPr>
          <w:p w14:paraId="7887A39E">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溶剂型涂料路面标线</w:t>
            </w:r>
          </w:p>
        </w:tc>
        <w:tc>
          <w:tcPr>
            <w:tcW w:w="749" w:type="dxa"/>
            <w:noWrap w:val="0"/>
            <w:vAlign w:val="top"/>
          </w:tcPr>
          <w:p w14:paraId="1F5A06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52F7EA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6EDD1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CDEE9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5D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61F69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D3B952F">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0B2BFFA7">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DAFCE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04DC63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8B3F8B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369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CAD0C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605-3</w:t>
            </w:r>
          </w:p>
        </w:tc>
        <w:tc>
          <w:tcPr>
            <w:tcW w:w="4732" w:type="dxa"/>
            <w:noWrap w:val="0"/>
            <w:vAlign w:val="center"/>
          </w:tcPr>
          <w:p w14:paraId="2C4690F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预成型标线带</w:t>
            </w:r>
          </w:p>
        </w:tc>
        <w:tc>
          <w:tcPr>
            <w:tcW w:w="749" w:type="dxa"/>
            <w:noWrap w:val="0"/>
            <w:vAlign w:val="top"/>
          </w:tcPr>
          <w:p w14:paraId="605DF7E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3BCA1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92E00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04EB52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EA0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B647E8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390794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59DD523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5041AB7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39625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D3940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835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D58B00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5-4</w:t>
            </w:r>
          </w:p>
        </w:tc>
        <w:tc>
          <w:tcPr>
            <w:tcW w:w="4732" w:type="dxa"/>
            <w:noWrap w:val="0"/>
            <w:vAlign w:val="top"/>
          </w:tcPr>
          <w:p w14:paraId="06FF6B29">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突起路标</w:t>
            </w:r>
          </w:p>
        </w:tc>
        <w:tc>
          <w:tcPr>
            <w:tcW w:w="749" w:type="dxa"/>
            <w:noWrap w:val="0"/>
            <w:vAlign w:val="top"/>
          </w:tcPr>
          <w:p w14:paraId="2AC13B8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44E9E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D5CF9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FF6D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7C0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B3584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5-5</w:t>
            </w:r>
          </w:p>
        </w:tc>
        <w:tc>
          <w:tcPr>
            <w:tcW w:w="4732" w:type="dxa"/>
            <w:noWrap w:val="0"/>
            <w:vAlign w:val="top"/>
          </w:tcPr>
          <w:p w14:paraId="0C0A201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轮廓标</w:t>
            </w:r>
          </w:p>
        </w:tc>
        <w:tc>
          <w:tcPr>
            <w:tcW w:w="749" w:type="dxa"/>
            <w:noWrap w:val="0"/>
            <w:vAlign w:val="top"/>
          </w:tcPr>
          <w:p w14:paraId="6613698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F3AED4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461F92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ECB479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F69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7E7A51E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14EEAC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柱式轮廓标</w:t>
            </w:r>
          </w:p>
        </w:tc>
        <w:tc>
          <w:tcPr>
            <w:tcW w:w="749" w:type="dxa"/>
            <w:noWrap w:val="0"/>
            <w:vAlign w:val="top"/>
          </w:tcPr>
          <w:p w14:paraId="1A44F03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511CB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265F2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864BA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14A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F82A5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4E311F4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附着式轮廓标</w:t>
            </w:r>
          </w:p>
        </w:tc>
        <w:tc>
          <w:tcPr>
            <w:tcW w:w="749" w:type="dxa"/>
            <w:noWrap w:val="0"/>
            <w:vAlign w:val="top"/>
          </w:tcPr>
          <w:p w14:paraId="013D7A8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0CEDB58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E302C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386B74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C45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8FF5BD">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605-6</w:t>
            </w:r>
          </w:p>
        </w:tc>
        <w:tc>
          <w:tcPr>
            <w:tcW w:w="4732" w:type="dxa"/>
            <w:noWrap w:val="0"/>
            <w:vAlign w:val="center"/>
          </w:tcPr>
          <w:p w14:paraId="2501FA46">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立面标记</w:t>
            </w:r>
          </w:p>
        </w:tc>
        <w:tc>
          <w:tcPr>
            <w:tcW w:w="749" w:type="dxa"/>
            <w:noWrap w:val="0"/>
            <w:vAlign w:val="center"/>
          </w:tcPr>
          <w:p w14:paraId="3D1EB40C">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处</w:t>
            </w:r>
          </w:p>
        </w:tc>
        <w:tc>
          <w:tcPr>
            <w:tcW w:w="837" w:type="dxa"/>
            <w:noWrap w:val="0"/>
            <w:vAlign w:val="center"/>
          </w:tcPr>
          <w:p w14:paraId="3D67A28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69C0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B3708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0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4A9C4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605-7</w:t>
            </w:r>
          </w:p>
        </w:tc>
        <w:tc>
          <w:tcPr>
            <w:tcW w:w="4732" w:type="dxa"/>
            <w:noWrap w:val="0"/>
            <w:vAlign w:val="center"/>
          </w:tcPr>
          <w:p w14:paraId="7A1EC44A">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锥形路标</w:t>
            </w:r>
          </w:p>
        </w:tc>
        <w:tc>
          <w:tcPr>
            <w:tcW w:w="749" w:type="dxa"/>
            <w:noWrap w:val="0"/>
            <w:vAlign w:val="center"/>
          </w:tcPr>
          <w:p w14:paraId="6EBE78E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个</w:t>
            </w:r>
          </w:p>
        </w:tc>
        <w:tc>
          <w:tcPr>
            <w:tcW w:w="837" w:type="dxa"/>
            <w:noWrap w:val="0"/>
            <w:vAlign w:val="center"/>
          </w:tcPr>
          <w:p w14:paraId="3FC0853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1CC66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E43C5F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5CA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F5DE31">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605-8</w:t>
            </w:r>
          </w:p>
        </w:tc>
        <w:tc>
          <w:tcPr>
            <w:tcW w:w="4732" w:type="dxa"/>
            <w:noWrap w:val="0"/>
            <w:vAlign w:val="center"/>
          </w:tcPr>
          <w:p w14:paraId="6089B429">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减速带</w:t>
            </w:r>
          </w:p>
        </w:tc>
        <w:tc>
          <w:tcPr>
            <w:tcW w:w="749" w:type="dxa"/>
            <w:noWrap w:val="0"/>
            <w:vAlign w:val="center"/>
          </w:tcPr>
          <w:p w14:paraId="7DC8A9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2162207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F6B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A3FFAF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DE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B75B54">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605-9</w:t>
            </w:r>
          </w:p>
        </w:tc>
        <w:tc>
          <w:tcPr>
            <w:tcW w:w="4732" w:type="dxa"/>
            <w:noWrap w:val="0"/>
            <w:vAlign w:val="center"/>
          </w:tcPr>
          <w:p w14:paraId="2C8B27E7">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铲除原有路面标线</w:t>
            </w:r>
          </w:p>
        </w:tc>
        <w:tc>
          <w:tcPr>
            <w:tcW w:w="749" w:type="dxa"/>
            <w:noWrap w:val="0"/>
            <w:vAlign w:val="center"/>
          </w:tcPr>
          <w:p w14:paraId="71FAFC8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1175A4D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2414F2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9DCA7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BCA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0C8EA6">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w:t>
            </w:r>
          </w:p>
        </w:tc>
        <w:tc>
          <w:tcPr>
            <w:tcW w:w="4732" w:type="dxa"/>
            <w:noWrap w:val="0"/>
            <w:vAlign w:val="center"/>
          </w:tcPr>
          <w:p w14:paraId="6927711D">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防眩设施</w:t>
            </w:r>
          </w:p>
        </w:tc>
        <w:tc>
          <w:tcPr>
            <w:tcW w:w="749" w:type="dxa"/>
            <w:noWrap w:val="0"/>
            <w:vAlign w:val="center"/>
          </w:tcPr>
          <w:p w14:paraId="782D463E">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p>
        </w:tc>
        <w:tc>
          <w:tcPr>
            <w:tcW w:w="837" w:type="dxa"/>
            <w:noWrap w:val="0"/>
            <w:vAlign w:val="center"/>
          </w:tcPr>
          <w:p w14:paraId="195F79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8B756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BF56E1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7C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CB7812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606-1</w:t>
            </w:r>
          </w:p>
        </w:tc>
        <w:tc>
          <w:tcPr>
            <w:tcW w:w="4732" w:type="dxa"/>
            <w:noWrap w:val="0"/>
            <w:vAlign w:val="center"/>
          </w:tcPr>
          <w:p w14:paraId="7DF74BBB">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防眩板</w:t>
            </w:r>
          </w:p>
        </w:tc>
        <w:tc>
          <w:tcPr>
            <w:tcW w:w="749" w:type="dxa"/>
            <w:noWrap w:val="0"/>
            <w:vAlign w:val="center"/>
          </w:tcPr>
          <w:p w14:paraId="5C1C0AE9">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块</w:t>
            </w:r>
          </w:p>
        </w:tc>
        <w:tc>
          <w:tcPr>
            <w:tcW w:w="837" w:type="dxa"/>
            <w:noWrap w:val="0"/>
            <w:vAlign w:val="center"/>
          </w:tcPr>
          <w:p w14:paraId="0BA75A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A20E7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7ECBA30">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04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436130">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606-2</w:t>
            </w:r>
          </w:p>
        </w:tc>
        <w:tc>
          <w:tcPr>
            <w:tcW w:w="4732" w:type="dxa"/>
            <w:noWrap w:val="0"/>
            <w:vAlign w:val="center"/>
          </w:tcPr>
          <w:p w14:paraId="6A28344C">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防眩网</w:t>
            </w:r>
          </w:p>
        </w:tc>
        <w:tc>
          <w:tcPr>
            <w:tcW w:w="749" w:type="dxa"/>
            <w:noWrap w:val="0"/>
            <w:vAlign w:val="center"/>
          </w:tcPr>
          <w:p w14:paraId="63B7DCF8">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5F820B4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8E86D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7F2A32D">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2C7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540C4A">
            <w:pPr>
              <w:pageBreakBefore w:val="0"/>
              <w:widowControl/>
              <w:kinsoku/>
              <w:wordWrap w:val="0"/>
              <w:bidi w:val="0"/>
              <w:spacing w:line="36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607</w:t>
            </w:r>
          </w:p>
        </w:tc>
        <w:tc>
          <w:tcPr>
            <w:tcW w:w="4732" w:type="dxa"/>
            <w:noWrap w:val="0"/>
            <w:vAlign w:val="center"/>
          </w:tcPr>
          <w:p w14:paraId="5DBECC94">
            <w:pPr>
              <w:pageBreakBefore w:val="0"/>
              <w:widowControl/>
              <w:kinsoku/>
              <w:wordWrap w:val="0"/>
              <w:bidi w:val="0"/>
              <w:spacing w:line="36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通信和电力管道与预埋（预留）基础</w:t>
            </w:r>
          </w:p>
        </w:tc>
        <w:tc>
          <w:tcPr>
            <w:tcW w:w="749" w:type="dxa"/>
            <w:noWrap w:val="0"/>
            <w:vAlign w:val="top"/>
          </w:tcPr>
          <w:p w14:paraId="4F58B0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604DF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91D8A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A22F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A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B118A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7-1</w:t>
            </w:r>
          </w:p>
        </w:tc>
        <w:tc>
          <w:tcPr>
            <w:tcW w:w="4732" w:type="dxa"/>
            <w:noWrap w:val="0"/>
            <w:vAlign w:val="top"/>
          </w:tcPr>
          <w:p w14:paraId="288ACE8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人（手）孔</w:t>
            </w:r>
          </w:p>
        </w:tc>
        <w:tc>
          <w:tcPr>
            <w:tcW w:w="749" w:type="dxa"/>
            <w:noWrap w:val="0"/>
            <w:vAlign w:val="top"/>
          </w:tcPr>
          <w:p w14:paraId="52A6B15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076FA0C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726B1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199553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2D9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F8D52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7-2</w:t>
            </w:r>
          </w:p>
        </w:tc>
        <w:tc>
          <w:tcPr>
            <w:tcW w:w="4732" w:type="dxa"/>
            <w:noWrap w:val="0"/>
            <w:vAlign w:val="top"/>
          </w:tcPr>
          <w:p w14:paraId="1B5F348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紧急电话平台</w:t>
            </w:r>
          </w:p>
        </w:tc>
        <w:tc>
          <w:tcPr>
            <w:tcW w:w="749" w:type="dxa"/>
            <w:noWrap w:val="0"/>
            <w:vAlign w:val="top"/>
          </w:tcPr>
          <w:p w14:paraId="4737A0CD">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3F0F02E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FA63B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55BF45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3C2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7DBD27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eastAsia="黑体" w:cs="Times New Roman"/>
                <w:color w:val="auto"/>
                <w:szCs w:val="21"/>
                <w:highlight w:val="none"/>
              </w:rPr>
              <w:t>60</w:t>
            </w:r>
            <w:r>
              <w:rPr>
                <w:rFonts w:hint="default" w:ascii="Times New Roman" w:hAnsi="Times New Roman" w:cs="Times New Roman"/>
                <w:color w:val="auto"/>
                <w:szCs w:val="21"/>
                <w:highlight w:val="none"/>
              </w:rPr>
              <w:t>7-3</w:t>
            </w:r>
          </w:p>
        </w:tc>
        <w:tc>
          <w:tcPr>
            <w:tcW w:w="4732" w:type="dxa"/>
            <w:noWrap w:val="0"/>
            <w:vAlign w:val="top"/>
          </w:tcPr>
          <w:p w14:paraId="5E0F5FF0">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管道工程</w:t>
            </w:r>
          </w:p>
        </w:tc>
        <w:tc>
          <w:tcPr>
            <w:tcW w:w="749" w:type="dxa"/>
            <w:noWrap w:val="0"/>
            <w:vAlign w:val="top"/>
          </w:tcPr>
          <w:p w14:paraId="5D81EF3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2D70E6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C6BD3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EB6D7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4B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F3E311">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w:t>
            </w:r>
          </w:p>
        </w:tc>
        <w:tc>
          <w:tcPr>
            <w:tcW w:w="4732" w:type="dxa"/>
            <w:noWrap w:val="0"/>
            <w:vAlign w:val="center"/>
          </w:tcPr>
          <w:p w14:paraId="345A1827">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收费设施及地下管道</w:t>
            </w:r>
          </w:p>
        </w:tc>
        <w:tc>
          <w:tcPr>
            <w:tcW w:w="749" w:type="dxa"/>
            <w:noWrap w:val="0"/>
            <w:vAlign w:val="top"/>
          </w:tcPr>
          <w:p w14:paraId="5EE02DF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95E98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2B5DC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5FA48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683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54A063">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608-1</w:t>
            </w:r>
          </w:p>
        </w:tc>
        <w:tc>
          <w:tcPr>
            <w:tcW w:w="4732" w:type="dxa"/>
            <w:noWrap w:val="0"/>
            <w:vAlign w:val="top"/>
          </w:tcPr>
          <w:p w14:paraId="629B31B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收费亭</w:t>
            </w:r>
          </w:p>
        </w:tc>
        <w:tc>
          <w:tcPr>
            <w:tcW w:w="749" w:type="dxa"/>
            <w:noWrap w:val="0"/>
            <w:vAlign w:val="top"/>
          </w:tcPr>
          <w:p w14:paraId="2C891C1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6E61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8710C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28BC1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F3A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F23BA8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02270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单人收费亭</w:t>
            </w:r>
          </w:p>
        </w:tc>
        <w:tc>
          <w:tcPr>
            <w:tcW w:w="749" w:type="dxa"/>
            <w:noWrap w:val="0"/>
            <w:vAlign w:val="top"/>
          </w:tcPr>
          <w:p w14:paraId="62B16D7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6C7EFEC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B83630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CD72AA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8C6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851B6E">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68496CA">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双人收费亭</w:t>
            </w:r>
          </w:p>
        </w:tc>
        <w:tc>
          <w:tcPr>
            <w:tcW w:w="749" w:type="dxa"/>
            <w:noWrap w:val="0"/>
            <w:vAlign w:val="top"/>
          </w:tcPr>
          <w:p w14:paraId="0E4F0DE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7E52B3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ED55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A89503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11A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2799E6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608-2</w:t>
            </w:r>
          </w:p>
        </w:tc>
        <w:tc>
          <w:tcPr>
            <w:tcW w:w="4732" w:type="dxa"/>
            <w:noWrap w:val="0"/>
            <w:vAlign w:val="top"/>
          </w:tcPr>
          <w:p w14:paraId="3791A25E">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收费天棚</w:t>
            </w:r>
          </w:p>
        </w:tc>
        <w:tc>
          <w:tcPr>
            <w:tcW w:w="749" w:type="dxa"/>
            <w:noWrap w:val="0"/>
            <w:vAlign w:val="top"/>
          </w:tcPr>
          <w:p w14:paraId="6EA6C4C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6412C5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15ABE1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D5232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E18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E025BF">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608-3</w:t>
            </w:r>
          </w:p>
        </w:tc>
        <w:tc>
          <w:tcPr>
            <w:tcW w:w="4732" w:type="dxa"/>
            <w:noWrap w:val="0"/>
            <w:vAlign w:val="top"/>
          </w:tcPr>
          <w:p w14:paraId="159BE2E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收费岛</w:t>
            </w:r>
          </w:p>
        </w:tc>
        <w:tc>
          <w:tcPr>
            <w:tcW w:w="749" w:type="dxa"/>
            <w:noWrap w:val="0"/>
            <w:vAlign w:val="top"/>
          </w:tcPr>
          <w:p w14:paraId="446E211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2758A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5678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B4C48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387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558B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C68AEB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单向收费岛</w:t>
            </w:r>
          </w:p>
        </w:tc>
        <w:tc>
          <w:tcPr>
            <w:tcW w:w="749" w:type="dxa"/>
            <w:noWrap w:val="0"/>
            <w:vAlign w:val="top"/>
          </w:tcPr>
          <w:p w14:paraId="6DFF471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330CEA5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B81A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C7BA2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844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A056B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E79C93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双向收费岛</w:t>
            </w:r>
          </w:p>
        </w:tc>
        <w:tc>
          <w:tcPr>
            <w:tcW w:w="749" w:type="dxa"/>
            <w:noWrap w:val="0"/>
            <w:vAlign w:val="top"/>
          </w:tcPr>
          <w:p w14:paraId="2AA49CFC">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个</w:t>
            </w:r>
          </w:p>
        </w:tc>
        <w:tc>
          <w:tcPr>
            <w:tcW w:w="837" w:type="dxa"/>
            <w:noWrap w:val="0"/>
            <w:vAlign w:val="center"/>
          </w:tcPr>
          <w:p w14:paraId="003C84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DB6B4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7F5A5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0D5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7F548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608-4</w:t>
            </w:r>
          </w:p>
        </w:tc>
        <w:tc>
          <w:tcPr>
            <w:tcW w:w="4732" w:type="dxa"/>
            <w:noWrap w:val="0"/>
            <w:vAlign w:val="top"/>
          </w:tcPr>
          <w:p w14:paraId="0AE498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地下通道</w:t>
            </w:r>
          </w:p>
        </w:tc>
        <w:tc>
          <w:tcPr>
            <w:tcW w:w="749" w:type="dxa"/>
            <w:noWrap w:val="0"/>
            <w:vAlign w:val="top"/>
          </w:tcPr>
          <w:p w14:paraId="344EBA3B">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290922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E3204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E2B569">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EBF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6C1C42">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608-5</w:t>
            </w:r>
          </w:p>
        </w:tc>
        <w:tc>
          <w:tcPr>
            <w:tcW w:w="4732" w:type="dxa"/>
            <w:noWrap w:val="0"/>
            <w:vAlign w:val="top"/>
          </w:tcPr>
          <w:p w14:paraId="5CDB4FA2">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预埋管线</w:t>
            </w:r>
          </w:p>
        </w:tc>
        <w:tc>
          <w:tcPr>
            <w:tcW w:w="749" w:type="dxa"/>
            <w:noWrap w:val="0"/>
            <w:vAlign w:val="top"/>
          </w:tcPr>
          <w:p w14:paraId="6D42C03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1E84DD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C9D9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52D9C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6CC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3FE1B18">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62122E53">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1C79660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005111C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3699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7F415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526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38FA6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CD2FF4C">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0CF0887A">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2105E60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B747E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33CD3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C1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9D9EA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608-6</w:t>
            </w:r>
          </w:p>
        </w:tc>
        <w:tc>
          <w:tcPr>
            <w:tcW w:w="4732" w:type="dxa"/>
            <w:noWrap w:val="0"/>
            <w:vAlign w:val="top"/>
          </w:tcPr>
          <w:p w14:paraId="15C6A6F4">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架设管线</w:t>
            </w:r>
          </w:p>
        </w:tc>
        <w:tc>
          <w:tcPr>
            <w:tcW w:w="749" w:type="dxa"/>
            <w:noWrap w:val="0"/>
            <w:vAlign w:val="top"/>
          </w:tcPr>
          <w:p w14:paraId="5B178FE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4A9B8D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155C4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AE54DB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6F5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3317A4">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58C6187B">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7C871779">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1CE51FB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30F80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5D7E7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008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516DDF6">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0401901">
            <w:pPr>
              <w:pageBreakBefore w:val="0"/>
              <w:kinsoku/>
              <w:wordWrap w:val="0"/>
              <w:bidi w:val="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（管线规格）</w:t>
            </w:r>
          </w:p>
        </w:tc>
        <w:tc>
          <w:tcPr>
            <w:tcW w:w="749" w:type="dxa"/>
            <w:noWrap w:val="0"/>
            <w:vAlign w:val="top"/>
          </w:tcPr>
          <w:p w14:paraId="40226250">
            <w:pPr>
              <w:pageBreakBefore w:val="0"/>
              <w:kinsoku/>
              <w:wordWrap w:val="0"/>
              <w:bidi w:val="0"/>
              <w:spacing w:line="36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380F04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8BB8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2FFDB66">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DD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EC63FB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5EB57E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3AB35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9D812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FB012A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4DFFC43">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31D9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43C4A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5DF1A0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4FF2DC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BCD623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5CCD9B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152D49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BF3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C8CD4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133381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02A20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00ABA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1EC7C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7B7D5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41A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8405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4242554A">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E73C7B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C160A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AAF1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05BA2C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4B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A6484E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A58AC0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37D5D6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E30AE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C7F5C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E224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2F4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84FC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A34009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4911449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F6D80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46A94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55934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274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5B15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8E4B14F">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DBF932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FE3EEE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1B4E71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7BF5331">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0CE5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46B14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4E6D551">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0F8779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E7761A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3F959F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C43F1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1D82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B627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53A84FC">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167BE8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7D7422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0696F6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82882A8">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F5B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F8C02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28C9196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9B4CB5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69067B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55AD8D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9D75B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913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6EA94FD">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3178152">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2F0963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005B2D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CF1A491">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F2E3E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357C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2A9D9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326A7279">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1DE320A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C9A3BC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802D1F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F1EB6C">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44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92C8A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7FDD1CA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F5D9B7B">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E822A1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26ACC4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CA0E24">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6401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8E9CA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145215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7F251F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71921B4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982B01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EDB79B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FB7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DE72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69F7C53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1BDBC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21E1A9B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2FB79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5C44EE7">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F93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A7B616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B829DCB">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2B06F2C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50DE6F7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A70747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DF0A845">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286F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E760EC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39AB3BE">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72F6195A">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CDFE77E">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E57E31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F633A82">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C5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A7F6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B204720">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FECDEE7">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C4F26F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BCDA92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7CEA85F">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77CA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046CD43">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1E78A4E7">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C74B30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149654D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38C03E22">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F0A3B6E">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CEF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E5A4E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C8CD3F0">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50439BE9">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A8BD1E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513370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3D1B0A">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411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E089FC">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54CB067F">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E41A085">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EA6B84">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479E79B8">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88F663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4710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C861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4732" w:type="dxa"/>
            <w:noWrap w:val="0"/>
            <w:vAlign w:val="top"/>
          </w:tcPr>
          <w:p w14:paraId="093CE6D5">
            <w:pPr>
              <w:pageBreakBefore w:val="0"/>
              <w:kinsoku/>
              <w:wordWrap w:val="0"/>
              <w:bidi w:val="0"/>
              <w:spacing w:line="360" w:lineRule="atLeast"/>
              <w:rPr>
                <w:rFonts w:hint="default" w:ascii="Times New Roman" w:hAnsi="Times New Roman" w:cs="Times New Roman"/>
                <w:color w:val="auto"/>
                <w:szCs w:val="21"/>
                <w:highlight w:val="none"/>
              </w:rPr>
            </w:pPr>
          </w:p>
        </w:tc>
        <w:tc>
          <w:tcPr>
            <w:tcW w:w="749" w:type="dxa"/>
            <w:noWrap w:val="0"/>
            <w:vAlign w:val="top"/>
          </w:tcPr>
          <w:p w14:paraId="6C2DBD1F">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09F79AC6">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noWrap w:val="0"/>
            <w:vAlign w:val="center"/>
          </w:tcPr>
          <w:p w14:paraId="6519E780">
            <w:pPr>
              <w:pageBreakBefore w:val="0"/>
              <w:kinsoku/>
              <w:wordWrap w:val="0"/>
              <w:bidi w:val="0"/>
              <w:spacing w:line="36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D80706B">
            <w:pPr>
              <w:pageBreakBefore w:val="0"/>
              <w:kinsoku/>
              <w:wordWrap w:val="0"/>
              <w:bidi w:val="0"/>
              <w:spacing w:line="360" w:lineRule="atLeast"/>
              <w:jc w:val="center"/>
              <w:rPr>
                <w:rFonts w:hint="default" w:ascii="Times New Roman" w:hAnsi="Times New Roman" w:cs="Times New Roman"/>
                <w:color w:val="auto"/>
                <w:szCs w:val="21"/>
                <w:highlight w:val="none"/>
              </w:rPr>
            </w:pPr>
          </w:p>
        </w:tc>
      </w:tr>
      <w:tr w14:paraId="503F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283CCE8A">
            <w:pPr>
              <w:pageBreakBefore w:val="0"/>
              <w:kinsoku/>
              <w:wordWrap w:val="0"/>
              <w:bidi w:val="0"/>
              <w:spacing w:line="36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清单第600章合计  人民币</w:t>
            </w:r>
            <w:r>
              <w:rPr>
                <w:rFonts w:hint="default" w:ascii="Times New Roman" w:hAnsi="Times New Roman" w:cs="Times New Roman"/>
                <w:color w:val="auto"/>
                <w:szCs w:val="21"/>
                <w:highlight w:val="none"/>
                <w:u w:val="single"/>
              </w:rPr>
              <w:t xml:space="preserve">                    </w:t>
            </w:r>
          </w:p>
        </w:tc>
      </w:tr>
    </w:tbl>
    <w:p w14:paraId="127AB8C3">
      <w:pPr>
        <w:pageBreakBefore w:val="0"/>
        <w:kinsoku/>
        <w:wordWrap w:val="0"/>
        <w:bidi w:val="0"/>
        <w:jc w:val="center"/>
        <w:rPr>
          <w:rFonts w:hint="default" w:ascii="Times New Roman" w:hAnsi="Times New Roman" w:eastAsia="黑体" w:cs="Times New Roman"/>
          <w:color w:val="auto"/>
          <w:sz w:val="28"/>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8"/>
          <w:highlight w:val="none"/>
        </w:rPr>
        <w:t>工 程 量 清 单</w:t>
      </w:r>
    </w:p>
    <w:p w14:paraId="705FCB4C">
      <w:pPr>
        <w:pageBreakBefore w:val="0"/>
        <w:kinsoku/>
        <w:wordWrap w:val="0"/>
        <w:bidi w:val="0"/>
        <w:jc w:val="center"/>
        <w:rPr>
          <w:rFonts w:hint="default" w:ascii="Times New Roman" w:hAnsi="Times New Roman"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6694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76ED404">
            <w:pPr>
              <w:pageBreakBefore w:val="0"/>
              <w:kinsoku/>
              <w:wordWrap w:val="0"/>
              <w:bidi w:val="0"/>
              <w:spacing w:before="120" w:after="120"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   第700章   绿化及环境保护设施</w:t>
            </w:r>
          </w:p>
        </w:tc>
      </w:tr>
      <w:tr w14:paraId="7D14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234C28B3">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97655E9">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12369EA">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DDA37C1">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8DA1595">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D28168C">
            <w:pPr>
              <w:pageBreakBefore w:val="0"/>
              <w:kinsoku/>
              <w:wordWrap w:val="0"/>
              <w:bidi w:val="0"/>
              <w:spacing w:line="360" w:lineRule="atLeast"/>
              <w:ind w:left="-57" w:right="-5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11F3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3F616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702</w:t>
            </w:r>
          </w:p>
        </w:tc>
        <w:tc>
          <w:tcPr>
            <w:tcW w:w="4732" w:type="dxa"/>
            <w:noWrap w:val="0"/>
            <w:vAlign w:val="center"/>
          </w:tcPr>
          <w:p w14:paraId="0FBDB2B7">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铺设表土</w:t>
            </w:r>
          </w:p>
        </w:tc>
        <w:tc>
          <w:tcPr>
            <w:tcW w:w="749" w:type="dxa"/>
            <w:noWrap w:val="0"/>
            <w:vAlign w:val="top"/>
          </w:tcPr>
          <w:p w14:paraId="65F4C57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77ECF2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7F70026">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611EB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5CD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36353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702-1</w:t>
            </w:r>
          </w:p>
        </w:tc>
        <w:tc>
          <w:tcPr>
            <w:tcW w:w="4732" w:type="dxa"/>
            <w:noWrap w:val="0"/>
            <w:vAlign w:val="top"/>
          </w:tcPr>
          <w:p w14:paraId="33C40B26">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开挖并铺设表土</w:t>
            </w:r>
          </w:p>
        </w:tc>
        <w:tc>
          <w:tcPr>
            <w:tcW w:w="749" w:type="dxa"/>
            <w:noWrap w:val="0"/>
            <w:vAlign w:val="top"/>
          </w:tcPr>
          <w:p w14:paraId="5190F32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441E68C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E8B2F0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29476EB">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964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9B213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702-2</w:t>
            </w:r>
          </w:p>
        </w:tc>
        <w:tc>
          <w:tcPr>
            <w:tcW w:w="4732" w:type="dxa"/>
            <w:noWrap w:val="0"/>
            <w:vAlign w:val="top"/>
          </w:tcPr>
          <w:p w14:paraId="16927A52">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铺设利用的表土</w:t>
            </w:r>
          </w:p>
        </w:tc>
        <w:tc>
          <w:tcPr>
            <w:tcW w:w="749" w:type="dxa"/>
            <w:noWrap w:val="0"/>
            <w:vAlign w:val="top"/>
          </w:tcPr>
          <w:p w14:paraId="2CD5581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9250B7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9D8CEB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4C5D099">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AEF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539EB">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w:t>
            </w:r>
          </w:p>
        </w:tc>
        <w:tc>
          <w:tcPr>
            <w:tcW w:w="4732" w:type="dxa"/>
            <w:noWrap w:val="0"/>
            <w:vAlign w:val="center"/>
          </w:tcPr>
          <w:p w14:paraId="3815615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撒播草种和铺植草皮</w:t>
            </w:r>
          </w:p>
        </w:tc>
        <w:tc>
          <w:tcPr>
            <w:tcW w:w="749" w:type="dxa"/>
            <w:noWrap w:val="0"/>
            <w:vAlign w:val="top"/>
          </w:tcPr>
          <w:p w14:paraId="72F9FC5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69E4F7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12FDCF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6FDED4">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C4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1DE49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703-1</w:t>
            </w:r>
          </w:p>
        </w:tc>
        <w:tc>
          <w:tcPr>
            <w:tcW w:w="4732" w:type="dxa"/>
            <w:noWrap w:val="0"/>
            <w:vAlign w:val="top"/>
          </w:tcPr>
          <w:p w14:paraId="398250D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撒播草种</w:t>
            </w:r>
            <w:r>
              <w:rPr>
                <w:rFonts w:hint="default" w:ascii="Times New Roman" w:hAnsi="Times New Roman" w:cs="Times New Roman"/>
                <w:color w:val="auto"/>
                <w:kern w:val="0"/>
                <w:szCs w:val="21"/>
                <w:highlight w:val="none"/>
              </w:rPr>
              <w:t>（含喷播）</w:t>
            </w:r>
          </w:p>
        </w:tc>
        <w:tc>
          <w:tcPr>
            <w:tcW w:w="749" w:type="dxa"/>
            <w:noWrap w:val="0"/>
            <w:vAlign w:val="top"/>
          </w:tcPr>
          <w:p w14:paraId="0324140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3F49C95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FF6790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DDB284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BC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2440E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703-2</w:t>
            </w:r>
          </w:p>
        </w:tc>
        <w:tc>
          <w:tcPr>
            <w:tcW w:w="4732" w:type="dxa"/>
            <w:noWrap w:val="0"/>
            <w:vAlign w:val="center"/>
          </w:tcPr>
          <w:p w14:paraId="2E9DC5FD">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撒播草种及花卉、灌木籽（含喷播）</w:t>
            </w:r>
          </w:p>
        </w:tc>
        <w:tc>
          <w:tcPr>
            <w:tcW w:w="749" w:type="dxa"/>
            <w:noWrap w:val="0"/>
            <w:vAlign w:val="center"/>
          </w:tcPr>
          <w:p w14:paraId="48EA8E2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FC7EA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D6F286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0167B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BEC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D19D8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703-3</w:t>
            </w:r>
          </w:p>
        </w:tc>
        <w:tc>
          <w:tcPr>
            <w:tcW w:w="4732" w:type="dxa"/>
            <w:noWrap w:val="0"/>
            <w:vAlign w:val="center"/>
          </w:tcPr>
          <w:p w14:paraId="47E7812F">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先点播灌木后喷播草种</w:t>
            </w:r>
          </w:p>
        </w:tc>
        <w:tc>
          <w:tcPr>
            <w:tcW w:w="749" w:type="dxa"/>
            <w:noWrap w:val="0"/>
            <w:vAlign w:val="center"/>
          </w:tcPr>
          <w:p w14:paraId="3C6AB2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7FFED4D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2E4F08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2FFB77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A71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BC2A1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703-4</w:t>
            </w:r>
          </w:p>
        </w:tc>
        <w:tc>
          <w:tcPr>
            <w:tcW w:w="4732" w:type="dxa"/>
            <w:noWrap w:val="0"/>
            <w:vAlign w:val="top"/>
          </w:tcPr>
          <w:p w14:paraId="5B671265">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铺植草皮</w:t>
            </w:r>
          </w:p>
        </w:tc>
        <w:tc>
          <w:tcPr>
            <w:tcW w:w="749" w:type="dxa"/>
            <w:noWrap w:val="0"/>
            <w:vAlign w:val="top"/>
          </w:tcPr>
          <w:p w14:paraId="1268CB9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572B50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2B46FC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AE633F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3C9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64720A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2386A8FF">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马尼拉草皮</w:t>
            </w:r>
          </w:p>
        </w:tc>
        <w:tc>
          <w:tcPr>
            <w:tcW w:w="749" w:type="dxa"/>
            <w:noWrap w:val="0"/>
            <w:vAlign w:val="top"/>
          </w:tcPr>
          <w:p w14:paraId="6E4783D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79F635E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398B9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BD2CD2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DE1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97FC4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38E82833">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美国二号草皮</w:t>
            </w:r>
          </w:p>
        </w:tc>
        <w:tc>
          <w:tcPr>
            <w:tcW w:w="749" w:type="dxa"/>
            <w:noWrap w:val="0"/>
            <w:vAlign w:val="top"/>
          </w:tcPr>
          <w:p w14:paraId="273394A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2</w:t>
            </w:r>
          </w:p>
        </w:tc>
        <w:tc>
          <w:tcPr>
            <w:tcW w:w="837" w:type="dxa"/>
            <w:noWrap w:val="0"/>
            <w:vAlign w:val="center"/>
          </w:tcPr>
          <w:p w14:paraId="6C2CD20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05867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5767BB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B71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50C7BF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1E2892A0">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73FE39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58744EA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4B6AE4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1B7FAB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227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EF39AD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703-5</w:t>
            </w:r>
          </w:p>
        </w:tc>
        <w:tc>
          <w:tcPr>
            <w:tcW w:w="4732" w:type="dxa"/>
            <w:noWrap w:val="0"/>
            <w:vAlign w:val="center"/>
          </w:tcPr>
          <w:p w14:paraId="2ECC432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三维土工网植草</w:t>
            </w:r>
          </w:p>
        </w:tc>
        <w:tc>
          <w:tcPr>
            <w:tcW w:w="749" w:type="dxa"/>
            <w:noWrap w:val="0"/>
            <w:vAlign w:val="center"/>
          </w:tcPr>
          <w:p w14:paraId="0DA75A3E">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4E312D2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60CE05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82987E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71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404054">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703-6</w:t>
            </w:r>
          </w:p>
        </w:tc>
        <w:tc>
          <w:tcPr>
            <w:tcW w:w="4732" w:type="dxa"/>
            <w:noWrap w:val="0"/>
            <w:vAlign w:val="center"/>
          </w:tcPr>
          <w:p w14:paraId="79935FD9">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客土喷播</w:t>
            </w:r>
          </w:p>
        </w:tc>
        <w:tc>
          <w:tcPr>
            <w:tcW w:w="749" w:type="dxa"/>
            <w:noWrap w:val="0"/>
            <w:vAlign w:val="center"/>
          </w:tcPr>
          <w:p w14:paraId="2F5937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26FF18D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E506D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6E8883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92E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3DB81F">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703-7</w:t>
            </w:r>
          </w:p>
        </w:tc>
        <w:tc>
          <w:tcPr>
            <w:tcW w:w="4732" w:type="dxa"/>
            <w:noWrap w:val="0"/>
            <w:vAlign w:val="center"/>
          </w:tcPr>
          <w:p w14:paraId="2447C905">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植生袋</w:t>
            </w:r>
          </w:p>
        </w:tc>
        <w:tc>
          <w:tcPr>
            <w:tcW w:w="749" w:type="dxa"/>
            <w:noWrap w:val="0"/>
            <w:vAlign w:val="center"/>
          </w:tcPr>
          <w:p w14:paraId="56FB8EF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2</w:t>
            </w:r>
          </w:p>
        </w:tc>
        <w:tc>
          <w:tcPr>
            <w:tcW w:w="837" w:type="dxa"/>
            <w:noWrap w:val="0"/>
            <w:vAlign w:val="center"/>
          </w:tcPr>
          <w:p w14:paraId="0C5B48F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3F0FF2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F276FF0">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EAB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668829">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703-8</w:t>
            </w:r>
          </w:p>
        </w:tc>
        <w:tc>
          <w:tcPr>
            <w:tcW w:w="4732" w:type="dxa"/>
            <w:noWrap w:val="0"/>
            <w:vAlign w:val="center"/>
          </w:tcPr>
          <w:p w14:paraId="3523362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绿地喷灌管道</w:t>
            </w:r>
          </w:p>
        </w:tc>
        <w:tc>
          <w:tcPr>
            <w:tcW w:w="749" w:type="dxa"/>
            <w:noWrap w:val="0"/>
            <w:vAlign w:val="center"/>
          </w:tcPr>
          <w:p w14:paraId="6595113D">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m</w:t>
            </w:r>
          </w:p>
        </w:tc>
        <w:tc>
          <w:tcPr>
            <w:tcW w:w="837" w:type="dxa"/>
            <w:noWrap w:val="0"/>
            <w:vAlign w:val="center"/>
          </w:tcPr>
          <w:p w14:paraId="445E722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9EFDA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12C4E34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663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CB8BA2">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w:t>
            </w:r>
          </w:p>
        </w:tc>
        <w:tc>
          <w:tcPr>
            <w:tcW w:w="4732" w:type="dxa"/>
            <w:noWrap w:val="0"/>
            <w:vAlign w:val="center"/>
          </w:tcPr>
          <w:p w14:paraId="1C27C4B6">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种植乔木、灌木和攀缘植物</w:t>
            </w:r>
          </w:p>
        </w:tc>
        <w:tc>
          <w:tcPr>
            <w:tcW w:w="749" w:type="dxa"/>
            <w:noWrap w:val="0"/>
            <w:vAlign w:val="top"/>
          </w:tcPr>
          <w:p w14:paraId="502953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4A0D788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0543D0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DF496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56B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6D61EC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704-1</w:t>
            </w:r>
          </w:p>
        </w:tc>
        <w:tc>
          <w:tcPr>
            <w:tcW w:w="4732" w:type="dxa"/>
            <w:noWrap w:val="0"/>
            <w:vAlign w:val="top"/>
          </w:tcPr>
          <w:p w14:paraId="5030A43E">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人工种植乔木</w:t>
            </w:r>
          </w:p>
        </w:tc>
        <w:tc>
          <w:tcPr>
            <w:tcW w:w="749" w:type="dxa"/>
            <w:noWrap w:val="0"/>
            <w:vAlign w:val="top"/>
          </w:tcPr>
          <w:p w14:paraId="262289C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38F9606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EFD248">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3FD827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BFC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8DED3C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75A9FEA9">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香樟</w:t>
            </w:r>
          </w:p>
        </w:tc>
        <w:tc>
          <w:tcPr>
            <w:tcW w:w="749" w:type="dxa"/>
            <w:noWrap w:val="0"/>
            <w:vAlign w:val="top"/>
          </w:tcPr>
          <w:p w14:paraId="16148DE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16685B2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1A2C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B67770E">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7F0D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08455C">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104555C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大叶樟</w:t>
            </w:r>
          </w:p>
        </w:tc>
        <w:tc>
          <w:tcPr>
            <w:tcW w:w="749" w:type="dxa"/>
            <w:noWrap w:val="0"/>
            <w:vAlign w:val="top"/>
          </w:tcPr>
          <w:p w14:paraId="0CB4A17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7ECE17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5659D0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A0A99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8FA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DDDA2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7B512512">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杜英</w:t>
            </w:r>
          </w:p>
        </w:tc>
        <w:tc>
          <w:tcPr>
            <w:tcW w:w="749" w:type="dxa"/>
            <w:noWrap w:val="0"/>
            <w:vAlign w:val="top"/>
          </w:tcPr>
          <w:p w14:paraId="63ABD15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1CFCA1B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FDFC67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67028F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CF3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1D309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395C5673">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E66137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873ABE5">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42B43E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B8F6F36">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AA7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AD54AB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704-2</w:t>
            </w:r>
          </w:p>
        </w:tc>
        <w:tc>
          <w:tcPr>
            <w:tcW w:w="4732" w:type="dxa"/>
            <w:noWrap w:val="0"/>
            <w:vAlign w:val="top"/>
          </w:tcPr>
          <w:p w14:paraId="7AD28008">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人工种植灌木</w:t>
            </w:r>
          </w:p>
        </w:tc>
        <w:tc>
          <w:tcPr>
            <w:tcW w:w="749" w:type="dxa"/>
            <w:noWrap w:val="0"/>
            <w:vAlign w:val="top"/>
          </w:tcPr>
          <w:p w14:paraId="7B3B15F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606E6674">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071354C">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0BC4F21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3FA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A7856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4732" w:type="dxa"/>
            <w:noWrap w:val="0"/>
            <w:vAlign w:val="top"/>
          </w:tcPr>
          <w:p w14:paraId="4764E77A">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夹竹桃</w:t>
            </w:r>
          </w:p>
        </w:tc>
        <w:tc>
          <w:tcPr>
            <w:tcW w:w="749" w:type="dxa"/>
            <w:noWrap w:val="0"/>
            <w:vAlign w:val="top"/>
          </w:tcPr>
          <w:p w14:paraId="4BC738B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DBAFC0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03BA5E9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6B5C018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C5E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AF718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p>
        </w:tc>
        <w:tc>
          <w:tcPr>
            <w:tcW w:w="4732" w:type="dxa"/>
            <w:noWrap w:val="0"/>
            <w:vAlign w:val="top"/>
          </w:tcPr>
          <w:p w14:paraId="7034C83D">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木芙蓉</w:t>
            </w:r>
          </w:p>
        </w:tc>
        <w:tc>
          <w:tcPr>
            <w:tcW w:w="749" w:type="dxa"/>
            <w:noWrap w:val="0"/>
            <w:vAlign w:val="top"/>
          </w:tcPr>
          <w:p w14:paraId="19BC410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3CAF895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8473EA">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18C6D0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51D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267A3F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w:t>
            </w:r>
          </w:p>
        </w:tc>
        <w:tc>
          <w:tcPr>
            <w:tcW w:w="4732" w:type="dxa"/>
            <w:noWrap w:val="0"/>
            <w:vAlign w:val="top"/>
          </w:tcPr>
          <w:p w14:paraId="554C729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春杜鹃</w:t>
            </w:r>
          </w:p>
        </w:tc>
        <w:tc>
          <w:tcPr>
            <w:tcW w:w="749" w:type="dxa"/>
            <w:noWrap w:val="0"/>
            <w:vAlign w:val="top"/>
          </w:tcPr>
          <w:p w14:paraId="5B04C08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0B5E178F">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7938554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23FB8FA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3552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A1CED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4732" w:type="dxa"/>
            <w:noWrap w:val="0"/>
            <w:vAlign w:val="top"/>
          </w:tcPr>
          <w:p w14:paraId="47636BF7">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9" w:type="dxa"/>
            <w:noWrap w:val="0"/>
            <w:vAlign w:val="top"/>
          </w:tcPr>
          <w:p w14:paraId="620AF6D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1577E9E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4EB69FD">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A48EC67">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BF4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C3E3C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704-3</w:t>
            </w:r>
          </w:p>
        </w:tc>
        <w:tc>
          <w:tcPr>
            <w:tcW w:w="4732" w:type="dxa"/>
            <w:noWrap w:val="0"/>
            <w:vAlign w:val="top"/>
          </w:tcPr>
          <w:p w14:paraId="7B2CB2BB">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人工种植攀缘植物</w:t>
            </w:r>
          </w:p>
        </w:tc>
        <w:tc>
          <w:tcPr>
            <w:tcW w:w="749" w:type="dxa"/>
            <w:noWrap w:val="0"/>
            <w:vAlign w:val="top"/>
          </w:tcPr>
          <w:p w14:paraId="5CF51D7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棵</w:t>
            </w:r>
          </w:p>
        </w:tc>
        <w:tc>
          <w:tcPr>
            <w:tcW w:w="837" w:type="dxa"/>
            <w:noWrap w:val="0"/>
            <w:vAlign w:val="center"/>
          </w:tcPr>
          <w:p w14:paraId="60D229C3">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A82248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342371A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5095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115815">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704-4</w:t>
            </w:r>
          </w:p>
        </w:tc>
        <w:tc>
          <w:tcPr>
            <w:tcW w:w="4732" w:type="dxa"/>
            <w:noWrap w:val="0"/>
            <w:vAlign w:val="center"/>
          </w:tcPr>
          <w:p w14:paraId="6D107A8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人工种植竹类</w:t>
            </w:r>
          </w:p>
        </w:tc>
        <w:tc>
          <w:tcPr>
            <w:tcW w:w="749" w:type="dxa"/>
            <w:noWrap w:val="0"/>
            <w:vAlign w:val="center"/>
          </w:tcPr>
          <w:p w14:paraId="234E1F5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棵</w:t>
            </w:r>
          </w:p>
        </w:tc>
        <w:tc>
          <w:tcPr>
            <w:tcW w:w="837" w:type="dxa"/>
            <w:noWrap w:val="0"/>
            <w:vAlign w:val="center"/>
          </w:tcPr>
          <w:p w14:paraId="59225060">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455ECBE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BAFA278">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2FC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9D4393">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w:t>
            </w:r>
          </w:p>
        </w:tc>
        <w:tc>
          <w:tcPr>
            <w:tcW w:w="4732" w:type="dxa"/>
            <w:noWrap w:val="0"/>
            <w:vAlign w:val="center"/>
          </w:tcPr>
          <w:p w14:paraId="7474FE1B">
            <w:pPr>
              <w:pageBreakBefore w:val="0"/>
              <w:widowControl/>
              <w:kinsoku/>
              <w:wordWrap w:val="0"/>
              <w:bidi w:val="0"/>
              <w:spacing w:line="340" w:lineRule="atLeas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声屏障</w:t>
            </w:r>
          </w:p>
        </w:tc>
        <w:tc>
          <w:tcPr>
            <w:tcW w:w="749" w:type="dxa"/>
            <w:noWrap w:val="0"/>
            <w:vAlign w:val="center"/>
          </w:tcPr>
          <w:p w14:paraId="765511F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D597D7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21150592">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645744A">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1508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B8FCC7">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706-1</w:t>
            </w:r>
          </w:p>
        </w:tc>
        <w:tc>
          <w:tcPr>
            <w:tcW w:w="4732" w:type="dxa"/>
            <w:noWrap w:val="0"/>
            <w:vAlign w:val="center"/>
          </w:tcPr>
          <w:p w14:paraId="6515E741">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吸、隔声板声屏障</w:t>
            </w:r>
          </w:p>
        </w:tc>
        <w:tc>
          <w:tcPr>
            <w:tcW w:w="749" w:type="dxa"/>
            <w:noWrap w:val="0"/>
            <w:vAlign w:val="center"/>
          </w:tcPr>
          <w:p w14:paraId="4A1C791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p>
        </w:tc>
        <w:tc>
          <w:tcPr>
            <w:tcW w:w="837" w:type="dxa"/>
            <w:noWrap w:val="0"/>
            <w:vAlign w:val="center"/>
          </w:tcPr>
          <w:p w14:paraId="3022C0DB">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52AB798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4E4902EC">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027D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7101D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706-2</w:t>
            </w:r>
          </w:p>
        </w:tc>
        <w:tc>
          <w:tcPr>
            <w:tcW w:w="4732" w:type="dxa"/>
            <w:noWrap w:val="0"/>
            <w:vAlign w:val="center"/>
          </w:tcPr>
          <w:p w14:paraId="59BC1AA4">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吸声砖声屏障</w:t>
            </w:r>
          </w:p>
        </w:tc>
        <w:tc>
          <w:tcPr>
            <w:tcW w:w="749" w:type="dxa"/>
            <w:noWrap w:val="0"/>
            <w:vAlign w:val="center"/>
          </w:tcPr>
          <w:p w14:paraId="2D80F29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66CB95B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6555647E">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176ABC5">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610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8CFD91A">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706-3</w:t>
            </w:r>
          </w:p>
        </w:tc>
        <w:tc>
          <w:tcPr>
            <w:tcW w:w="4732" w:type="dxa"/>
            <w:noWrap w:val="0"/>
            <w:vAlign w:val="center"/>
          </w:tcPr>
          <w:p w14:paraId="66865024">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砖墙声屏障</w:t>
            </w:r>
          </w:p>
        </w:tc>
        <w:tc>
          <w:tcPr>
            <w:tcW w:w="749" w:type="dxa"/>
            <w:noWrap w:val="0"/>
            <w:vAlign w:val="center"/>
          </w:tcPr>
          <w:p w14:paraId="2812E09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vertAlign w:val="superscript"/>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837" w:type="dxa"/>
            <w:noWrap w:val="0"/>
            <w:vAlign w:val="center"/>
          </w:tcPr>
          <w:p w14:paraId="2A82EED9">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33BD85C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5E3D92F2">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2AA0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CB0F98">
            <w:pPr>
              <w:pageBreakBefore w:val="0"/>
              <w:widowControl/>
              <w:kinsoku/>
              <w:wordWrap w:val="0"/>
              <w:bidi w:val="0"/>
              <w:spacing w:line="340" w:lineRule="atLeast"/>
              <w:jc w:val="center"/>
              <w:rPr>
                <w:rFonts w:hint="default" w:ascii="Times New Roman" w:hAnsi="Times New Roman" w:cs="Times New Roman"/>
                <w:color w:val="auto"/>
                <w:kern w:val="0"/>
                <w:szCs w:val="21"/>
                <w:highlight w:val="none"/>
              </w:rPr>
            </w:pPr>
          </w:p>
        </w:tc>
        <w:tc>
          <w:tcPr>
            <w:tcW w:w="4732" w:type="dxa"/>
            <w:noWrap w:val="0"/>
            <w:vAlign w:val="center"/>
          </w:tcPr>
          <w:p w14:paraId="5E580E77">
            <w:pPr>
              <w:pageBreakBefore w:val="0"/>
              <w:widowControl/>
              <w:kinsoku/>
              <w:wordWrap w:val="0"/>
              <w:autoSpaceDE w:val="0"/>
              <w:autoSpaceDN w:val="0"/>
              <w:bidi w:val="0"/>
              <w:spacing w:line="340" w:lineRule="atLeast"/>
              <w:textAlignment w:val="bottom"/>
              <w:rPr>
                <w:rFonts w:hint="default" w:ascii="Times New Roman" w:hAnsi="Times New Roman" w:cs="Times New Roman"/>
                <w:color w:val="auto"/>
                <w:szCs w:val="21"/>
                <w:highlight w:val="none"/>
              </w:rPr>
            </w:pPr>
          </w:p>
        </w:tc>
        <w:tc>
          <w:tcPr>
            <w:tcW w:w="749" w:type="dxa"/>
            <w:noWrap w:val="0"/>
            <w:vAlign w:val="center"/>
          </w:tcPr>
          <w:p w14:paraId="59BB087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color w:val="auto"/>
                <w:szCs w:val="21"/>
                <w:highlight w:val="none"/>
              </w:rPr>
            </w:pPr>
          </w:p>
        </w:tc>
        <w:tc>
          <w:tcPr>
            <w:tcW w:w="837" w:type="dxa"/>
            <w:noWrap w:val="0"/>
            <w:vAlign w:val="center"/>
          </w:tcPr>
          <w:p w14:paraId="2A5321C1">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noWrap w:val="0"/>
            <w:vAlign w:val="center"/>
          </w:tcPr>
          <w:p w14:paraId="198C1457">
            <w:pPr>
              <w:pageBreakBefore w:val="0"/>
              <w:kinsoku/>
              <w:wordWrap w:val="0"/>
              <w:bidi w:val="0"/>
              <w:spacing w:line="340" w:lineRule="atLeast"/>
              <w:jc w:val="center"/>
              <w:rPr>
                <w:rFonts w:hint="default" w:ascii="Times New Roman" w:hAnsi="Times New Roman" w:cs="Times New Roman"/>
                <w:color w:val="auto"/>
                <w:szCs w:val="21"/>
                <w:highlight w:val="none"/>
              </w:rPr>
            </w:pPr>
          </w:p>
        </w:tc>
        <w:tc>
          <w:tcPr>
            <w:tcW w:w="837" w:type="dxa"/>
            <w:tcBorders>
              <w:right w:val="single" w:color="auto" w:sz="12" w:space="0"/>
            </w:tcBorders>
            <w:noWrap w:val="0"/>
            <w:vAlign w:val="center"/>
          </w:tcPr>
          <w:p w14:paraId="749CDADF">
            <w:pPr>
              <w:pageBreakBefore w:val="0"/>
              <w:kinsoku/>
              <w:wordWrap w:val="0"/>
              <w:bidi w:val="0"/>
              <w:spacing w:line="340" w:lineRule="atLeast"/>
              <w:jc w:val="center"/>
              <w:rPr>
                <w:rFonts w:hint="default" w:ascii="Times New Roman" w:hAnsi="Times New Roman" w:cs="Times New Roman"/>
                <w:color w:val="auto"/>
                <w:szCs w:val="21"/>
                <w:highlight w:val="none"/>
              </w:rPr>
            </w:pPr>
          </w:p>
        </w:tc>
      </w:tr>
      <w:tr w14:paraId="4965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38042D8A">
            <w:pPr>
              <w:pageBreakBefore w:val="0"/>
              <w:kinsoku/>
              <w:wordWrap w:val="0"/>
              <w:bidi w:val="0"/>
              <w:spacing w:line="340" w:lineRule="atLeast"/>
              <w:jc w:val="center"/>
              <w:rPr>
                <w:rFonts w:hint="default" w:ascii="Times New Roman" w:hAnsi="Times New Roman" w:cs="Times New Roman"/>
                <w:color w:val="auto"/>
                <w:szCs w:val="21"/>
                <w:highlight w:val="none"/>
                <w:u w:val="single"/>
              </w:rPr>
            </w:pPr>
            <w:r>
              <w:rPr>
                <w:rFonts w:hint="default" w:ascii="Times New Roman" w:hAnsi="Times New Roman" w:cs="Times New Roman"/>
                <w:color w:val="auto"/>
                <w:szCs w:val="21"/>
                <w:highlight w:val="none"/>
              </w:rPr>
              <w:t>清单第700章合计  人民币</w:t>
            </w:r>
            <w:r>
              <w:rPr>
                <w:rFonts w:hint="default" w:ascii="Times New Roman" w:hAnsi="Times New Roman" w:cs="Times New Roman"/>
                <w:color w:val="auto"/>
                <w:szCs w:val="21"/>
                <w:highlight w:val="none"/>
                <w:u w:val="single"/>
              </w:rPr>
              <w:t xml:space="preserve">                    </w:t>
            </w:r>
          </w:p>
        </w:tc>
      </w:tr>
    </w:tbl>
    <w:p w14:paraId="37E4C525">
      <w:pPr>
        <w:pageBreakBefore w:val="0"/>
        <w:kinsoku/>
        <w:wordWrap w:val="0"/>
        <w:bidi w:val="0"/>
        <w:spacing w:before="120" w:beforeLines="50" w:after="120" w:afterLines="50" w:line="400" w:lineRule="atLeast"/>
        <w:ind w:firstLine="560" w:firstLineChars="200"/>
        <w:outlineLvl w:val="2"/>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8"/>
          <w:highlight w:val="none"/>
        </w:rPr>
        <w:br w:type="page"/>
      </w:r>
      <w:bookmarkStart w:id="1856" w:name="_Toc10643"/>
      <w:r>
        <w:rPr>
          <w:rFonts w:hint="default" w:ascii="Times New Roman" w:hAnsi="Times New Roman" w:cs="Times New Roman"/>
          <w:color w:val="auto"/>
          <w:sz w:val="24"/>
          <w:highlight w:val="none"/>
        </w:rPr>
        <w:t>5.2 计日工表</w:t>
      </w:r>
      <w:bookmarkEnd w:id="1856"/>
    </w:p>
    <w:p w14:paraId="0B6A82EF">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5.2.1 劳务</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159D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16B974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030" w:type="dxa"/>
            <w:noWrap w:val="0"/>
            <w:vAlign w:val="center"/>
          </w:tcPr>
          <w:p w14:paraId="50CC68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503" w:type="dxa"/>
            <w:noWrap w:val="0"/>
            <w:vAlign w:val="center"/>
          </w:tcPr>
          <w:p w14:paraId="331C0EA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14" w:type="dxa"/>
            <w:noWrap w:val="0"/>
            <w:vAlign w:val="center"/>
          </w:tcPr>
          <w:p w14:paraId="2EBC14A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26" w:type="dxa"/>
            <w:noWrap w:val="0"/>
            <w:vAlign w:val="center"/>
          </w:tcPr>
          <w:p w14:paraId="022EC92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9" w:type="dxa"/>
            <w:noWrap w:val="0"/>
            <w:vAlign w:val="center"/>
          </w:tcPr>
          <w:p w14:paraId="2BD10D4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2946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9C03FA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101</w:t>
            </w:r>
          </w:p>
        </w:tc>
        <w:tc>
          <w:tcPr>
            <w:tcW w:w="3030" w:type="dxa"/>
            <w:noWrap w:val="0"/>
            <w:vAlign w:val="top"/>
          </w:tcPr>
          <w:p w14:paraId="755119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班长</w:t>
            </w:r>
          </w:p>
        </w:tc>
        <w:tc>
          <w:tcPr>
            <w:tcW w:w="1503" w:type="dxa"/>
            <w:noWrap w:val="0"/>
            <w:vAlign w:val="center"/>
          </w:tcPr>
          <w:p w14:paraId="09E3483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7DE9E75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3D2374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ECB6C9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4C8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2385CF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102</w:t>
            </w:r>
          </w:p>
        </w:tc>
        <w:tc>
          <w:tcPr>
            <w:tcW w:w="3030" w:type="dxa"/>
            <w:noWrap w:val="0"/>
            <w:vAlign w:val="top"/>
          </w:tcPr>
          <w:p w14:paraId="65CFF83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普通工</w:t>
            </w:r>
          </w:p>
        </w:tc>
        <w:tc>
          <w:tcPr>
            <w:tcW w:w="1503" w:type="dxa"/>
            <w:noWrap w:val="0"/>
            <w:vAlign w:val="center"/>
          </w:tcPr>
          <w:p w14:paraId="65F3DF6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235CAD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700D6D2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66040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29B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6BBABA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103</w:t>
            </w:r>
          </w:p>
        </w:tc>
        <w:tc>
          <w:tcPr>
            <w:tcW w:w="3030" w:type="dxa"/>
            <w:noWrap w:val="0"/>
            <w:vAlign w:val="top"/>
          </w:tcPr>
          <w:p w14:paraId="2830D96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焊工</w:t>
            </w:r>
          </w:p>
        </w:tc>
        <w:tc>
          <w:tcPr>
            <w:tcW w:w="1503" w:type="dxa"/>
            <w:noWrap w:val="0"/>
            <w:vAlign w:val="center"/>
          </w:tcPr>
          <w:p w14:paraId="38249EB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2B7ECFF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18023E4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465495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205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2291484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104</w:t>
            </w:r>
          </w:p>
        </w:tc>
        <w:tc>
          <w:tcPr>
            <w:tcW w:w="3030" w:type="dxa"/>
            <w:noWrap w:val="0"/>
            <w:vAlign w:val="top"/>
          </w:tcPr>
          <w:p w14:paraId="6083B5C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电工</w:t>
            </w:r>
          </w:p>
        </w:tc>
        <w:tc>
          <w:tcPr>
            <w:tcW w:w="1503" w:type="dxa"/>
            <w:noWrap w:val="0"/>
            <w:vAlign w:val="center"/>
          </w:tcPr>
          <w:p w14:paraId="08CEB49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398E2FC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DAFE68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56FA6A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BAB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EDBA45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105</w:t>
            </w:r>
          </w:p>
        </w:tc>
        <w:tc>
          <w:tcPr>
            <w:tcW w:w="3030" w:type="dxa"/>
            <w:noWrap w:val="0"/>
            <w:vAlign w:val="top"/>
          </w:tcPr>
          <w:p w14:paraId="2D7CD4D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混凝土工</w:t>
            </w:r>
          </w:p>
        </w:tc>
        <w:tc>
          <w:tcPr>
            <w:tcW w:w="1503" w:type="dxa"/>
            <w:noWrap w:val="0"/>
            <w:vAlign w:val="center"/>
          </w:tcPr>
          <w:p w14:paraId="502BA23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5A2D003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BEE91C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453124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F22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4B816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106</w:t>
            </w:r>
          </w:p>
        </w:tc>
        <w:tc>
          <w:tcPr>
            <w:tcW w:w="3030" w:type="dxa"/>
            <w:noWrap w:val="0"/>
            <w:vAlign w:val="top"/>
          </w:tcPr>
          <w:p w14:paraId="1ABBF0A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木工</w:t>
            </w:r>
          </w:p>
        </w:tc>
        <w:tc>
          <w:tcPr>
            <w:tcW w:w="1503" w:type="dxa"/>
            <w:noWrap w:val="0"/>
            <w:vAlign w:val="center"/>
          </w:tcPr>
          <w:p w14:paraId="672332B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4B9EAAD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FA42F2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B1242D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31C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8D01CE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107</w:t>
            </w:r>
          </w:p>
        </w:tc>
        <w:tc>
          <w:tcPr>
            <w:tcW w:w="3030" w:type="dxa"/>
            <w:noWrap w:val="0"/>
            <w:vAlign w:val="top"/>
          </w:tcPr>
          <w:p w14:paraId="50D2542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钢筋工</w:t>
            </w:r>
          </w:p>
        </w:tc>
        <w:tc>
          <w:tcPr>
            <w:tcW w:w="1503" w:type="dxa"/>
            <w:noWrap w:val="0"/>
            <w:vAlign w:val="center"/>
          </w:tcPr>
          <w:p w14:paraId="7D15E3C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14" w:type="dxa"/>
            <w:noWrap w:val="0"/>
            <w:vAlign w:val="center"/>
          </w:tcPr>
          <w:p w14:paraId="0F3E404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1AD5496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1D63F7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4C5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189BD0A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3030" w:type="dxa"/>
            <w:noWrap w:val="0"/>
            <w:vAlign w:val="top"/>
          </w:tcPr>
          <w:p w14:paraId="7B087A8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03" w:type="dxa"/>
            <w:noWrap w:val="0"/>
            <w:vAlign w:val="center"/>
          </w:tcPr>
          <w:p w14:paraId="704C743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314" w:type="dxa"/>
            <w:noWrap w:val="0"/>
            <w:vAlign w:val="center"/>
          </w:tcPr>
          <w:p w14:paraId="2D89294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384E36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E820C7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F4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5C64340C">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劳务小计金额： </w:t>
            </w:r>
            <w:r>
              <w:rPr>
                <w:rFonts w:hint="default" w:ascii="Times New Roman" w:hAnsi="Times New Roman" w:cs="Times New Roman"/>
                <w:color w:val="auto"/>
                <w:szCs w:val="21"/>
                <w:highlight w:val="none"/>
                <w:u w:val="single"/>
              </w:rPr>
              <w:t>_____________</w:t>
            </w:r>
          </w:p>
          <w:p w14:paraId="7531686B">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6D3B68BF">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5.2.2 材料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082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34B83DC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030" w:type="dxa"/>
            <w:noWrap w:val="0"/>
            <w:vAlign w:val="center"/>
          </w:tcPr>
          <w:p w14:paraId="5AE1EED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503" w:type="dxa"/>
            <w:noWrap w:val="0"/>
            <w:vAlign w:val="center"/>
          </w:tcPr>
          <w:p w14:paraId="4B8F28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14" w:type="dxa"/>
            <w:noWrap w:val="0"/>
            <w:vAlign w:val="center"/>
          </w:tcPr>
          <w:p w14:paraId="35BE8EE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26" w:type="dxa"/>
            <w:noWrap w:val="0"/>
            <w:vAlign w:val="center"/>
          </w:tcPr>
          <w:p w14:paraId="1C8E96E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9" w:type="dxa"/>
            <w:noWrap w:val="0"/>
            <w:vAlign w:val="center"/>
          </w:tcPr>
          <w:p w14:paraId="61C1D30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5C66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032FF7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201</w:t>
            </w:r>
          </w:p>
        </w:tc>
        <w:tc>
          <w:tcPr>
            <w:tcW w:w="3030" w:type="dxa"/>
            <w:noWrap w:val="0"/>
            <w:vAlign w:val="top"/>
          </w:tcPr>
          <w:p w14:paraId="753C381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1503" w:type="dxa"/>
            <w:noWrap w:val="0"/>
            <w:vAlign w:val="top"/>
          </w:tcPr>
          <w:p w14:paraId="246A44E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01C737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887634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F84DC3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EE6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5B1CE5C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w:t>
            </w:r>
          </w:p>
        </w:tc>
        <w:tc>
          <w:tcPr>
            <w:tcW w:w="3030" w:type="dxa"/>
            <w:noWrap w:val="0"/>
            <w:vAlign w:val="top"/>
          </w:tcPr>
          <w:p w14:paraId="55AB3D5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钢筋</w:t>
            </w:r>
          </w:p>
        </w:tc>
        <w:tc>
          <w:tcPr>
            <w:tcW w:w="1503" w:type="dxa"/>
            <w:noWrap w:val="0"/>
            <w:vAlign w:val="top"/>
          </w:tcPr>
          <w:p w14:paraId="5EEFA59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6ADF5FD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6F2E2F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087180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982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C052F2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203</w:t>
            </w:r>
          </w:p>
        </w:tc>
        <w:tc>
          <w:tcPr>
            <w:tcW w:w="3030" w:type="dxa"/>
            <w:noWrap w:val="0"/>
            <w:vAlign w:val="top"/>
          </w:tcPr>
          <w:p w14:paraId="3FB726B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钢绞线</w:t>
            </w:r>
          </w:p>
        </w:tc>
        <w:tc>
          <w:tcPr>
            <w:tcW w:w="1503" w:type="dxa"/>
            <w:noWrap w:val="0"/>
            <w:vAlign w:val="top"/>
          </w:tcPr>
          <w:p w14:paraId="7D80412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42B4D13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BEEFD5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73F1C7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617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3CE6E0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204</w:t>
            </w:r>
          </w:p>
        </w:tc>
        <w:tc>
          <w:tcPr>
            <w:tcW w:w="3030" w:type="dxa"/>
            <w:noWrap w:val="0"/>
            <w:vAlign w:val="top"/>
          </w:tcPr>
          <w:p w14:paraId="6DC2FAE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沥青</w:t>
            </w:r>
          </w:p>
        </w:tc>
        <w:tc>
          <w:tcPr>
            <w:tcW w:w="1503" w:type="dxa"/>
            <w:noWrap w:val="0"/>
            <w:vAlign w:val="top"/>
          </w:tcPr>
          <w:p w14:paraId="58F5C1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1314" w:type="dxa"/>
            <w:noWrap w:val="0"/>
            <w:vAlign w:val="center"/>
          </w:tcPr>
          <w:p w14:paraId="55E02C4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592E46E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CB7848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00B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80EC78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205</w:t>
            </w:r>
          </w:p>
        </w:tc>
        <w:tc>
          <w:tcPr>
            <w:tcW w:w="3030" w:type="dxa"/>
            <w:noWrap w:val="0"/>
            <w:vAlign w:val="top"/>
          </w:tcPr>
          <w:p w14:paraId="5F59F48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木材</w:t>
            </w:r>
          </w:p>
        </w:tc>
        <w:tc>
          <w:tcPr>
            <w:tcW w:w="1503" w:type="dxa"/>
            <w:noWrap w:val="0"/>
            <w:vAlign w:val="top"/>
          </w:tcPr>
          <w:p w14:paraId="3D30FB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2ADF9B7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CCBB26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47CA3CA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3AD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729876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206</w:t>
            </w:r>
          </w:p>
        </w:tc>
        <w:tc>
          <w:tcPr>
            <w:tcW w:w="3030" w:type="dxa"/>
            <w:noWrap w:val="0"/>
            <w:vAlign w:val="top"/>
          </w:tcPr>
          <w:p w14:paraId="06544D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砂</w:t>
            </w:r>
          </w:p>
        </w:tc>
        <w:tc>
          <w:tcPr>
            <w:tcW w:w="1503" w:type="dxa"/>
            <w:noWrap w:val="0"/>
            <w:vAlign w:val="top"/>
          </w:tcPr>
          <w:p w14:paraId="2667A96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564EDEE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6A3D738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6AEB16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174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51FBBB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207</w:t>
            </w:r>
          </w:p>
        </w:tc>
        <w:tc>
          <w:tcPr>
            <w:tcW w:w="3030" w:type="dxa"/>
            <w:noWrap w:val="0"/>
            <w:vAlign w:val="top"/>
          </w:tcPr>
          <w:p w14:paraId="541B492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碎石</w:t>
            </w:r>
          </w:p>
        </w:tc>
        <w:tc>
          <w:tcPr>
            <w:tcW w:w="1503" w:type="dxa"/>
            <w:noWrap w:val="0"/>
            <w:vAlign w:val="top"/>
          </w:tcPr>
          <w:p w14:paraId="1FA03B3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44F23CE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216CE8B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9D203A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039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3D24B3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208</w:t>
            </w:r>
          </w:p>
        </w:tc>
        <w:tc>
          <w:tcPr>
            <w:tcW w:w="3030" w:type="dxa"/>
            <w:noWrap w:val="0"/>
            <w:vAlign w:val="top"/>
          </w:tcPr>
          <w:p w14:paraId="2BD2F78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片石</w:t>
            </w:r>
          </w:p>
        </w:tc>
        <w:tc>
          <w:tcPr>
            <w:tcW w:w="1503" w:type="dxa"/>
            <w:noWrap w:val="0"/>
            <w:vAlign w:val="top"/>
          </w:tcPr>
          <w:p w14:paraId="155149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314" w:type="dxa"/>
            <w:noWrap w:val="0"/>
            <w:vAlign w:val="center"/>
          </w:tcPr>
          <w:p w14:paraId="7DE9290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317A9E7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798451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3C8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F71E567">
            <w:pPr>
              <w:pageBreakBefore w:val="0"/>
              <w:kinsoku/>
              <w:wordWrap w:val="0"/>
              <w:bidi w:val="0"/>
              <w:spacing w:before="36" w:beforeLines="15" w:after="36" w:afterLines="15" w:line="240" w:lineRule="atLeast"/>
              <w:jc w:val="center"/>
              <w:rPr>
                <w:rFonts w:hint="default" w:ascii="Times New Roman" w:hAnsi="Times New Roman" w:cs="Times New Roman"/>
                <w:color w:val="auto"/>
                <w:szCs w:val="21"/>
                <w:highlight w:val="none"/>
              </w:rPr>
            </w:pPr>
          </w:p>
        </w:tc>
        <w:tc>
          <w:tcPr>
            <w:tcW w:w="3030" w:type="dxa"/>
            <w:noWrap w:val="0"/>
            <w:vAlign w:val="top"/>
          </w:tcPr>
          <w:p w14:paraId="241F2DA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03" w:type="dxa"/>
            <w:noWrap w:val="0"/>
            <w:vAlign w:val="top"/>
          </w:tcPr>
          <w:p w14:paraId="6D7719C1">
            <w:pPr>
              <w:pageBreakBefore w:val="0"/>
              <w:kinsoku/>
              <w:wordWrap w:val="0"/>
              <w:bidi w:val="0"/>
              <w:spacing w:before="36" w:beforeLines="15" w:after="36" w:afterLines="15" w:line="240" w:lineRule="atLeast"/>
              <w:jc w:val="center"/>
              <w:rPr>
                <w:rFonts w:hint="default" w:ascii="Times New Roman" w:hAnsi="Times New Roman" w:cs="Times New Roman"/>
                <w:color w:val="auto"/>
                <w:szCs w:val="21"/>
                <w:highlight w:val="none"/>
              </w:rPr>
            </w:pPr>
          </w:p>
        </w:tc>
        <w:tc>
          <w:tcPr>
            <w:tcW w:w="1314" w:type="dxa"/>
            <w:noWrap w:val="0"/>
            <w:vAlign w:val="center"/>
          </w:tcPr>
          <w:p w14:paraId="4F829B0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126" w:type="dxa"/>
            <w:noWrap w:val="0"/>
            <w:vAlign w:val="center"/>
          </w:tcPr>
          <w:p w14:paraId="0066D48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58595D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99F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7144694C">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材料小计金额： </w:t>
            </w:r>
            <w:r>
              <w:rPr>
                <w:rFonts w:hint="default" w:ascii="Times New Roman" w:hAnsi="Times New Roman" w:cs="Times New Roman"/>
                <w:color w:val="auto"/>
                <w:szCs w:val="21"/>
                <w:highlight w:val="none"/>
                <w:u w:val="single"/>
              </w:rPr>
              <w:t>_____________</w:t>
            </w:r>
          </w:p>
          <w:p w14:paraId="26C4F65A">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563179CA">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5.2.3 施工机械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85"/>
        <w:gridCol w:w="1495"/>
        <w:gridCol w:w="1307"/>
        <w:gridCol w:w="1118"/>
        <w:gridCol w:w="1072"/>
      </w:tblGrid>
      <w:tr w14:paraId="50BA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25399E0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3185" w:type="dxa"/>
            <w:noWrap w:val="0"/>
            <w:vAlign w:val="center"/>
          </w:tcPr>
          <w:p w14:paraId="3DB9D2F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子目名称</w:t>
            </w:r>
          </w:p>
        </w:tc>
        <w:tc>
          <w:tcPr>
            <w:tcW w:w="1495" w:type="dxa"/>
            <w:noWrap w:val="0"/>
            <w:vAlign w:val="center"/>
          </w:tcPr>
          <w:p w14:paraId="354FFB1B">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07" w:type="dxa"/>
            <w:noWrap w:val="0"/>
            <w:vAlign w:val="center"/>
          </w:tcPr>
          <w:p w14:paraId="50E8AED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暂定数量</w:t>
            </w:r>
          </w:p>
        </w:tc>
        <w:tc>
          <w:tcPr>
            <w:tcW w:w="1118" w:type="dxa"/>
            <w:noWrap w:val="0"/>
            <w:vAlign w:val="center"/>
          </w:tcPr>
          <w:p w14:paraId="0F4D0F36">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单价</w:t>
            </w:r>
          </w:p>
        </w:tc>
        <w:tc>
          <w:tcPr>
            <w:tcW w:w="1072" w:type="dxa"/>
            <w:noWrap w:val="0"/>
            <w:vAlign w:val="center"/>
          </w:tcPr>
          <w:p w14:paraId="6E7F332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r>
      <w:tr w14:paraId="0873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0E00C8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w:t>
            </w:r>
          </w:p>
        </w:tc>
        <w:tc>
          <w:tcPr>
            <w:tcW w:w="3185" w:type="dxa"/>
            <w:noWrap w:val="0"/>
            <w:vAlign w:val="top"/>
          </w:tcPr>
          <w:p w14:paraId="29C35B1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装载机</w:t>
            </w:r>
          </w:p>
        </w:tc>
        <w:tc>
          <w:tcPr>
            <w:tcW w:w="1495" w:type="dxa"/>
            <w:noWrap w:val="0"/>
            <w:vAlign w:val="center"/>
          </w:tcPr>
          <w:p w14:paraId="2B421CE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7E8B2F8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8EDAE4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6C30A06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508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noWrap w:val="0"/>
            <w:vAlign w:val="top"/>
          </w:tcPr>
          <w:p w14:paraId="0FDF9D3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301-1</w:t>
            </w:r>
          </w:p>
        </w:tc>
        <w:tc>
          <w:tcPr>
            <w:tcW w:w="3185" w:type="dxa"/>
            <w:noWrap w:val="0"/>
            <w:vAlign w:val="top"/>
          </w:tcPr>
          <w:p w14:paraId="2171D0F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以下</w:t>
            </w:r>
          </w:p>
        </w:tc>
        <w:tc>
          <w:tcPr>
            <w:tcW w:w="1495" w:type="dxa"/>
            <w:noWrap w:val="0"/>
            <w:vAlign w:val="center"/>
          </w:tcPr>
          <w:p w14:paraId="50D5B506">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4980773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A75756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FF80E6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045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684720E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301-2</w:t>
            </w:r>
          </w:p>
        </w:tc>
        <w:tc>
          <w:tcPr>
            <w:tcW w:w="3185" w:type="dxa"/>
            <w:noWrap w:val="0"/>
            <w:vAlign w:val="top"/>
          </w:tcPr>
          <w:p w14:paraId="0984521F">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1.5～2.5 m</w:t>
            </w:r>
            <w:r>
              <w:rPr>
                <w:rFonts w:hint="default" w:ascii="Times New Roman" w:hAnsi="Times New Roman" w:cs="Times New Roman"/>
                <w:color w:val="auto"/>
                <w:szCs w:val="21"/>
                <w:highlight w:val="none"/>
                <w:vertAlign w:val="superscript"/>
              </w:rPr>
              <w:t>3</w:t>
            </w:r>
          </w:p>
        </w:tc>
        <w:tc>
          <w:tcPr>
            <w:tcW w:w="1495" w:type="dxa"/>
            <w:noWrap w:val="0"/>
            <w:vAlign w:val="center"/>
          </w:tcPr>
          <w:p w14:paraId="671FFD42">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430315B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0365F47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18651E4">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2E3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59821B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301-3</w:t>
            </w:r>
          </w:p>
        </w:tc>
        <w:tc>
          <w:tcPr>
            <w:tcW w:w="3185" w:type="dxa"/>
            <w:noWrap w:val="0"/>
            <w:vAlign w:val="top"/>
          </w:tcPr>
          <w:p w14:paraId="794531D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 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以上</w:t>
            </w:r>
          </w:p>
        </w:tc>
        <w:tc>
          <w:tcPr>
            <w:tcW w:w="1495" w:type="dxa"/>
            <w:noWrap w:val="0"/>
            <w:vAlign w:val="center"/>
          </w:tcPr>
          <w:p w14:paraId="0F72400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7F97C4D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F0FE73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1DBB8A51">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2452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noWrap w:val="0"/>
            <w:vAlign w:val="top"/>
          </w:tcPr>
          <w:p w14:paraId="509318B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w:t>
            </w:r>
          </w:p>
        </w:tc>
        <w:tc>
          <w:tcPr>
            <w:tcW w:w="3185" w:type="dxa"/>
            <w:noWrap w:val="0"/>
            <w:vAlign w:val="top"/>
          </w:tcPr>
          <w:p w14:paraId="354EDF7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推土机</w:t>
            </w:r>
          </w:p>
        </w:tc>
        <w:tc>
          <w:tcPr>
            <w:tcW w:w="1495" w:type="dxa"/>
            <w:noWrap w:val="0"/>
            <w:vAlign w:val="center"/>
          </w:tcPr>
          <w:p w14:paraId="2BAF5D0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31B77CC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3D37DA1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E69779B">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BC8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45F76B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302-1</w:t>
            </w:r>
          </w:p>
        </w:tc>
        <w:tc>
          <w:tcPr>
            <w:tcW w:w="3185" w:type="dxa"/>
            <w:noWrap w:val="0"/>
            <w:vAlign w:val="top"/>
          </w:tcPr>
          <w:p w14:paraId="72F58F5A">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90kW以下</w:t>
            </w:r>
          </w:p>
        </w:tc>
        <w:tc>
          <w:tcPr>
            <w:tcW w:w="1495" w:type="dxa"/>
            <w:noWrap w:val="0"/>
            <w:vAlign w:val="center"/>
          </w:tcPr>
          <w:p w14:paraId="09C5745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2672845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6B6A57A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1C56AFF5">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3EC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307F70E1">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302-2</w:t>
            </w:r>
          </w:p>
        </w:tc>
        <w:tc>
          <w:tcPr>
            <w:tcW w:w="3185" w:type="dxa"/>
            <w:noWrap w:val="0"/>
            <w:vAlign w:val="top"/>
          </w:tcPr>
          <w:p w14:paraId="1F3FA15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90～180kW</w:t>
            </w:r>
          </w:p>
        </w:tc>
        <w:tc>
          <w:tcPr>
            <w:tcW w:w="1495" w:type="dxa"/>
            <w:noWrap w:val="0"/>
            <w:vAlign w:val="center"/>
          </w:tcPr>
          <w:p w14:paraId="75B5A3C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3D74177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358285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3B899980">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AD1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noWrap w:val="0"/>
            <w:vAlign w:val="top"/>
          </w:tcPr>
          <w:p w14:paraId="747E5DD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302-3</w:t>
            </w:r>
          </w:p>
        </w:tc>
        <w:tc>
          <w:tcPr>
            <w:tcW w:w="3185" w:type="dxa"/>
            <w:noWrap w:val="0"/>
            <w:vAlign w:val="top"/>
          </w:tcPr>
          <w:p w14:paraId="3A8EA003">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180kW以上</w:t>
            </w:r>
          </w:p>
        </w:tc>
        <w:tc>
          <w:tcPr>
            <w:tcW w:w="1495" w:type="dxa"/>
            <w:noWrap w:val="0"/>
            <w:vAlign w:val="center"/>
          </w:tcPr>
          <w:p w14:paraId="0FFDBAFD">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h</w:t>
            </w:r>
          </w:p>
        </w:tc>
        <w:tc>
          <w:tcPr>
            <w:tcW w:w="1307" w:type="dxa"/>
            <w:noWrap w:val="0"/>
            <w:vAlign w:val="center"/>
          </w:tcPr>
          <w:p w14:paraId="50DCD78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4DC2988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5CDD8087">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6E6F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B2A3CB7">
            <w:pPr>
              <w:pageBreakBefore w:val="0"/>
              <w:kinsoku/>
              <w:wordWrap w:val="0"/>
              <w:bidi w:val="0"/>
              <w:spacing w:before="60" w:after="60" w:line="240" w:lineRule="atLeast"/>
              <w:jc w:val="center"/>
              <w:rPr>
                <w:rFonts w:hint="default" w:ascii="Times New Roman" w:hAnsi="Times New Roman" w:cs="Times New Roman"/>
                <w:color w:val="auto"/>
                <w:szCs w:val="21"/>
                <w:highlight w:val="none"/>
              </w:rPr>
            </w:pPr>
          </w:p>
        </w:tc>
        <w:tc>
          <w:tcPr>
            <w:tcW w:w="3185" w:type="dxa"/>
            <w:noWrap w:val="0"/>
            <w:vAlign w:val="top"/>
          </w:tcPr>
          <w:p w14:paraId="0AD2B5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95" w:type="dxa"/>
            <w:noWrap w:val="0"/>
            <w:vAlign w:val="center"/>
          </w:tcPr>
          <w:p w14:paraId="28AA349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307" w:type="dxa"/>
            <w:noWrap w:val="0"/>
            <w:vAlign w:val="center"/>
          </w:tcPr>
          <w:p w14:paraId="5D01A18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118" w:type="dxa"/>
            <w:noWrap w:val="0"/>
            <w:vAlign w:val="center"/>
          </w:tcPr>
          <w:p w14:paraId="32049C2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072" w:type="dxa"/>
            <w:noWrap w:val="0"/>
            <w:vAlign w:val="center"/>
          </w:tcPr>
          <w:p w14:paraId="495B4B0C">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389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07BF1A89">
            <w:pPr>
              <w:pageBreakBefore w:val="0"/>
              <w:kinsoku/>
              <w:wordWrap w:val="0"/>
              <w:bidi w:val="0"/>
              <w:spacing w:line="440" w:lineRule="exact"/>
              <w:ind w:left="315" w:leftChars="150" w:firstLine="3343" w:firstLineChars="15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施工机械小计金额： </w:t>
            </w:r>
            <w:r>
              <w:rPr>
                <w:rFonts w:hint="default" w:ascii="Times New Roman" w:hAnsi="Times New Roman" w:cs="Times New Roman"/>
                <w:color w:val="auto"/>
                <w:szCs w:val="21"/>
                <w:highlight w:val="none"/>
                <w:u w:val="single"/>
              </w:rPr>
              <w:t>_____________</w:t>
            </w:r>
          </w:p>
          <w:p w14:paraId="47C3487D">
            <w:pPr>
              <w:pageBreakBefore w:val="0"/>
              <w:kinsoku/>
              <w:wordWrap w:val="0"/>
              <w:bidi w:val="0"/>
              <w:spacing w:line="440" w:lineRule="exact"/>
              <w:ind w:left="315" w:leftChars="150" w:firstLine="3343" w:firstLineChars="1592"/>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计日工汇总表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3A27E23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5.2.4 计日工汇总表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822"/>
        <w:gridCol w:w="1455"/>
      </w:tblGrid>
      <w:tr w14:paraId="1300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4" w:type="dxa"/>
            <w:noWrap w:val="0"/>
            <w:vAlign w:val="center"/>
          </w:tcPr>
          <w:p w14:paraId="35E9D3F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5822" w:type="dxa"/>
            <w:noWrap w:val="0"/>
            <w:vAlign w:val="center"/>
          </w:tcPr>
          <w:p w14:paraId="54DD7F2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金额</w:t>
            </w:r>
          </w:p>
        </w:tc>
        <w:tc>
          <w:tcPr>
            <w:tcW w:w="1455" w:type="dxa"/>
            <w:noWrap w:val="0"/>
            <w:vAlign w:val="center"/>
          </w:tcPr>
          <w:p w14:paraId="44B7ECC5">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5B00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FCD7BD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劳务</w:t>
            </w:r>
          </w:p>
        </w:tc>
        <w:tc>
          <w:tcPr>
            <w:tcW w:w="5822" w:type="dxa"/>
            <w:noWrap w:val="0"/>
            <w:vAlign w:val="center"/>
          </w:tcPr>
          <w:p w14:paraId="3ECC949A">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3F013B42">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F9F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5D097FF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w:t>
            </w:r>
          </w:p>
        </w:tc>
        <w:tc>
          <w:tcPr>
            <w:tcW w:w="5822" w:type="dxa"/>
            <w:noWrap w:val="0"/>
            <w:vAlign w:val="center"/>
          </w:tcPr>
          <w:p w14:paraId="62D27CE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4DD8766A">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AF1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1611CE34">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施工机械</w:t>
            </w:r>
          </w:p>
        </w:tc>
        <w:tc>
          <w:tcPr>
            <w:tcW w:w="5822" w:type="dxa"/>
            <w:noWrap w:val="0"/>
            <w:vAlign w:val="center"/>
          </w:tcPr>
          <w:p w14:paraId="7C1E2227">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455" w:type="dxa"/>
            <w:noWrap w:val="0"/>
            <w:vAlign w:val="center"/>
          </w:tcPr>
          <w:p w14:paraId="74589C26">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069B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3"/>
            <w:noWrap w:val="0"/>
            <w:vAlign w:val="center"/>
          </w:tcPr>
          <w:p w14:paraId="066A0D5C">
            <w:pPr>
              <w:pageBreakBefore w:val="0"/>
              <w:kinsoku/>
              <w:wordWrap w:val="0"/>
              <w:bidi w:val="0"/>
              <w:spacing w:line="440" w:lineRule="exact"/>
              <w:ind w:firstLine="3885" w:firstLineChars="18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计日工总计：</w:t>
            </w:r>
            <w:r>
              <w:rPr>
                <w:rFonts w:hint="default" w:ascii="Times New Roman" w:hAnsi="Times New Roman" w:cs="Times New Roman"/>
                <w:color w:val="auto"/>
                <w:szCs w:val="21"/>
                <w:highlight w:val="none"/>
                <w:u w:val="single"/>
              </w:rPr>
              <w:t>_____________</w:t>
            </w:r>
          </w:p>
          <w:p w14:paraId="029C8194">
            <w:pPr>
              <w:pageBreakBefore w:val="0"/>
              <w:kinsoku/>
              <w:wordWrap w:val="0"/>
              <w:bidi w:val="0"/>
              <w:spacing w:line="440" w:lineRule="exact"/>
              <w:ind w:firstLine="3675" w:firstLineChars="17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投标报价汇总表</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w:t>
            </w:r>
          </w:p>
        </w:tc>
      </w:tr>
    </w:tbl>
    <w:p w14:paraId="253BA8A6">
      <w:pPr>
        <w:pageBreakBefore w:val="0"/>
        <w:kinsoku/>
        <w:wordWrap w:val="0"/>
        <w:bidi w:val="0"/>
        <w:spacing w:before="120" w:beforeLines="50" w:after="120" w:afterLines="50" w:line="400" w:lineRule="atLeast"/>
        <w:ind w:firstLine="540" w:firstLineChars="225"/>
        <w:outlineLvl w:val="2"/>
        <w:rPr>
          <w:rFonts w:hint="default" w:ascii="Times New Roman" w:hAnsi="Times New Roman" w:cs="Times New Roman"/>
          <w:color w:val="auto"/>
          <w:sz w:val="24"/>
          <w:highlight w:val="none"/>
        </w:rPr>
      </w:pPr>
      <w:bookmarkStart w:id="1857" w:name="_Toc25954"/>
      <w:r>
        <w:rPr>
          <w:rFonts w:hint="default" w:ascii="Times New Roman" w:hAnsi="Times New Roman" w:cs="Times New Roman"/>
          <w:color w:val="auto"/>
          <w:sz w:val="24"/>
          <w:highlight w:val="none"/>
        </w:rPr>
        <w:t>5.3 暂估价表</w:t>
      </w:r>
      <w:bookmarkEnd w:id="1857"/>
    </w:p>
    <w:p w14:paraId="5B12CD7C">
      <w:pPr>
        <w:pageBreakBefore w:val="0"/>
        <w:kinsoku/>
        <w:wordWrap w:val="0"/>
        <w:bidi w:val="0"/>
        <w:spacing w:before="120" w:beforeLines="50" w:after="120" w:afterLines="50"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5.3.1  材料暂估价表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23EE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5FE4E8B">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70" w:type="dxa"/>
            <w:noWrap w:val="0"/>
            <w:vAlign w:val="center"/>
          </w:tcPr>
          <w:p w14:paraId="05D6009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71" w:type="dxa"/>
            <w:noWrap w:val="0"/>
            <w:vAlign w:val="center"/>
          </w:tcPr>
          <w:p w14:paraId="74018337">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270" w:type="dxa"/>
            <w:noWrap w:val="0"/>
            <w:vAlign w:val="center"/>
          </w:tcPr>
          <w:p w14:paraId="3DF8164C">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71" w:type="dxa"/>
            <w:noWrap w:val="0"/>
            <w:vAlign w:val="center"/>
          </w:tcPr>
          <w:p w14:paraId="3819B74E">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单价</w:t>
            </w:r>
          </w:p>
        </w:tc>
        <w:tc>
          <w:tcPr>
            <w:tcW w:w="1270" w:type="dxa"/>
            <w:noWrap w:val="0"/>
            <w:vAlign w:val="center"/>
          </w:tcPr>
          <w:p w14:paraId="27B461D0">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c>
          <w:tcPr>
            <w:tcW w:w="1270" w:type="dxa"/>
            <w:noWrap w:val="0"/>
            <w:vAlign w:val="center"/>
          </w:tcPr>
          <w:p w14:paraId="29CBC1B9">
            <w:pPr>
              <w:pageBreakBefore w:val="0"/>
              <w:kinsoku/>
              <w:wordWrap w:val="0"/>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1F53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B0C0F8E">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2EC92F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523998B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B48602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1E784629">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216F7A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8C031F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423F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3A23408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8CA60F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3E4C929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1AF3310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3860EFF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026A2C6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155D919">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3490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D51F7A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638CE41">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0C9A0C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07E7B0A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262F17A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632A828">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8CDC44E">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DF7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2308884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31FF8E3">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559184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79907DED">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2750782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67517D2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0E5477F">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50B7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DFF84B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13061E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0F64F332">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3B170B8F">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6CE9E3F0">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461EA1A5">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E645235">
            <w:pPr>
              <w:pageBreakBefore w:val="0"/>
              <w:kinsoku/>
              <w:wordWrap w:val="0"/>
              <w:bidi w:val="0"/>
              <w:spacing w:line="440" w:lineRule="exact"/>
              <w:jc w:val="center"/>
              <w:rPr>
                <w:rFonts w:hint="default" w:ascii="Times New Roman" w:hAnsi="Times New Roman" w:cs="Times New Roman"/>
                <w:color w:val="auto"/>
                <w:szCs w:val="21"/>
                <w:highlight w:val="none"/>
              </w:rPr>
            </w:pPr>
          </w:p>
        </w:tc>
      </w:tr>
      <w:tr w14:paraId="7097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2E4E7E4C">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742ABD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7EC0F2A4">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583F7BD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1" w:type="dxa"/>
            <w:noWrap w:val="0"/>
            <w:vAlign w:val="center"/>
          </w:tcPr>
          <w:p w14:paraId="280F103B">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78007CB6">
            <w:pPr>
              <w:pageBreakBefore w:val="0"/>
              <w:kinsoku/>
              <w:wordWrap w:val="0"/>
              <w:bidi w:val="0"/>
              <w:spacing w:line="440" w:lineRule="exact"/>
              <w:jc w:val="center"/>
              <w:rPr>
                <w:rFonts w:hint="default" w:ascii="Times New Roman" w:hAnsi="Times New Roman" w:cs="Times New Roman"/>
                <w:color w:val="auto"/>
                <w:szCs w:val="21"/>
                <w:highlight w:val="none"/>
              </w:rPr>
            </w:pPr>
          </w:p>
        </w:tc>
        <w:tc>
          <w:tcPr>
            <w:tcW w:w="1270" w:type="dxa"/>
            <w:noWrap w:val="0"/>
            <w:vAlign w:val="center"/>
          </w:tcPr>
          <w:p w14:paraId="207B97CD">
            <w:pPr>
              <w:pageBreakBefore w:val="0"/>
              <w:kinsoku/>
              <w:wordWrap w:val="0"/>
              <w:bidi w:val="0"/>
              <w:spacing w:line="440" w:lineRule="exact"/>
              <w:jc w:val="center"/>
              <w:rPr>
                <w:rFonts w:hint="default" w:ascii="Times New Roman" w:hAnsi="Times New Roman" w:cs="Times New Roman"/>
                <w:color w:val="auto"/>
                <w:szCs w:val="21"/>
                <w:highlight w:val="none"/>
              </w:rPr>
            </w:pPr>
          </w:p>
        </w:tc>
      </w:tr>
    </w:tbl>
    <w:p w14:paraId="093C88E1">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5.3.2 工程设备暂估价表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1C4B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4EAB0A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270" w:type="dxa"/>
            <w:noWrap w:val="0"/>
            <w:vAlign w:val="center"/>
          </w:tcPr>
          <w:p w14:paraId="50DC38A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271" w:type="dxa"/>
            <w:noWrap w:val="0"/>
            <w:vAlign w:val="center"/>
          </w:tcPr>
          <w:p w14:paraId="1C65E32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270" w:type="dxa"/>
            <w:noWrap w:val="0"/>
            <w:vAlign w:val="center"/>
          </w:tcPr>
          <w:p w14:paraId="14867C9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271" w:type="dxa"/>
            <w:noWrap w:val="0"/>
            <w:vAlign w:val="center"/>
          </w:tcPr>
          <w:p w14:paraId="6F156D3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单价</w:t>
            </w:r>
          </w:p>
        </w:tc>
        <w:tc>
          <w:tcPr>
            <w:tcW w:w="1270" w:type="dxa"/>
            <w:noWrap w:val="0"/>
            <w:vAlign w:val="center"/>
          </w:tcPr>
          <w:p w14:paraId="4D3BA55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合价</w:t>
            </w:r>
          </w:p>
        </w:tc>
        <w:tc>
          <w:tcPr>
            <w:tcW w:w="1270" w:type="dxa"/>
            <w:noWrap w:val="0"/>
            <w:vAlign w:val="center"/>
          </w:tcPr>
          <w:p w14:paraId="132A6B5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cr/>
            </w:r>
            <w:r>
              <w:rPr>
                <w:rFonts w:hint="default" w:ascii="Times New Roman" w:hAnsi="Times New Roman" w:cs="Times New Roman"/>
                <w:color w:val="auto"/>
                <w:szCs w:val="21"/>
                <w:highlight w:val="none"/>
              </w:rPr>
              <w:t>备注</w:t>
            </w:r>
          </w:p>
        </w:tc>
      </w:tr>
      <w:tr w14:paraId="56E0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2F53AE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B3C6AF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725FA3C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4301E6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556E75A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8B2DC7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754A8B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BB2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5B7FC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C40AE9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3B3611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2F548D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2DB8001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144A65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C0731D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09FE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629EF8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AD80CF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17108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32017D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840149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049CDC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F2A951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982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2D8507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8F8D37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3898CB2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284987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D4D440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F5F0E6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887388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F63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6943CE9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B642C7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6E8D0C1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E0C06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1C5BC3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9D46D9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6C7225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DD2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1D232F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D3DFAE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2EC3C0A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1197EEC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21E80E4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5FB4C7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D6DC4A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717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1269" w:type="dxa"/>
            <w:noWrap w:val="0"/>
            <w:vAlign w:val="center"/>
          </w:tcPr>
          <w:p w14:paraId="249864D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63B5B83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03913D7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0D825D8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5A32154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25B4AEE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71D651F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DBC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3FBC60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59712CF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74F1E17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3E86891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1" w:type="dxa"/>
            <w:noWrap w:val="0"/>
            <w:vAlign w:val="center"/>
          </w:tcPr>
          <w:p w14:paraId="1AB49AAE">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4AA1294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270" w:type="dxa"/>
            <w:noWrap w:val="0"/>
            <w:vAlign w:val="center"/>
          </w:tcPr>
          <w:p w14:paraId="335CD85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bl>
    <w:p w14:paraId="51601213">
      <w:pPr>
        <w:pageBreakBefore w:val="0"/>
        <w:kinsoku/>
        <w:wordWrap w:val="0"/>
        <w:bidi w:val="0"/>
        <w:spacing w:before="36" w:beforeLines="15" w:after="36" w:afterLines="15" w:line="400" w:lineRule="atLeast"/>
        <w:ind w:firstLine="540" w:firstLineChars="2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5.3.3  专业工程暂估价表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1"/>
        <w:gridCol w:w="5256"/>
        <w:gridCol w:w="1079"/>
      </w:tblGrid>
      <w:tr w14:paraId="15C0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93386D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91" w:type="dxa"/>
            <w:noWrap w:val="0"/>
            <w:vAlign w:val="center"/>
          </w:tcPr>
          <w:p w14:paraId="4312B0C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专业工程名称</w:t>
            </w:r>
          </w:p>
        </w:tc>
        <w:tc>
          <w:tcPr>
            <w:tcW w:w="5256" w:type="dxa"/>
            <w:noWrap w:val="0"/>
            <w:vAlign w:val="center"/>
          </w:tcPr>
          <w:p w14:paraId="71F0BBC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工程内容</w:t>
            </w:r>
          </w:p>
        </w:tc>
        <w:tc>
          <w:tcPr>
            <w:tcW w:w="1079" w:type="dxa"/>
            <w:noWrap w:val="0"/>
            <w:vAlign w:val="center"/>
          </w:tcPr>
          <w:p w14:paraId="60B3D50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w:t>
            </w:r>
          </w:p>
        </w:tc>
      </w:tr>
      <w:tr w14:paraId="1A43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911A3D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FF19A80">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0ACECEB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14CA95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51F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702711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6228AA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26FB577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963A4D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95D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78206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EA90BF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0CA570C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55C7BEC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704B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14A00F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6D9E2E5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C7C09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0965BF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C75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BD901E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1B0B8BF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564B2F81">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24C81786">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3D0C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1193BD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47052DF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BB135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62F3531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247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5E9AE0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4312019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B12B0B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83812A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2651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1C223B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3F4E380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4FAB303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D6B6DE2">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54C9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D1EE47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5E881C9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2C6D614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E883643">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2BD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DD0196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789CFD9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7DD291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3C2B1B5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7CF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862909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2B67DE7A">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3A4267EC">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763CE8A5">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1ABC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436CC6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35BD7EB7">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4C62F1FB">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117B3229">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6A84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4B3460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691" w:type="dxa"/>
            <w:noWrap w:val="0"/>
            <w:vAlign w:val="center"/>
          </w:tcPr>
          <w:p w14:paraId="61AC2B88">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5256" w:type="dxa"/>
            <w:noWrap w:val="0"/>
            <w:vAlign w:val="center"/>
          </w:tcPr>
          <w:p w14:paraId="682EE2ED">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c>
          <w:tcPr>
            <w:tcW w:w="1079" w:type="dxa"/>
            <w:noWrap w:val="0"/>
            <w:vAlign w:val="center"/>
          </w:tcPr>
          <w:p w14:paraId="07E8232F">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p>
        </w:tc>
      </w:tr>
      <w:tr w14:paraId="4AE2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4"/>
            <w:noWrap w:val="0"/>
            <w:vAlign w:val="center"/>
          </w:tcPr>
          <w:p w14:paraId="593AE714">
            <w:pPr>
              <w:pageBreakBefore w:val="0"/>
              <w:kinsoku/>
              <w:wordWrap w:val="0"/>
              <w:bidi w:val="0"/>
              <w:spacing w:before="36" w:beforeLines="15" w:after="36" w:afterLines="15"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r>
    </w:tbl>
    <w:p w14:paraId="41A8FE8A">
      <w:pPr>
        <w:pageBreakBefore w:val="0"/>
        <w:kinsoku/>
        <w:wordWrap w:val="0"/>
        <w:bidi w:val="0"/>
        <w:spacing w:before="120" w:beforeLines="50" w:after="120" w:afterLines="50" w:line="400" w:lineRule="atLeast"/>
        <w:ind w:firstLine="540" w:firstLineChars="225"/>
        <w:outlineLvl w:val="2"/>
        <w:rPr>
          <w:rFonts w:hint="default" w:ascii="Times New Roman" w:hAnsi="Times New Roman" w:cs="Times New Roman"/>
          <w:color w:val="auto"/>
          <w:sz w:val="24"/>
          <w:highlight w:val="none"/>
        </w:rPr>
      </w:pPr>
      <w:bookmarkStart w:id="1858" w:name="_Toc23044"/>
      <w:r>
        <w:rPr>
          <w:rFonts w:hint="default" w:ascii="Times New Roman" w:hAnsi="Times New Roman" w:cs="Times New Roman"/>
          <w:color w:val="auto"/>
          <w:sz w:val="24"/>
          <w:highlight w:val="none"/>
        </w:rPr>
        <w:t>5.4 投标报价汇总表</w:t>
      </w:r>
      <w:bookmarkEnd w:id="1858"/>
    </w:p>
    <w:p w14:paraId="4467AA48">
      <w:pPr>
        <w:pageBreakBefore w:val="0"/>
        <w:kinsoku/>
        <w:wordWrap w:val="0"/>
        <w:bidi w:val="0"/>
        <w:spacing w:line="440" w:lineRule="exact"/>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标段</w:t>
      </w:r>
    </w:p>
    <w:p w14:paraId="2699E92E">
      <w:pPr>
        <w:pageBreakBefore w:val="0"/>
        <w:kinsoku/>
        <w:wordWrap w:val="0"/>
        <w:bidi w:val="0"/>
        <w:spacing w:line="440" w:lineRule="exact"/>
        <w:rPr>
          <w:rFonts w:hint="default" w:ascii="Times New Roman" w:hAnsi="Times New Roman" w:cs="Times New Roman"/>
          <w:color w:val="auto"/>
          <w:sz w:val="24"/>
          <w:highlight w:val="none"/>
        </w:rPr>
      </w:pPr>
    </w:p>
    <w:tbl>
      <w:tblPr>
        <w:tblStyle w:val="39"/>
        <w:tblW w:w="0" w:type="auto"/>
        <w:tblInd w:w="0" w:type="dxa"/>
        <w:tblLayout w:type="fixed"/>
        <w:tblCellMar>
          <w:top w:w="0" w:type="dxa"/>
          <w:left w:w="108" w:type="dxa"/>
          <w:bottom w:w="0" w:type="dxa"/>
          <w:right w:w="108" w:type="dxa"/>
        </w:tblCellMar>
      </w:tblPr>
      <w:tblGrid>
        <w:gridCol w:w="828"/>
        <w:gridCol w:w="1065"/>
        <w:gridCol w:w="4725"/>
        <w:gridCol w:w="1902"/>
      </w:tblGrid>
      <w:tr w14:paraId="664FEEA9">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2E206B3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38C6B70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章次</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9307F9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科目名称</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B7478D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r>
      <w:tr w14:paraId="7D76978C">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FFE810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FC87E9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5F6B884">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总则</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5FDD609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5F6B961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9E88E8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7DD5EA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8F6A219">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路基</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DDAB87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42885708">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FCBD1D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2BE757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0A89BBC">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路面</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3014FB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2A81E9A0">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B453F0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7C3F9DF0">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FE4F648">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桥梁、涵洞</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D25F13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6BCCBC5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C95FF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C92A60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3FB6EA3A">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隧道</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ACCCAA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1F51C347">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6CE7F4A">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9C00E5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F43E5ED">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安全设施及预埋管线</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98319A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6FC5C3FC">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AC05BC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F953A8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F3A371F">
            <w:pPr>
              <w:pageBreakBefore w:val="0"/>
              <w:kinsoku/>
              <w:wordWrap w:val="0"/>
              <w:bidi w:val="0"/>
              <w:spacing w:before="120" w:after="120" w:line="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绿化及环境保护设施</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75EA08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20D24C6B">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BCAFEE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0A49F10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第100章~700章清单合计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3614F2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A754A05">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1DA2C9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68D1186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已包含在清单合计中的材料、工程设备、专业工程暂估价合计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3D184B9">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1772F0C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FB8060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FE81A2C">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清单合计减去材料、工程设备、专业工程暂估价</w:t>
            </w:r>
          </w:p>
          <w:p w14:paraId="193212B8">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合计（即8-9=10）</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B3B2EF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5C19EA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07026C4">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1205DD45">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计日工合计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40E71D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7FF7D7C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4546313">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F796987">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暂列金额（不含计日工总额）</w:t>
            </w:r>
            <w:r>
              <w:rPr>
                <w:rStyle w:val="47"/>
                <w:rFonts w:hint="default" w:ascii="Times New Roman" w:hAnsi="Times New Roman" w:cs="Times New Roman"/>
                <w:color w:val="auto"/>
                <w:szCs w:val="21"/>
                <w:highlight w:val="none"/>
              </w:rPr>
              <w:footnoteReference w:id="52"/>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37EA6F1">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r w14:paraId="00F1449C">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8ACD72E">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4BDDCC66">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投标报价（即8+11+12=13）</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9082CD2">
            <w:pPr>
              <w:pageBreakBefore w:val="0"/>
              <w:kinsoku/>
              <w:wordWrap w:val="0"/>
              <w:bidi w:val="0"/>
              <w:spacing w:before="120" w:after="120" w:line="240" w:lineRule="atLeast"/>
              <w:jc w:val="center"/>
              <w:rPr>
                <w:rFonts w:hint="default" w:ascii="Times New Roman" w:hAnsi="Times New Roman" w:cs="Times New Roman"/>
                <w:color w:val="auto"/>
                <w:szCs w:val="21"/>
                <w:highlight w:val="none"/>
              </w:rPr>
            </w:pPr>
          </w:p>
        </w:tc>
      </w:tr>
    </w:tbl>
    <w:p w14:paraId="69599252">
      <w:pPr>
        <w:pageBreakBefore w:val="0"/>
        <w:kinsoku/>
        <w:wordWrap w:val="0"/>
        <w:bidi w:val="0"/>
        <w:spacing w:line="44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注：材料、工程设备、专业工程暂估价已包括在清单合计中，不应重复计入投标报价。</w:t>
      </w:r>
    </w:p>
    <w:p w14:paraId="7A8A0BC5">
      <w:pPr>
        <w:pageBreakBefore w:val="0"/>
        <w:kinsoku/>
        <w:wordWrap w:val="0"/>
        <w:bidi w:val="0"/>
        <w:rPr>
          <w:rFonts w:hint="default" w:ascii="Times New Roman" w:hAnsi="Times New Roman" w:cs="Times New Roman"/>
          <w:color w:val="auto"/>
          <w:sz w:val="24"/>
          <w:highlight w:val="none"/>
        </w:rPr>
      </w:pPr>
    </w:p>
    <w:p w14:paraId="3189C413">
      <w:pPr>
        <w:pageBreakBefore w:val="0"/>
        <w:kinsoku/>
        <w:wordWrap w:val="0"/>
        <w:bidi w:val="0"/>
        <w:spacing w:line="440" w:lineRule="exact"/>
        <w:jc w:val="center"/>
        <w:rPr>
          <w:rFonts w:hint="default" w:ascii="Times New Roman" w:hAnsi="Times New Roman" w:eastAsia="黑体" w:cs="Times New Roman"/>
          <w:color w:val="auto"/>
          <w:sz w:val="24"/>
          <w:highlight w:val="none"/>
        </w:rPr>
        <w:sectPr>
          <w:headerReference r:id="rId39" w:type="default"/>
          <w:footerReference r:id="rId41" w:type="default"/>
          <w:headerReference r:id="rId40" w:type="even"/>
          <w:footerReference r:id="rId4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1852C702">
      <w:pPr>
        <w:pageBreakBefore w:val="0"/>
        <w:kinsoku/>
        <w:wordWrap w:val="0"/>
        <w:bidi w:val="0"/>
        <w:spacing w:line="440" w:lineRule="exact"/>
        <w:outlineLvl w:val="2"/>
        <w:rPr>
          <w:rFonts w:hint="default" w:ascii="Times New Roman" w:hAnsi="Times New Roman" w:cs="Times New Roman"/>
          <w:color w:val="auto"/>
          <w:sz w:val="24"/>
          <w:highlight w:val="none"/>
        </w:rPr>
      </w:pPr>
      <w:bookmarkStart w:id="1859" w:name="_Toc26721"/>
      <w:bookmarkStart w:id="1860" w:name="OLE_LINK2"/>
      <w:bookmarkStart w:id="1861" w:name="OLE_LINK1"/>
      <w:r>
        <w:rPr>
          <w:rFonts w:hint="default" w:ascii="Times New Roman" w:hAnsi="Times New Roman" w:cs="Times New Roman"/>
          <w:color w:val="auto"/>
          <w:sz w:val="24"/>
          <w:highlight w:val="none"/>
        </w:rPr>
        <w:t>5.5 工程量清单单价分析表</w:t>
      </w:r>
      <w:bookmarkEnd w:id="1859"/>
    </w:p>
    <w:bookmarkEnd w:id="1860"/>
    <w:bookmarkEnd w:id="1861"/>
    <w:p w14:paraId="0C466758">
      <w:pPr>
        <w:pageBreakBefore w:val="0"/>
        <w:kinsoku/>
        <w:wordWrap w:val="0"/>
        <w:bidi w:val="0"/>
        <w:spacing w:line="440" w:lineRule="exact"/>
        <w:rPr>
          <w:rFonts w:hint="default" w:ascii="Times New Roman" w:hAnsi="Times New Roman" w:eastAsia="黑体" w:cs="Times New Roman"/>
          <w:color w:val="auto"/>
          <w:sz w:val="24"/>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79"/>
        <w:gridCol w:w="1053"/>
        <w:gridCol w:w="582"/>
        <w:gridCol w:w="582"/>
        <w:gridCol w:w="587"/>
        <w:gridCol w:w="662"/>
        <w:gridCol w:w="662"/>
        <w:gridCol w:w="662"/>
        <w:gridCol w:w="667"/>
        <w:gridCol w:w="626"/>
        <w:gridCol w:w="731"/>
        <w:gridCol w:w="883"/>
        <w:gridCol w:w="883"/>
        <w:gridCol w:w="883"/>
        <w:gridCol w:w="883"/>
        <w:gridCol w:w="883"/>
        <w:gridCol w:w="880"/>
      </w:tblGrid>
      <w:tr w14:paraId="5733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802" w:type="dxa"/>
            <w:vMerge w:val="restart"/>
            <w:noWrap w:val="0"/>
            <w:vAlign w:val="center"/>
          </w:tcPr>
          <w:p w14:paraId="2D458DFC">
            <w:pPr>
              <w:pageBreakBefore w:val="0"/>
              <w:kinsoku/>
              <w:wordWrap w:val="0"/>
              <w:bidi w:val="0"/>
              <w:spacing w:line="44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879" w:type="dxa"/>
            <w:vMerge w:val="restart"/>
            <w:noWrap w:val="0"/>
            <w:vAlign w:val="center"/>
          </w:tcPr>
          <w:p w14:paraId="405AF446">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编码</w:t>
            </w:r>
          </w:p>
        </w:tc>
        <w:tc>
          <w:tcPr>
            <w:tcW w:w="1053" w:type="dxa"/>
            <w:vMerge w:val="restart"/>
            <w:noWrap w:val="0"/>
            <w:vAlign w:val="center"/>
          </w:tcPr>
          <w:p w14:paraId="1B53D719">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子目名称</w:t>
            </w:r>
          </w:p>
        </w:tc>
        <w:tc>
          <w:tcPr>
            <w:tcW w:w="1751" w:type="dxa"/>
            <w:gridSpan w:val="3"/>
            <w:noWrap w:val="0"/>
            <w:vAlign w:val="center"/>
          </w:tcPr>
          <w:p w14:paraId="6F2163A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人工费</w:t>
            </w:r>
          </w:p>
        </w:tc>
        <w:tc>
          <w:tcPr>
            <w:tcW w:w="4010" w:type="dxa"/>
            <w:gridSpan w:val="6"/>
            <w:noWrap w:val="0"/>
            <w:vAlign w:val="center"/>
          </w:tcPr>
          <w:p w14:paraId="2282B76E">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材料费</w:t>
            </w:r>
          </w:p>
        </w:tc>
        <w:tc>
          <w:tcPr>
            <w:tcW w:w="883" w:type="dxa"/>
            <w:vMerge w:val="restart"/>
            <w:noWrap w:val="0"/>
            <w:vAlign w:val="center"/>
          </w:tcPr>
          <w:p w14:paraId="50C13F76">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机械使用费</w:t>
            </w:r>
          </w:p>
        </w:tc>
        <w:tc>
          <w:tcPr>
            <w:tcW w:w="883" w:type="dxa"/>
            <w:vMerge w:val="restart"/>
            <w:noWrap w:val="0"/>
            <w:vAlign w:val="center"/>
          </w:tcPr>
          <w:p w14:paraId="35BDAC3B">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883" w:type="dxa"/>
            <w:vMerge w:val="restart"/>
            <w:noWrap w:val="0"/>
            <w:vAlign w:val="center"/>
          </w:tcPr>
          <w:p w14:paraId="2AF2A30D">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管理费</w:t>
            </w:r>
          </w:p>
        </w:tc>
        <w:tc>
          <w:tcPr>
            <w:tcW w:w="883" w:type="dxa"/>
            <w:vMerge w:val="restart"/>
            <w:noWrap w:val="0"/>
            <w:vAlign w:val="center"/>
          </w:tcPr>
          <w:p w14:paraId="3F93698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税费</w:t>
            </w:r>
          </w:p>
        </w:tc>
        <w:tc>
          <w:tcPr>
            <w:tcW w:w="883" w:type="dxa"/>
            <w:vMerge w:val="restart"/>
            <w:noWrap w:val="0"/>
            <w:vAlign w:val="center"/>
          </w:tcPr>
          <w:p w14:paraId="150DBF5A">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利润</w:t>
            </w:r>
          </w:p>
        </w:tc>
        <w:tc>
          <w:tcPr>
            <w:tcW w:w="880" w:type="dxa"/>
            <w:vMerge w:val="restart"/>
            <w:noWrap w:val="0"/>
            <w:vAlign w:val="center"/>
          </w:tcPr>
          <w:p w14:paraId="32C7510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综合</w:t>
            </w:r>
          </w:p>
          <w:p w14:paraId="4A42043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r>
      <w:tr w14:paraId="5886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802" w:type="dxa"/>
            <w:vMerge w:val="continue"/>
            <w:noWrap w:val="0"/>
            <w:vAlign w:val="center"/>
          </w:tcPr>
          <w:p w14:paraId="28C33D3D">
            <w:pPr>
              <w:pageBreakBefore w:val="0"/>
              <w:kinsoku/>
              <w:wordWrap w:val="0"/>
              <w:bidi w:val="0"/>
              <w:spacing w:line="440" w:lineRule="exact"/>
              <w:rPr>
                <w:rFonts w:hint="default" w:ascii="Times New Roman" w:hAnsi="Times New Roman" w:cs="Times New Roman"/>
                <w:color w:val="auto"/>
                <w:highlight w:val="none"/>
              </w:rPr>
            </w:pPr>
          </w:p>
        </w:tc>
        <w:tc>
          <w:tcPr>
            <w:tcW w:w="879" w:type="dxa"/>
            <w:vMerge w:val="continue"/>
            <w:noWrap w:val="0"/>
            <w:vAlign w:val="center"/>
          </w:tcPr>
          <w:p w14:paraId="62FDD9EB">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vMerge w:val="continue"/>
            <w:noWrap w:val="0"/>
            <w:vAlign w:val="center"/>
          </w:tcPr>
          <w:p w14:paraId="71B4A1F7">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restart"/>
            <w:noWrap w:val="0"/>
            <w:vAlign w:val="center"/>
          </w:tcPr>
          <w:p w14:paraId="38017139">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工日</w:t>
            </w:r>
          </w:p>
        </w:tc>
        <w:tc>
          <w:tcPr>
            <w:tcW w:w="582" w:type="dxa"/>
            <w:vMerge w:val="restart"/>
            <w:noWrap w:val="0"/>
            <w:vAlign w:val="center"/>
          </w:tcPr>
          <w:p w14:paraId="16BEF25F">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587" w:type="dxa"/>
            <w:vMerge w:val="restart"/>
            <w:noWrap w:val="0"/>
            <w:vAlign w:val="center"/>
          </w:tcPr>
          <w:p w14:paraId="2410635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金额</w:t>
            </w:r>
          </w:p>
        </w:tc>
        <w:tc>
          <w:tcPr>
            <w:tcW w:w="2653" w:type="dxa"/>
            <w:gridSpan w:val="4"/>
            <w:noWrap w:val="0"/>
            <w:vAlign w:val="center"/>
          </w:tcPr>
          <w:p w14:paraId="2D23FB97">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w:t>
            </w:r>
          </w:p>
        </w:tc>
        <w:tc>
          <w:tcPr>
            <w:tcW w:w="626" w:type="dxa"/>
            <w:vMerge w:val="restart"/>
            <w:noWrap w:val="0"/>
            <w:vAlign w:val="center"/>
          </w:tcPr>
          <w:p w14:paraId="6578D624">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辅材费</w:t>
            </w:r>
          </w:p>
        </w:tc>
        <w:tc>
          <w:tcPr>
            <w:tcW w:w="731" w:type="dxa"/>
            <w:vMerge w:val="restart"/>
            <w:noWrap w:val="0"/>
            <w:vAlign w:val="center"/>
          </w:tcPr>
          <w:p w14:paraId="038AB6E0">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金额</w:t>
            </w:r>
          </w:p>
        </w:tc>
        <w:tc>
          <w:tcPr>
            <w:tcW w:w="883" w:type="dxa"/>
            <w:vMerge w:val="continue"/>
            <w:noWrap w:val="0"/>
            <w:vAlign w:val="center"/>
          </w:tcPr>
          <w:p w14:paraId="6CA035E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48208FA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7739FA7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48B5EB7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53B41C4">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vMerge w:val="continue"/>
            <w:noWrap w:val="0"/>
            <w:vAlign w:val="center"/>
          </w:tcPr>
          <w:p w14:paraId="602F31E8">
            <w:pPr>
              <w:pageBreakBefore w:val="0"/>
              <w:kinsoku/>
              <w:wordWrap w:val="0"/>
              <w:bidi w:val="0"/>
              <w:spacing w:line="440" w:lineRule="exact"/>
              <w:jc w:val="center"/>
              <w:rPr>
                <w:rFonts w:hint="default" w:ascii="Times New Roman" w:hAnsi="Times New Roman" w:cs="Times New Roman"/>
                <w:color w:val="auto"/>
                <w:highlight w:val="none"/>
              </w:rPr>
            </w:pPr>
          </w:p>
        </w:tc>
      </w:tr>
      <w:tr w14:paraId="4045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02" w:type="dxa"/>
            <w:vMerge w:val="continue"/>
            <w:noWrap w:val="0"/>
            <w:vAlign w:val="center"/>
          </w:tcPr>
          <w:p w14:paraId="544867EA">
            <w:pPr>
              <w:pageBreakBefore w:val="0"/>
              <w:kinsoku/>
              <w:wordWrap w:val="0"/>
              <w:bidi w:val="0"/>
              <w:spacing w:line="440" w:lineRule="exact"/>
              <w:rPr>
                <w:rFonts w:hint="default" w:ascii="Times New Roman" w:hAnsi="Times New Roman" w:cs="Times New Roman"/>
                <w:color w:val="auto"/>
                <w:highlight w:val="none"/>
              </w:rPr>
            </w:pPr>
          </w:p>
        </w:tc>
        <w:tc>
          <w:tcPr>
            <w:tcW w:w="879" w:type="dxa"/>
            <w:vMerge w:val="continue"/>
            <w:noWrap w:val="0"/>
            <w:vAlign w:val="center"/>
          </w:tcPr>
          <w:p w14:paraId="76E28F30">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vMerge w:val="continue"/>
            <w:noWrap w:val="0"/>
            <w:vAlign w:val="center"/>
          </w:tcPr>
          <w:p w14:paraId="4529A4E9">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continue"/>
            <w:noWrap w:val="0"/>
            <w:vAlign w:val="center"/>
          </w:tcPr>
          <w:p w14:paraId="6F9EE8AB">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vMerge w:val="continue"/>
            <w:noWrap w:val="0"/>
            <w:vAlign w:val="center"/>
          </w:tcPr>
          <w:p w14:paraId="7A21E806">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vMerge w:val="continue"/>
            <w:noWrap w:val="0"/>
            <w:vAlign w:val="center"/>
          </w:tcPr>
          <w:p w14:paraId="164A13A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6ED515F">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主材耗量</w:t>
            </w:r>
          </w:p>
        </w:tc>
        <w:tc>
          <w:tcPr>
            <w:tcW w:w="662" w:type="dxa"/>
            <w:noWrap w:val="0"/>
            <w:vAlign w:val="center"/>
          </w:tcPr>
          <w:p w14:paraId="3F2C5F3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662" w:type="dxa"/>
            <w:noWrap w:val="0"/>
            <w:vAlign w:val="center"/>
          </w:tcPr>
          <w:p w14:paraId="4AE2B5BD">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单价</w:t>
            </w:r>
          </w:p>
        </w:tc>
        <w:tc>
          <w:tcPr>
            <w:tcW w:w="667" w:type="dxa"/>
            <w:noWrap w:val="0"/>
            <w:vAlign w:val="center"/>
          </w:tcPr>
          <w:p w14:paraId="09392F13">
            <w:pPr>
              <w:pageBreakBefore w:val="0"/>
              <w:kinsoku/>
              <w:wordWrap w:val="0"/>
              <w:bidi w:val="0"/>
              <w:spacing w:line="44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主材费</w:t>
            </w:r>
          </w:p>
        </w:tc>
        <w:tc>
          <w:tcPr>
            <w:tcW w:w="626" w:type="dxa"/>
            <w:vMerge w:val="continue"/>
            <w:noWrap w:val="0"/>
            <w:vAlign w:val="center"/>
          </w:tcPr>
          <w:p w14:paraId="1F0BE5EC">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vMerge w:val="continue"/>
            <w:noWrap w:val="0"/>
            <w:vAlign w:val="center"/>
          </w:tcPr>
          <w:p w14:paraId="214EFDD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6B7816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303D152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21D12BB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22F71D7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vMerge w:val="continue"/>
            <w:noWrap w:val="0"/>
            <w:vAlign w:val="center"/>
          </w:tcPr>
          <w:p w14:paraId="65C2A904">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vMerge w:val="continue"/>
            <w:noWrap w:val="0"/>
            <w:vAlign w:val="center"/>
          </w:tcPr>
          <w:p w14:paraId="724ECA31">
            <w:pPr>
              <w:pageBreakBefore w:val="0"/>
              <w:kinsoku/>
              <w:wordWrap w:val="0"/>
              <w:bidi w:val="0"/>
              <w:spacing w:line="440" w:lineRule="exact"/>
              <w:jc w:val="center"/>
              <w:rPr>
                <w:rFonts w:hint="default" w:ascii="Times New Roman" w:hAnsi="Times New Roman" w:cs="Times New Roman"/>
                <w:color w:val="auto"/>
                <w:highlight w:val="none"/>
              </w:rPr>
            </w:pPr>
          </w:p>
        </w:tc>
      </w:tr>
      <w:tr w14:paraId="49D9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A77C43E">
            <w:pPr>
              <w:pageBreakBefore w:val="0"/>
              <w:kinsoku/>
              <w:wordWrap w:val="0"/>
              <w:bidi w:val="0"/>
              <w:spacing w:line="440" w:lineRule="exact"/>
              <w:rPr>
                <w:rFonts w:hint="default" w:ascii="Times New Roman" w:hAnsi="Times New Roman" w:cs="Times New Roman"/>
                <w:color w:val="auto"/>
                <w:highlight w:val="none"/>
              </w:rPr>
            </w:pPr>
          </w:p>
        </w:tc>
        <w:tc>
          <w:tcPr>
            <w:tcW w:w="879" w:type="dxa"/>
            <w:noWrap w:val="0"/>
            <w:vAlign w:val="center"/>
          </w:tcPr>
          <w:p w14:paraId="53421C81">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76E6C65E">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0A634C3">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0809C40">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5DD16C06">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164463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4A6A1A0">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EED1770">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33B2B59B">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63DC6B3D">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3E1F1E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2A93E8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F63326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148AB0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3A83B9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95C966D">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D85A859">
            <w:pPr>
              <w:pageBreakBefore w:val="0"/>
              <w:kinsoku/>
              <w:wordWrap w:val="0"/>
              <w:bidi w:val="0"/>
              <w:spacing w:line="440" w:lineRule="exact"/>
              <w:jc w:val="center"/>
              <w:rPr>
                <w:rFonts w:hint="default" w:ascii="Times New Roman" w:hAnsi="Times New Roman" w:cs="Times New Roman"/>
                <w:color w:val="auto"/>
                <w:highlight w:val="none"/>
              </w:rPr>
            </w:pPr>
          </w:p>
        </w:tc>
      </w:tr>
      <w:tr w14:paraId="5F01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01D4182">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C4D334F">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3A83E9F2">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4EF916F">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55D404D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3233A4A">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92C92C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D4953C5">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5681BA5">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61846AC8">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7226E8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3C03556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FD2C7D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79ECF6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2F70A0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867D25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D229331">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37FFC5D6">
            <w:pPr>
              <w:pageBreakBefore w:val="0"/>
              <w:kinsoku/>
              <w:wordWrap w:val="0"/>
              <w:bidi w:val="0"/>
              <w:spacing w:line="440" w:lineRule="exact"/>
              <w:jc w:val="center"/>
              <w:rPr>
                <w:rFonts w:hint="default" w:ascii="Times New Roman" w:hAnsi="Times New Roman" w:cs="Times New Roman"/>
                <w:color w:val="auto"/>
                <w:highlight w:val="none"/>
              </w:rPr>
            </w:pPr>
          </w:p>
        </w:tc>
      </w:tr>
      <w:tr w14:paraId="77F6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E424E77">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2627456F">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310CC65">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51DC45B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8E6E6AC">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18F898D">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A9544F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207B249">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433ED6F">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4CA2544">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F87FF2A">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586590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E9533E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77251B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A307F7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A9B439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DE70AA2">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373D954B">
            <w:pPr>
              <w:pageBreakBefore w:val="0"/>
              <w:kinsoku/>
              <w:wordWrap w:val="0"/>
              <w:bidi w:val="0"/>
              <w:spacing w:line="440" w:lineRule="exact"/>
              <w:jc w:val="center"/>
              <w:rPr>
                <w:rFonts w:hint="default" w:ascii="Times New Roman" w:hAnsi="Times New Roman" w:cs="Times New Roman"/>
                <w:color w:val="auto"/>
                <w:highlight w:val="none"/>
              </w:rPr>
            </w:pPr>
          </w:p>
        </w:tc>
      </w:tr>
      <w:tr w14:paraId="70C0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99FABF4">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78D7F9C">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4F35C420">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722956E">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315874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38B1525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DA315A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6E9436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A4C0F9E">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9FB4166">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00A109A2">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118EE92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2DF6B8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F48A40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276DA1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64EC1B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AAA791E">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07DF4D8F">
            <w:pPr>
              <w:pageBreakBefore w:val="0"/>
              <w:kinsoku/>
              <w:wordWrap w:val="0"/>
              <w:bidi w:val="0"/>
              <w:spacing w:line="440" w:lineRule="exact"/>
              <w:jc w:val="center"/>
              <w:rPr>
                <w:rFonts w:hint="default" w:ascii="Times New Roman" w:hAnsi="Times New Roman" w:cs="Times New Roman"/>
                <w:color w:val="auto"/>
                <w:highlight w:val="none"/>
              </w:rPr>
            </w:pPr>
          </w:p>
        </w:tc>
      </w:tr>
      <w:tr w14:paraId="2C66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6FB1397">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3C5E7268">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9478E38">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A6B01E8">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6AB9C29">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3E63999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E54AA9C">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0DD158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1CE6821">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5A0F0D49">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3EE991D5">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188999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C9ACD6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273495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3BCD26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5B3971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9616AAD">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2880988">
            <w:pPr>
              <w:pageBreakBefore w:val="0"/>
              <w:kinsoku/>
              <w:wordWrap w:val="0"/>
              <w:bidi w:val="0"/>
              <w:spacing w:line="440" w:lineRule="exact"/>
              <w:jc w:val="center"/>
              <w:rPr>
                <w:rFonts w:hint="default" w:ascii="Times New Roman" w:hAnsi="Times New Roman" w:cs="Times New Roman"/>
                <w:color w:val="auto"/>
                <w:highlight w:val="none"/>
              </w:rPr>
            </w:pPr>
          </w:p>
        </w:tc>
      </w:tr>
      <w:tr w14:paraId="3FDC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AE828D">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7106DFB0">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0D3B839A">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F92ABB5">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6ED5A70">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486BE88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A0F5B67">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156E63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5AD7115">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0D364AD4">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3A63C8CB">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1D47768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C2567E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2A005E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7F6478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E9AA87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69E9B70">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61ACE007">
            <w:pPr>
              <w:pageBreakBefore w:val="0"/>
              <w:kinsoku/>
              <w:wordWrap w:val="0"/>
              <w:bidi w:val="0"/>
              <w:spacing w:line="440" w:lineRule="exact"/>
              <w:jc w:val="center"/>
              <w:rPr>
                <w:rFonts w:hint="default" w:ascii="Times New Roman" w:hAnsi="Times New Roman" w:cs="Times New Roman"/>
                <w:color w:val="auto"/>
                <w:highlight w:val="none"/>
              </w:rPr>
            </w:pPr>
          </w:p>
        </w:tc>
      </w:tr>
      <w:tr w14:paraId="22CE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42B6DF">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246C0114">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64F7A3FC">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C659D2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4A0AAF8E">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79FBD4EA">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8907DF4">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3643CA6">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1452A69">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1F3256C">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41A24A51">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CEA5840">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A8FADE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30BB6CC">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E0945CD">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F506EF4">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E8B4525">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BCE9DB3">
            <w:pPr>
              <w:pageBreakBefore w:val="0"/>
              <w:kinsoku/>
              <w:wordWrap w:val="0"/>
              <w:bidi w:val="0"/>
              <w:spacing w:line="440" w:lineRule="exact"/>
              <w:jc w:val="center"/>
              <w:rPr>
                <w:rFonts w:hint="default" w:ascii="Times New Roman" w:hAnsi="Times New Roman" w:cs="Times New Roman"/>
                <w:color w:val="auto"/>
                <w:highlight w:val="none"/>
              </w:rPr>
            </w:pPr>
          </w:p>
        </w:tc>
      </w:tr>
      <w:tr w14:paraId="0ADE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624D97E">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1E41AEEA">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23FDDBC9">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09B29AAC">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703948F3">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19BFCC3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317D34F">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7EDF6E5B">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15D3CB7C">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639D7F62">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669C003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5FED90CA">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54E338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087D18F8">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81E3ED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F85D92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E01D231">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052EBE9C">
            <w:pPr>
              <w:pageBreakBefore w:val="0"/>
              <w:kinsoku/>
              <w:wordWrap w:val="0"/>
              <w:bidi w:val="0"/>
              <w:spacing w:line="440" w:lineRule="exact"/>
              <w:jc w:val="center"/>
              <w:rPr>
                <w:rFonts w:hint="default" w:ascii="Times New Roman" w:hAnsi="Times New Roman" w:cs="Times New Roman"/>
                <w:color w:val="auto"/>
                <w:highlight w:val="none"/>
              </w:rPr>
            </w:pPr>
          </w:p>
        </w:tc>
      </w:tr>
      <w:tr w14:paraId="175E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4DFF032">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231795CD">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7AA5DEB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30DD91D6">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1FB25719">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2A698FFE">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0C163A0">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BCFC4DA">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411CD7F6">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7C7E537D">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646AC72D">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66FA229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FAB8A99">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4199E33E">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2C1FC537">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577280B">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C777D28">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59250F5B">
            <w:pPr>
              <w:pageBreakBefore w:val="0"/>
              <w:kinsoku/>
              <w:wordWrap w:val="0"/>
              <w:bidi w:val="0"/>
              <w:spacing w:line="440" w:lineRule="exact"/>
              <w:jc w:val="center"/>
              <w:rPr>
                <w:rFonts w:hint="default" w:ascii="Times New Roman" w:hAnsi="Times New Roman" w:cs="Times New Roman"/>
                <w:color w:val="auto"/>
                <w:highlight w:val="none"/>
              </w:rPr>
            </w:pPr>
          </w:p>
        </w:tc>
      </w:tr>
      <w:tr w14:paraId="522E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F9416D1">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3DE02216">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52015AFD">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201150F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FC84B82">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736DAC21">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5ABCE39">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5B44D4D2">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0B66E00B">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1F88044B">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41558DF3">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3C2069D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E0EC7F5">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97D9AD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E98E23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728AEDF1">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3F2CABEE">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2D49FDBA">
            <w:pPr>
              <w:pageBreakBefore w:val="0"/>
              <w:kinsoku/>
              <w:wordWrap w:val="0"/>
              <w:bidi w:val="0"/>
              <w:spacing w:line="440" w:lineRule="exact"/>
              <w:jc w:val="center"/>
              <w:rPr>
                <w:rFonts w:hint="default" w:ascii="Times New Roman" w:hAnsi="Times New Roman" w:cs="Times New Roman"/>
                <w:color w:val="auto"/>
                <w:highlight w:val="none"/>
              </w:rPr>
            </w:pPr>
          </w:p>
        </w:tc>
      </w:tr>
      <w:tr w14:paraId="2CD9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27D583F">
            <w:pPr>
              <w:pageBreakBefore w:val="0"/>
              <w:kinsoku/>
              <w:wordWrap w:val="0"/>
              <w:bidi w:val="0"/>
              <w:spacing w:line="440" w:lineRule="exact"/>
              <w:jc w:val="center"/>
              <w:rPr>
                <w:rFonts w:hint="default" w:ascii="Times New Roman" w:hAnsi="Times New Roman" w:cs="Times New Roman"/>
                <w:color w:val="auto"/>
                <w:highlight w:val="none"/>
              </w:rPr>
            </w:pPr>
          </w:p>
        </w:tc>
        <w:tc>
          <w:tcPr>
            <w:tcW w:w="879" w:type="dxa"/>
            <w:noWrap w:val="0"/>
            <w:vAlign w:val="center"/>
          </w:tcPr>
          <w:p w14:paraId="51362D1A">
            <w:pPr>
              <w:pageBreakBefore w:val="0"/>
              <w:kinsoku/>
              <w:wordWrap w:val="0"/>
              <w:bidi w:val="0"/>
              <w:spacing w:line="440" w:lineRule="exact"/>
              <w:jc w:val="center"/>
              <w:rPr>
                <w:rFonts w:hint="default" w:ascii="Times New Roman" w:hAnsi="Times New Roman" w:cs="Times New Roman"/>
                <w:color w:val="auto"/>
                <w:highlight w:val="none"/>
              </w:rPr>
            </w:pPr>
          </w:p>
        </w:tc>
        <w:tc>
          <w:tcPr>
            <w:tcW w:w="1053" w:type="dxa"/>
            <w:noWrap w:val="0"/>
            <w:vAlign w:val="center"/>
          </w:tcPr>
          <w:p w14:paraId="237FCFA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60C82561">
            <w:pPr>
              <w:pageBreakBefore w:val="0"/>
              <w:kinsoku/>
              <w:wordWrap w:val="0"/>
              <w:bidi w:val="0"/>
              <w:spacing w:line="440" w:lineRule="exact"/>
              <w:jc w:val="center"/>
              <w:rPr>
                <w:rFonts w:hint="default" w:ascii="Times New Roman" w:hAnsi="Times New Roman" w:cs="Times New Roman"/>
                <w:color w:val="auto"/>
                <w:highlight w:val="none"/>
              </w:rPr>
            </w:pPr>
          </w:p>
        </w:tc>
        <w:tc>
          <w:tcPr>
            <w:tcW w:w="582" w:type="dxa"/>
            <w:noWrap w:val="0"/>
            <w:vAlign w:val="center"/>
          </w:tcPr>
          <w:p w14:paraId="016F5F61">
            <w:pPr>
              <w:pageBreakBefore w:val="0"/>
              <w:kinsoku/>
              <w:wordWrap w:val="0"/>
              <w:bidi w:val="0"/>
              <w:spacing w:line="440" w:lineRule="exact"/>
              <w:jc w:val="center"/>
              <w:rPr>
                <w:rFonts w:hint="default" w:ascii="Times New Roman" w:hAnsi="Times New Roman" w:cs="Times New Roman"/>
                <w:color w:val="auto"/>
                <w:highlight w:val="none"/>
              </w:rPr>
            </w:pPr>
          </w:p>
        </w:tc>
        <w:tc>
          <w:tcPr>
            <w:tcW w:w="587" w:type="dxa"/>
            <w:noWrap w:val="0"/>
            <w:vAlign w:val="center"/>
          </w:tcPr>
          <w:p w14:paraId="5DD67F93">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6F1C797E">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212A8856">
            <w:pPr>
              <w:pageBreakBefore w:val="0"/>
              <w:kinsoku/>
              <w:wordWrap w:val="0"/>
              <w:bidi w:val="0"/>
              <w:spacing w:line="440" w:lineRule="exact"/>
              <w:jc w:val="center"/>
              <w:rPr>
                <w:rFonts w:hint="default" w:ascii="Times New Roman" w:hAnsi="Times New Roman" w:cs="Times New Roman"/>
                <w:color w:val="auto"/>
                <w:highlight w:val="none"/>
              </w:rPr>
            </w:pPr>
          </w:p>
        </w:tc>
        <w:tc>
          <w:tcPr>
            <w:tcW w:w="662" w:type="dxa"/>
            <w:noWrap w:val="0"/>
            <w:vAlign w:val="center"/>
          </w:tcPr>
          <w:p w14:paraId="37E78222">
            <w:pPr>
              <w:pageBreakBefore w:val="0"/>
              <w:kinsoku/>
              <w:wordWrap w:val="0"/>
              <w:bidi w:val="0"/>
              <w:spacing w:line="440" w:lineRule="exact"/>
              <w:jc w:val="center"/>
              <w:rPr>
                <w:rFonts w:hint="default" w:ascii="Times New Roman" w:hAnsi="Times New Roman" w:cs="Times New Roman"/>
                <w:color w:val="auto"/>
                <w:highlight w:val="none"/>
              </w:rPr>
            </w:pPr>
          </w:p>
        </w:tc>
        <w:tc>
          <w:tcPr>
            <w:tcW w:w="667" w:type="dxa"/>
            <w:noWrap w:val="0"/>
            <w:vAlign w:val="center"/>
          </w:tcPr>
          <w:p w14:paraId="42CC472A">
            <w:pPr>
              <w:pageBreakBefore w:val="0"/>
              <w:kinsoku/>
              <w:wordWrap w:val="0"/>
              <w:bidi w:val="0"/>
              <w:spacing w:line="440" w:lineRule="exact"/>
              <w:jc w:val="center"/>
              <w:rPr>
                <w:rFonts w:hint="default" w:ascii="Times New Roman" w:hAnsi="Times New Roman" w:cs="Times New Roman"/>
                <w:color w:val="auto"/>
                <w:highlight w:val="none"/>
              </w:rPr>
            </w:pPr>
          </w:p>
        </w:tc>
        <w:tc>
          <w:tcPr>
            <w:tcW w:w="626" w:type="dxa"/>
            <w:noWrap w:val="0"/>
            <w:vAlign w:val="center"/>
          </w:tcPr>
          <w:p w14:paraId="10C2439E">
            <w:pPr>
              <w:pageBreakBefore w:val="0"/>
              <w:kinsoku/>
              <w:wordWrap w:val="0"/>
              <w:bidi w:val="0"/>
              <w:spacing w:line="440" w:lineRule="exact"/>
              <w:jc w:val="center"/>
              <w:rPr>
                <w:rFonts w:hint="default" w:ascii="Times New Roman" w:hAnsi="Times New Roman" w:cs="Times New Roman"/>
                <w:color w:val="auto"/>
                <w:highlight w:val="none"/>
              </w:rPr>
            </w:pPr>
          </w:p>
        </w:tc>
        <w:tc>
          <w:tcPr>
            <w:tcW w:w="731" w:type="dxa"/>
            <w:noWrap w:val="0"/>
            <w:vAlign w:val="center"/>
          </w:tcPr>
          <w:p w14:paraId="0C1CA133">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5F6FDFF">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142598A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61F65806">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6BF16D2">
            <w:pPr>
              <w:pageBreakBefore w:val="0"/>
              <w:kinsoku/>
              <w:wordWrap w:val="0"/>
              <w:bidi w:val="0"/>
              <w:spacing w:line="440" w:lineRule="exact"/>
              <w:jc w:val="center"/>
              <w:rPr>
                <w:rFonts w:hint="default" w:ascii="Times New Roman" w:hAnsi="Times New Roman" w:cs="Times New Roman"/>
                <w:color w:val="auto"/>
                <w:highlight w:val="none"/>
              </w:rPr>
            </w:pPr>
          </w:p>
        </w:tc>
        <w:tc>
          <w:tcPr>
            <w:tcW w:w="883" w:type="dxa"/>
            <w:noWrap w:val="0"/>
            <w:vAlign w:val="center"/>
          </w:tcPr>
          <w:p w14:paraId="5693726B">
            <w:pPr>
              <w:pageBreakBefore w:val="0"/>
              <w:kinsoku/>
              <w:wordWrap w:val="0"/>
              <w:bidi w:val="0"/>
              <w:spacing w:line="440" w:lineRule="exact"/>
              <w:jc w:val="center"/>
              <w:rPr>
                <w:rFonts w:hint="default" w:ascii="Times New Roman" w:hAnsi="Times New Roman" w:cs="Times New Roman"/>
                <w:color w:val="auto"/>
                <w:highlight w:val="none"/>
              </w:rPr>
            </w:pPr>
          </w:p>
        </w:tc>
        <w:tc>
          <w:tcPr>
            <w:tcW w:w="880" w:type="dxa"/>
            <w:noWrap w:val="0"/>
            <w:vAlign w:val="center"/>
          </w:tcPr>
          <w:p w14:paraId="47609CEF">
            <w:pPr>
              <w:pageBreakBefore w:val="0"/>
              <w:kinsoku/>
              <w:wordWrap w:val="0"/>
              <w:bidi w:val="0"/>
              <w:spacing w:line="440" w:lineRule="exact"/>
              <w:jc w:val="center"/>
              <w:rPr>
                <w:rFonts w:hint="default" w:ascii="Times New Roman" w:hAnsi="Times New Roman" w:cs="Times New Roman"/>
                <w:color w:val="auto"/>
                <w:highlight w:val="none"/>
              </w:rPr>
            </w:pPr>
          </w:p>
        </w:tc>
      </w:tr>
    </w:tbl>
    <w:p w14:paraId="436D3DA6">
      <w:pPr>
        <w:pageBreakBefore w:val="0"/>
        <w:kinsoku/>
        <w:wordWrap w:val="0"/>
        <w:bidi w:val="0"/>
        <w:spacing w:line="440" w:lineRule="exact"/>
        <w:rPr>
          <w:rFonts w:hint="default" w:ascii="Times New Roman" w:hAnsi="Times New Roman" w:eastAsia="黑体" w:cs="Times New Roman"/>
          <w:color w:val="auto"/>
          <w:sz w:val="29"/>
          <w:szCs w:val="29"/>
          <w:highlight w:val="none"/>
        </w:rPr>
        <w:sectPr>
          <w:footerReference r:id="rId43" w:type="default"/>
          <w:footnotePr>
            <w:numFmt w:val="decimalEnclosedCircleChinese"/>
            <w:numRestart w:val="eachPage"/>
          </w:footnotePr>
          <w:pgSz w:w="16840" w:h="11907" w:orient="landscape"/>
          <w:pgMar w:top="1644" w:right="1588" w:bottom="1588" w:left="1474" w:header="851" w:footer="851" w:gutter="0"/>
          <w:pgNumType w:fmt="decimal"/>
          <w:cols w:space="720" w:num="1"/>
          <w:docGrid w:linePitch="312" w:charSpace="0"/>
        </w:sectPr>
      </w:pPr>
    </w:p>
    <w:p w14:paraId="73F0253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BA45DF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044661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A7343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485556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F2FCD6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A10230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46FBEC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9F096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DF923B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02BD80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E256A4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8B0457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4888A01">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862" w:name="_Toc234833247"/>
      <w:bookmarkStart w:id="1863" w:name="_Toc7411"/>
      <w:bookmarkStart w:id="1864" w:name="_Toc30494"/>
      <w:bookmarkStart w:id="1865" w:name="_Toc2859"/>
      <w:r>
        <w:rPr>
          <w:rFonts w:hint="default" w:ascii="Times New Roman" w:hAnsi="Times New Roman" w:eastAsia="黑体" w:cs="Times New Roman"/>
          <w:color w:val="auto"/>
          <w:sz w:val="76"/>
          <w:szCs w:val="76"/>
          <w:highlight w:val="none"/>
        </w:rPr>
        <w:t>第  二  卷</w:t>
      </w:r>
      <w:bookmarkEnd w:id="1862"/>
      <w:bookmarkEnd w:id="1863"/>
      <w:bookmarkEnd w:id="1864"/>
      <w:bookmarkEnd w:id="1865"/>
    </w:p>
    <w:p w14:paraId="556346CB">
      <w:pPr>
        <w:pageBreakBefore w:val="0"/>
        <w:kinsoku/>
        <w:wordWrap w:val="0"/>
        <w:bidi w:val="0"/>
        <w:jc w:val="center"/>
        <w:rPr>
          <w:rFonts w:hint="default" w:ascii="Times New Roman" w:hAnsi="Times New Roman" w:eastAsia="黑体" w:cs="Times New Roman"/>
          <w:color w:val="auto"/>
          <w:sz w:val="76"/>
          <w:szCs w:val="76"/>
          <w:highlight w:val="none"/>
        </w:rPr>
      </w:pPr>
    </w:p>
    <w:p w14:paraId="2AEFA81B">
      <w:pPr>
        <w:pageBreakBefore w:val="0"/>
        <w:kinsoku/>
        <w:wordWrap w:val="0"/>
        <w:bidi w:val="0"/>
        <w:jc w:val="center"/>
        <w:rPr>
          <w:rFonts w:hint="default" w:ascii="Times New Roman" w:hAnsi="Times New Roman" w:eastAsia="黑体" w:cs="Times New Roman"/>
          <w:color w:val="auto"/>
          <w:sz w:val="76"/>
          <w:szCs w:val="76"/>
          <w:highlight w:val="none"/>
        </w:rPr>
        <w:sectPr>
          <w:headerReference r:id="rId44" w:type="default"/>
          <w:footerReference r:id="rId46" w:type="default"/>
          <w:headerReference r:id="rId45" w:type="even"/>
          <w:footerReference r:id="rId4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3DA96CC">
      <w:pPr>
        <w:pageBreakBefore w:val="0"/>
        <w:kinsoku/>
        <w:wordWrap w:val="0"/>
        <w:bidi w:val="0"/>
        <w:jc w:val="center"/>
        <w:rPr>
          <w:rFonts w:hint="default" w:ascii="Times New Roman" w:hAnsi="Times New Roman" w:eastAsia="黑体" w:cs="Times New Roman"/>
          <w:color w:val="auto"/>
          <w:sz w:val="76"/>
          <w:szCs w:val="76"/>
          <w:highlight w:val="none"/>
        </w:rPr>
      </w:pPr>
    </w:p>
    <w:p w14:paraId="122814C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FA241E3">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363FBE4D">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184957E">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65414D6C">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3DE6B7C7">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0629B61A">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41704FF">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1B7B7A06">
      <w:pPr>
        <w:pageBreakBefore w:val="0"/>
        <w:kinsoku/>
        <w:wordWrap w:val="0"/>
        <w:bidi w:val="0"/>
        <w:spacing w:line="440" w:lineRule="exact"/>
        <w:ind w:firstLine="3045" w:firstLineChars="1050"/>
        <w:rPr>
          <w:rFonts w:hint="default" w:ascii="Times New Roman" w:hAnsi="Times New Roman" w:eastAsia="黑体" w:cs="Times New Roman"/>
          <w:color w:val="auto"/>
          <w:sz w:val="29"/>
          <w:szCs w:val="29"/>
          <w:highlight w:val="none"/>
        </w:rPr>
      </w:pPr>
    </w:p>
    <w:p w14:paraId="216BB74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66" w:name="_Toc234833248"/>
      <w:bookmarkStart w:id="1867" w:name="_Toc16666"/>
      <w:bookmarkStart w:id="1868" w:name="_Toc15063"/>
      <w:bookmarkStart w:id="1869" w:name="_Toc16740"/>
      <w:r>
        <w:rPr>
          <w:rFonts w:hint="default" w:ascii="Times New Roman" w:hAnsi="Times New Roman" w:eastAsia="黑体" w:cs="Times New Roman"/>
          <w:b w:val="0"/>
          <w:color w:val="auto"/>
          <w:sz w:val="56"/>
          <w:szCs w:val="56"/>
          <w:highlight w:val="none"/>
        </w:rPr>
        <w:t>第六章  图纸（另册）</w:t>
      </w:r>
      <w:bookmarkEnd w:id="1866"/>
      <w:bookmarkEnd w:id="1867"/>
      <w:bookmarkEnd w:id="1868"/>
      <w:bookmarkEnd w:id="1869"/>
    </w:p>
    <w:p w14:paraId="4D1C4E11">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80CBD8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106B60B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A47834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A8583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C4328E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9FBD8F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C5CFA2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D5E4A0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C6639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F36F95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8C6291D">
      <w:pPr>
        <w:pageBreakBefore w:val="0"/>
        <w:kinsoku/>
        <w:wordWrap w:val="0"/>
        <w:bidi w:val="0"/>
        <w:jc w:val="center"/>
        <w:outlineLvl w:val="0"/>
        <w:rPr>
          <w:rFonts w:hint="default" w:ascii="Times New Roman" w:hAnsi="Times New Roman" w:eastAsia="黑体" w:cs="Times New Roman"/>
          <w:color w:val="auto"/>
          <w:sz w:val="76"/>
          <w:szCs w:val="76"/>
          <w:highlight w:val="none"/>
        </w:rPr>
      </w:pPr>
      <w:bookmarkStart w:id="1870" w:name="_Toc234833249"/>
      <w:bookmarkStart w:id="1871" w:name="_Toc26586"/>
      <w:bookmarkStart w:id="1872" w:name="_Toc27800"/>
      <w:bookmarkStart w:id="1873" w:name="_Toc5182"/>
      <w:r>
        <w:rPr>
          <w:rFonts w:hint="default" w:ascii="Times New Roman" w:hAnsi="Times New Roman" w:eastAsia="黑体" w:cs="Times New Roman"/>
          <w:color w:val="auto"/>
          <w:sz w:val="76"/>
          <w:szCs w:val="76"/>
          <w:highlight w:val="none"/>
        </w:rPr>
        <w:t>第  三  卷</w:t>
      </w:r>
      <w:bookmarkEnd w:id="1870"/>
      <w:r>
        <w:rPr>
          <w:rFonts w:hint="default" w:ascii="Times New Roman" w:hAnsi="Times New Roman" w:eastAsia="黑体" w:cs="Times New Roman"/>
          <w:color w:val="auto"/>
          <w:sz w:val="76"/>
          <w:szCs w:val="76"/>
          <w:highlight w:val="none"/>
        </w:rPr>
        <w:br w:type="page"/>
      </w:r>
      <w:bookmarkEnd w:id="1871"/>
      <w:bookmarkEnd w:id="1872"/>
      <w:bookmarkEnd w:id="1873"/>
    </w:p>
    <w:p w14:paraId="0695BDF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550DDE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0EBF862">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FA239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517FC7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495687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79E9F1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BF13A1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C1890F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3DA3A3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74" w:name="_Toc234833250"/>
      <w:bookmarkStart w:id="1875" w:name="_Toc15579"/>
      <w:bookmarkStart w:id="1876" w:name="_Toc15033"/>
      <w:bookmarkStart w:id="1877" w:name="_Toc18862"/>
      <w:r>
        <w:rPr>
          <w:rFonts w:hint="default" w:ascii="Times New Roman" w:hAnsi="Times New Roman" w:eastAsia="黑体" w:cs="Times New Roman"/>
          <w:b w:val="0"/>
          <w:color w:val="auto"/>
          <w:sz w:val="56"/>
          <w:szCs w:val="56"/>
          <w:highlight w:val="none"/>
        </w:rPr>
        <w:t>第七章  技术规范（另册）</w:t>
      </w:r>
      <w:bookmarkEnd w:id="1874"/>
      <w:bookmarkEnd w:id="1875"/>
      <w:bookmarkEnd w:id="1876"/>
      <w:r>
        <w:rPr>
          <w:rFonts w:hint="default" w:ascii="Times New Roman" w:hAnsi="Times New Roman" w:eastAsia="黑体" w:cs="Times New Roman"/>
          <w:b w:val="0"/>
          <w:bCs w:val="0"/>
          <w:color w:val="auto"/>
          <w:sz w:val="28"/>
          <w:szCs w:val="36"/>
          <w:highlight w:val="none"/>
          <w:vertAlign w:val="superscript"/>
        </w:rPr>
        <w:footnoteReference w:id="53"/>
      </w:r>
      <w:bookmarkEnd w:id="1877"/>
    </w:p>
    <w:p w14:paraId="76A7601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A71B386">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BE7CC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D14957B">
      <w:pPr>
        <w:pageBreakBefore w:val="0"/>
        <w:kinsoku/>
        <w:wordWrap w:val="0"/>
        <w:bidi w:val="0"/>
        <w:jc w:val="center"/>
        <w:rPr>
          <w:rFonts w:hint="default" w:ascii="Times New Roman" w:hAnsi="Times New Roman" w:eastAsia="黑体" w:cs="Times New Roman"/>
          <w:color w:val="auto"/>
          <w:sz w:val="76"/>
          <w:szCs w:val="76"/>
          <w:highlight w:val="none"/>
        </w:rPr>
      </w:pPr>
      <w:r>
        <w:rPr>
          <w:rFonts w:hint="default" w:ascii="Times New Roman" w:hAnsi="Times New Roman" w:eastAsia="黑体" w:cs="Times New Roman"/>
          <w:color w:val="auto"/>
          <w:sz w:val="20"/>
          <w:szCs w:val="20"/>
          <w:highlight w:val="none"/>
        </w:rPr>
        <w:br w:type="page"/>
      </w:r>
    </w:p>
    <w:p w14:paraId="422EA939">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0A2342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33FF4A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228E22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14F2D2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5DA7267">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05072F">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8611DE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BE258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4F735A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78" w:name="_Toc31352"/>
      <w:bookmarkStart w:id="1879" w:name="_Toc11545"/>
      <w:bookmarkStart w:id="1880" w:name="_Toc32110"/>
      <w:r>
        <w:rPr>
          <w:rFonts w:hint="default" w:ascii="Times New Roman" w:hAnsi="Times New Roman" w:eastAsia="黑体" w:cs="Times New Roman"/>
          <w:b w:val="0"/>
          <w:color w:val="auto"/>
          <w:sz w:val="56"/>
          <w:szCs w:val="56"/>
          <w:highlight w:val="none"/>
        </w:rPr>
        <w:t>第八章  工程量清单计量规则</w:t>
      </w:r>
      <w:bookmarkEnd w:id="1878"/>
      <w:bookmarkEnd w:id="1879"/>
      <w:r>
        <w:rPr>
          <w:rFonts w:hint="default" w:ascii="Times New Roman" w:hAnsi="Times New Roman" w:eastAsia="黑体" w:cs="Times New Roman"/>
          <w:b w:val="0"/>
          <w:bCs w:val="0"/>
          <w:color w:val="auto"/>
          <w:sz w:val="28"/>
          <w:szCs w:val="36"/>
          <w:highlight w:val="none"/>
          <w:vertAlign w:val="superscript"/>
        </w:rPr>
        <w:footnoteReference w:id="54"/>
      </w:r>
      <w:bookmarkEnd w:id="1880"/>
    </w:p>
    <w:p w14:paraId="6A576EA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56"/>
          <w:szCs w:val="56"/>
          <w:highlight w:val="none"/>
        </w:rPr>
      </w:pPr>
      <w:bookmarkStart w:id="1881" w:name="_Toc470752702"/>
      <w:bookmarkStart w:id="1882" w:name="_Toc501257474"/>
      <w:r>
        <w:rPr>
          <w:rFonts w:hint="default" w:ascii="Times New Roman" w:hAnsi="Times New Roman" w:eastAsia="黑体" w:cs="Times New Roman"/>
          <w:b w:val="0"/>
          <w:color w:val="auto"/>
          <w:sz w:val="56"/>
          <w:szCs w:val="56"/>
          <w:highlight w:val="none"/>
        </w:rPr>
        <w:t>（另</w:t>
      </w:r>
      <w:r>
        <w:rPr>
          <w:rFonts w:hint="default" w:ascii="Times New Roman" w:hAnsi="Times New Roman" w:eastAsia="黑体" w:cs="Times New Roman"/>
          <w:b w:val="0"/>
          <w:color w:val="auto"/>
          <w:sz w:val="56"/>
          <w:szCs w:val="56"/>
          <w:highlight w:val="none"/>
          <w:lang w:eastAsia="zh-CN"/>
        </w:rPr>
        <w:t xml:space="preserve">   </w:t>
      </w:r>
      <w:r>
        <w:rPr>
          <w:rFonts w:hint="default" w:ascii="Times New Roman" w:hAnsi="Times New Roman" w:eastAsia="黑体" w:cs="Times New Roman"/>
          <w:b w:val="0"/>
          <w:color w:val="auto"/>
          <w:sz w:val="56"/>
          <w:szCs w:val="56"/>
          <w:highlight w:val="none"/>
        </w:rPr>
        <w:t>册）</w:t>
      </w:r>
      <w:bookmarkEnd w:id="1881"/>
      <w:bookmarkEnd w:id="1882"/>
    </w:p>
    <w:p w14:paraId="4A333769">
      <w:pPr>
        <w:spacing w:after="240" w:line="360" w:lineRule="auto"/>
        <w:ind w:left="2100" w:leftChars="1000"/>
        <w:jc w:val="both"/>
        <w:rPr>
          <w:rFonts w:hint="default" w:ascii="Times New Roman" w:hAnsi="Times New Roman" w:eastAsia="黑体" w:cs="Times New Roman"/>
          <w:b w:val="0"/>
          <w:bCs w:val="0"/>
          <w:color w:val="auto"/>
          <w:sz w:val="28"/>
          <w:szCs w:val="36"/>
          <w:highlight w:val="none"/>
        </w:rPr>
      </w:pPr>
    </w:p>
    <w:p w14:paraId="4757F57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F8B045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122E35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942CE7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EDD04F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C204DF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r>
        <w:rPr>
          <w:rFonts w:hint="default" w:ascii="Times New Roman" w:hAnsi="Times New Roman" w:eastAsia="黑体" w:cs="Times New Roman"/>
          <w:color w:val="auto"/>
          <w:sz w:val="20"/>
          <w:szCs w:val="20"/>
          <w:highlight w:val="none"/>
        </w:rPr>
        <w:br w:type="page"/>
      </w:r>
    </w:p>
    <w:p w14:paraId="2E1EBF2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70301C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6F6855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5E468B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26762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C8A36BC">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972FF3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C160D5E">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2CD9B0">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4120E016">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BACD21D">
      <w:pPr>
        <w:pageBreakBefore w:val="0"/>
        <w:kinsoku/>
        <w:wordWrap w:val="0"/>
        <w:bidi w:val="0"/>
        <w:jc w:val="center"/>
        <w:outlineLvl w:val="0"/>
        <w:rPr>
          <w:rFonts w:hint="default" w:ascii="Times New Roman" w:hAnsi="Times New Roman" w:eastAsia="黑体" w:cs="Times New Roman"/>
          <w:color w:val="auto"/>
          <w:sz w:val="29"/>
          <w:szCs w:val="29"/>
          <w:highlight w:val="none"/>
        </w:rPr>
      </w:pPr>
      <w:bookmarkStart w:id="1883" w:name="_Toc234833251"/>
      <w:bookmarkStart w:id="1884" w:name="_Toc27378"/>
      <w:bookmarkStart w:id="1885" w:name="_Toc1042"/>
      <w:bookmarkStart w:id="1886" w:name="_Toc2682"/>
      <w:r>
        <w:rPr>
          <w:rFonts w:hint="default" w:ascii="Times New Roman" w:hAnsi="Times New Roman" w:eastAsia="黑体" w:cs="Times New Roman"/>
          <w:color w:val="auto"/>
          <w:sz w:val="76"/>
          <w:szCs w:val="76"/>
          <w:highlight w:val="none"/>
        </w:rPr>
        <w:t>第  四  卷</w:t>
      </w:r>
      <w:bookmarkEnd w:id="1883"/>
      <w:r>
        <w:rPr>
          <w:rFonts w:hint="default" w:ascii="Times New Roman" w:hAnsi="Times New Roman" w:eastAsia="黑体" w:cs="Times New Roman"/>
          <w:color w:val="auto"/>
          <w:sz w:val="76"/>
          <w:szCs w:val="76"/>
          <w:highlight w:val="none"/>
        </w:rPr>
        <w:br w:type="page"/>
      </w:r>
      <w:bookmarkEnd w:id="1884"/>
      <w:bookmarkEnd w:id="1885"/>
      <w:bookmarkEnd w:id="1886"/>
    </w:p>
    <w:p w14:paraId="35F22E74">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BF91E4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7A01D33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5519D1C1">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08C3E3EB">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DE567F8">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1FA5D38D">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69FD4D8A">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2E53AC45">
      <w:pPr>
        <w:pageBreakBefore w:val="0"/>
        <w:kinsoku/>
        <w:wordWrap w:val="0"/>
        <w:bidi w:val="0"/>
        <w:spacing w:line="440" w:lineRule="exact"/>
        <w:jc w:val="center"/>
        <w:rPr>
          <w:rFonts w:hint="default" w:ascii="Times New Roman" w:hAnsi="Times New Roman" w:eastAsia="黑体" w:cs="Times New Roman"/>
          <w:color w:val="auto"/>
          <w:sz w:val="29"/>
          <w:szCs w:val="29"/>
          <w:highlight w:val="none"/>
        </w:rPr>
      </w:pPr>
    </w:p>
    <w:p w14:paraId="36971F2E">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56"/>
          <w:szCs w:val="56"/>
          <w:highlight w:val="none"/>
        </w:rPr>
      </w:pPr>
      <w:bookmarkStart w:id="1887" w:name="_Toc234833252"/>
      <w:bookmarkStart w:id="1888" w:name="_Toc16811"/>
      <w:bookmarkStart w:id="1889" w:name="_Toc29271"/>
      <w:bookmarkStart w:id="1890" w:name="_Toc12459"/>
      <w:r>
        <w:rPr>
          <w:rFonts w:hint="default" w:ascii="Times New Roman" w:hAnsi="Times New Roman" w:eastAsia="黑体" w:cs="Times New Roman"/>
          <w:b w:val="0"/>
          <w:color w:val="auto"/>
          <w:sz w:val="56"/>
          <w:szCs w:val="56"/>
          <w:highlight w:val="none"/>
        </w:rPr>
        <w:t>第九章  投标文件格式</w:t>
      </w:r>
      <w:r>
        <w:rPr>
          <w:rStyle w:val="47"/>
          <w:rFonts w:hint="default" w:ascii="Times New Roman" w:hAnsi="Times New Roman" w:eastAsia="黑体" w:cs="Times New Roman"/>
          <w:color w:val="auto"/>
          <w:sz w:val="56"/>
          <w:szCs w:val="56"/>
          <w:highlight w:val="none"/>
        </w:rPr>
        <w:footnoteReference w:id="55"/>
      </w:r>
      <w:bookmarkEnd w:id="1887"/>
      <w:bookmarkEnd w:id="1888"/>
      <w:bookmarkEnd w:id="1889"/>
      <w:bookmarkEnd w:id="1890"/>
    </w:p>
    <w:p w14:paraId="5AB668CE">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09495DCF">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6FA8FCE0">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559112E5">
      <w:pPr>
        <w:pStyle w:val="15"/>
        <w:keepNext w:val="0"/>
        <w:keepLines w:val="0"/>
        <w:pageBreakBefore w:val="0"/>
        <w:widowControl w:val="0"/>
        <w:kinsoku/>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bookmarkStart w:id="1891" w:name="_Toc24566"/>
      <w:r>
        <w:rPr>
          <w:rFonts w:hint="eastAsia" w:ascii="Times New Roman" w:eastAsia="黑体" w:cs="Times New Roman"/>
          <w:color w:val="auto"/>
          <w:sz w:val="31"/>
          <w:szCs w:val="31"/>
          <w:highlight w:val="none"/>
          <w:u w:val="single"/>
          <w:lang w:eastAsia="zh-CN"/>
        </w:rPr>
        <w:t>辽宁省</w:t>
      </w:r>
      <w:bookmarkEnd w:id="1891"/>
    </w:p>
    <w:p w14:paraId="4D50B0A4">
      <w:pPr>
        <w:pageBreakBefore w:val="0"/>
        <w:kinsoku/>
        <w:wordWrap w:val="0"/>
        <w:bidi w:val="0"/>
        <w:spacing w:line="440" w:lineRule="exact"/>
        <w:rPr>
          <w:rFonts w:hint="default" w:ascii="Times New Roman" w:hAnsi="Times New Roman" w:eastAsia="黑体" w:cs="Times New Roman"/>
          <w:color w:val="auto"/>
          <w:sz w:val="24"/>
          <w:highlight w:val="none"/>
          <w:lang w:val="en-US"/>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eastAsia="zh-CN"/>
        </w:rPr>
        <w:t>）</w:t>
      </w:r>
      <w:r>
        <w:rPr>
          <w:rFonts w:hint="default" w:ascii="Times New Roman" w:hAnsi="Times New Roman" w:eastAsia="黑体" w:cs="Times New Roman"/>
          <w:b w:val="0"/>
          <w:bCs w:val="0"/>
          <w:color w:val="auto"/>
          <w:sz w:val="31"/>
          <w:szCs w:val="31"/>
          <w:highlight w:val="none"/>
          <w:lang w:val="en-US" w:eastAsia="zh-CN"/>
        </w:rPr>
        <w:t>施工招标</w:t>
      </w:r>
    </w:p>
    <w:p w14:paraId="53C6A771">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6E910086">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781CBDD3">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13DC220F">
      <w:pPr>
        <w:pStyle w:val="16"/>
        <w:rPr>
          <w:rFonts w:hint="default" w:ascii="Times New Roman" w:hAnsi="Times New Roman" w:eastAsia="黑体" w:cs="Times New Roman"/>
          <w:color w:val="auto"/>
          <w:sz w:val="40"/>
          <w:szCs w:val="40"/>
          <w:highlight w:val="none"/>
        </w:rPr>
      </w:pPr>
    </w:p>
    <w:p w14:paraId="4AB35F82">
      <w:pPr>
        <w:pStyle w:val="16"/>
        <w:rPr>
          <w:rFonts w:hint="default" w:ascii="Times New Roman" w:hAnsi="Times New Roman" w:eastAsia="黑体" w:cs="Times New Roman"/>
          <w:color w:val="auto"/>
          <w:sz w:val="40"/>
          <w:szCs w:val="40"/>
          <w:highlight w:val="none"/>
        </w:rPr>
      </w:pPr>
    </w:p>
    <w:p w14:paraId="738A5F53">
      <w:pPr>
        <w:pStyle w:val="16"/>
        <w:rPr>
          <w:rFonts w:hint="default" w:ascii="Times New Roman" w:hAnsi="Times New Roman" w:eastAsia="黑体" w:cs="Times New Roman"/>
          <w:color w:val="auto"/>
          <w:sz w:val="40"/>
          <w:szCs w:val="40"/>
          <w:highlight w:val="none"/>
        </w:rPr>
      </w:pPr>
    </w:p>
    <w:p w14:paraId="1781CD37">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61B41A77">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1A7409E3">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bookmarkStart w:id="1892" w:name="_Toc23497"/>
      <w:bookmarkStart w:id="1893" w:name="_Toc11253"/>
      <w:bookmarkStart w:id="1894" w:name="_Toc26407"/>
      <w:bookmarkStart w:id="1895" w:name="_Toc11276"/>
      <w:bookmarkStart w:id="1896" w:name="_Toc1346"/>
      <w:r>
        <w:rPr>
          <w:rFonts w:hint="default" w:ascii="Times New Roman" w:hAnsi="Times New Roman" w:eastAsia="黑体" w:cs="Times New Roman"/>
          <w:b w:val="0"/>
          <w:color w:val="auto"/>
          <w:sz w:val="72"/>
          <w:szCs w:val="72"/>
          <w:highlight w:val="none"/>
        </w:rPr>
        <w:t xml:space="preserve">投  标  文  件 </w:t>
      </w:r>
    </w:p>
    <w:p w14:paraId="427FA90D">
      <w:pPr>
        <w:pageBreakBefore w:val="0"/>
        <w:kinsoku/>
        <w:wordWrap/>
        <w:bidi w:val="0"/>
        <w:spacing w:before="0" w:after="0" w:line="360" w:lineRule="auto"/>
        <w:jc w:val="center"/>
        <w:outlineLvl w:val="9"/>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第一个信封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商务及技术文件）</w:t>
      </w:r>
      <w:bookmarkEnd w:id="1892"/>
      <w:bookmarkEnd w:id="1893"/>
      <w:bookmarkEnd w:id="1894"/>
      <w:bookmarkEnd w:id="1895"/>
      <w:bookmarkEnd w:id="1896"/>
    </w:p>
    <w:p w14:paraId="7D198C9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45B9EA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7FF660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C28439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67CB568">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DE9424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D27A1CD">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67EBAE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B0E266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highlight w:val="none"/>
          <w:lang w:eastAsia="zh-CN"/>
        </w:rPr>
        <w:t>盖单位电子印章</w:t>
      </w:r>
      <w:r>
        <w:rPr>
          <w:rFonts w:hint="default" w:ascii="Times New Roman" w:hAnsi="Times New Roman" w:eastAsia="黑体" w:cs="Times New Roman"/>
          <w:color w:val="auto"/>
          <w:sz w:val="28"/>
          <w:szCs w:val="28"/>
          <w:highlight w:val="none"/>
        </w:rPr>
        <w:t>）</w:t>
      </w:r>
    </w:p>
    <w:p w14:paraId="192913C4">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2F573972">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71677EE1">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0F6FA0F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0"/>
          <w:szCs w:val="20"/>
          <w:highlight w:val="none"/>
        </w:rPr>
        <w:br w:type="page"/>
      </w:r>
      <w:bookmarkStart w:id="1897" w:name="_Toc11971"/>
      <w:bookmarkStart w:id="1898" w:name="_Toc16968"/>
      <w:bookmarkStart w:id="1899" w:name="_Toc23660"/>
      <w:bookmarkStart w:id="1900" w:name="_Toc234833253"/>
      <w:bookmarkStart w:id="1901" w:name="_Toc18939"/>
      <w:r>
        <w:rPr>
          <w:rFonts w:hint="default" w:ascii="Times New Roman" w:hAnsi="Times New Roman" w:eastAsia="黑体" w:cs="Times New Roman"/>
          <w:b w:val="0"/>
          <w:color w:val="auto"/>
          <w:sz w:val="30"/>
          <w:szCs w:val="30"/>
          <w:highlight w:val="none"/>
        </w:rPr>
        <w:t>目     录</w:t>
      </w:r>
      <w:bookmarkEnd w:id="1897"/>
      <w:bookmarkEnd w:id="1898"/>
      <w:bookmarkEnd w:id="1899"/>
      <w:bookmarkEnd w:id="1900"/>
      <w:bookmarkEnd w:id="1901"/>
    </w:p>
    <w:p w14:paraId="4D7293D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E14032D">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一、投标函及投标函附录</w:t>
      </w:r>
    </w:p>
    <w:p w14:paraId="7018F98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二、授权委托书或法定代表人身份证明</w:t>
      </w:r>
    </w:p>
    <w:p w14:paraId="7C6E1D71">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三、联合体协议书</w:t>
      </w:r>
    </w:p>
    <w:p w14:paraId="57B96CA8">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四、投标保证金</w:t>
      </w:r>
    </w:p>
    <w:p w14:paraId="3E49CC2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五、施工组织设计</w:t>
      </w:r>
    </w:p>
    <w:p w14:paraId="72FFFA9C">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六、项目管理机构</w:t>
      </w:r>
    </w:p>
    <w:p w14:paraId="28630471">
      <w:pPr>
        <w:pageBreakBefore w:val="0"/>
        <w:kinsoku/>
        <w:wordWrap w:val="0"/>
        <w:bidi w:val="0"/>
        <w:spacing w:line="440" w:lineRule="exact"/>
        <w:ind w:left="1619" w:leftChars="771" w:firstLine="1"/>
        <w:rPr>
          <w:rFonts w:hint="default" w:cs="Times New Roman"/>
          <w:color w:val="auto"/>
          <w:sz w:val="24"/>
          <w:highlight w:val="none"/>
          <w:lang w:val="en-US" w:eastAsia="zh-CN"/>
        </w:rPr>
      </w:pPr>
      <w:r>
        <w:rPr>
          <w:rFonts w:hint="eastAsia" w:cs="Times New Roman"/>
          <w:color w:val="auto"/>
          <w:sz w:val="24"/>
          <w:highlight w:val="none"/>
          <w:lang w:val="en-US" w:eastAsia="zh-CN"/>
        </w:rPr>
        <w:t>七、拟分包项目情况表</w:t>
      </w:r>
    </w:p>
    <w:p w14:paraId="0DA4D9D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八</w:t>
      </w:r>
      <w:r>
        <w:rPr>
          <w:rFonts w:hint="default" w:ascii="Times New Roman" w:hAnsi="Times New Roman" w:cs="Times New Roman"/>
          <w:color w:val="auto"/>
          <w:sz w:val="24"/>
          <w:highlight w:val="none"/>
        </w:rPr>
        <w:t>、资格审查资料</w:t>
      </w:r>
    </w:p>
    <w:p w14:paraId="4690C6A6">
      <w:pPr>
        <w:pageBreakBefore w:val="0"/>
        <w:kinsoku/>
        <w:wordWrap w:val="0"/>
        <w:overflowPunct/>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九</w:t>
      </w:r>
      <w:r>
        <w:rPr>
          <w:rFonts w:hint="default" w:ascii="Times New Roman" w:hAnsi="Times New Roman" w:cs="Times New Roman"/>
          <w:color w:val="auto"/>
          <w:sz w:val="24"/>
          <w:highlight w:val="none"/>
        </w:rPr>
        <w:t>、投标人告知承诺函</w:t>
      </w:r>
    </w:p>
    <w:p w14:paraId="64A59930">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十</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其他资料</w:t>
      </w:r>
    </w:p>
    <w:p w14:paraId="61F53621">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63ED4AEA">
      <w:pPr>
        <w:pStyle w:val="2"/>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color w:val="auto"/>
          <w:sz w:val="30"/>
          <w:szCs w:val="30"/>
          <w:highlight w:val="none"/>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902" w:name="_Toc234833254"/>
    </w:p>
    <w:bookmarkEnd w:id="1902"/>
    <w:p w14:paraId="3C5104DA">
      <w:pPr>
        <w:pStyle w:val="2"/>
        <w:pageBreakBefore w:val="0"/>
        <w:kinsoku/>
        <w:wordWrap w:val="0"/>
        <w:bidi w:val="0"/>
        <w:spacing w:before="0" w:after="0" w:line="400" w:lineRule="atLeast"/>
        <w:jc w:val="center"/>
        <w:outlineLvl w:val="1"/>
        <w:rPr>
          <w:rFonts w:hint="default" w:ascii="Times New Roman" w:hAnsi="Times New Roman" w:eastAsia="黑体" w:cs="Times New Roman"/>
          <w:b w:val="0"/>
          <w:color w:val="auto"/>
          <w:sz w:val="30"/>
          <w:szCs w:val="30"/>
          <w:highlight w:val="none"/>
        </w:rPr>
      </w:pPr>
      <w:bookmarkStart w:id="1903" w:name="_Toc25446"/>
      <w:bookmarkStart w:id="1904" w:name="_Toc26238"/>
      <w:bookmarkStart w:id="1905" w:name="_Toc234833255"/>
      <w:bookmarkStart w:id="1906" w:name="_Toc21625"/>
      <w:r>
        <w:rPr>
          <w:rFonts w:hint="default" w:ascii="Times New Roman" w:hAnsi="Times New Roman" w:eastAsia="黑体" w:cs="Times New Roman"/>
          <w:b w:val="0"/>
          <w:color w:val="auto"/>
          <w:sz w:val="30"/>
          <w:szCs w:val="30"/>
          <w:highlight w:val="none"/>
        </w:rPr>
        <w:t>一、投标函及投标函附录</w:t>
      </w:r>
      <w:bookmarkEnd w:id="1903"/>
      <w:bookmarkEnd w:id="1904"/>
      <w:bookmarkEnd w:id="1905"/>
      <w:bookmarkEnd w:id="1906"/>
    </w:p>
    <w:p w14:paraId="27A304AA">
      <w:pPr>
        <w:pStyle w:val="2"/>
        <w:pageBreakBefore w:val="0"/>
        <w:kinsoku/>
        <w:wordWrap w:val="0"/>
        <w:bidi w:val="0"/>
        <w:spacing w:before="360" w:beforeLines="150" w:after="240" w:afterLines="100" w:line="360" w:lineRule="atLeast"/>
        <w:jc w:val="center"/>
        <w:outlineLvl w:val="2"/>
        <w:rPr>
          <w:rFonts w:hint="default" w:ascii="Times New Roman" w:hAnsi="Times New Roman" w:eastAsia="黑体" w:cs="Times New Roman"/>
          <w:b w:val="0"/>
          <w:color w:val="auto"/>
          <w:sz w:val="28"/>
          <w:szCs w:val="28"/>
          <w:highlight w:val="none"/>
        </w:rPr>
      </w:pPr>
      <w:bookmarkStart w:id="1907" w:name="_Toc12342"/>
      <w:bookmarkStart w:id="1908" w:name="_Toc234833256"/>
      <w:bookmarkStart w:id="1909" w:name="_Toc18251"/>
      <w:bookmarkStart w:id="1910" w:name="_Toc585"/>
      <w:r>
        <w:rPr>
          <w:rFonts w:hint="default" w:ascii="Times New Roman" w:hAnsi="Times New Roman" w:eastAsia="黑体" w:cs="Times New Roman"/>
          <w:b w:val="0"/>
          <w:color w:val="auto"/>
          <w:sz w:val="28"/>
          <w:szCs w:val="28"/>
          <w:highlight w:val="none"/>
        </w:rPr>
        <w:t>（一） 投 标 函</w:t>
      </w:r>
      <w:bookmarkEnd w:id="1907"/>
      <w:bookmarkEnd w:id="1908"/>
      <w:bookmarkEnd w:id="1909"/>
      <w:bookmarkEnd w:id="1910"/>
    </w:p>
    <w:p w14:paraId="54789659">
      <w:pPr>
        <w:pageBreakBefore w:val="0"/>
        <w:kinsoku/>
        <w:wordWrap w:val="0"/>
        <w:bidi w:val="0"/>
        <w:spacing w:before="240" w:beforeLines="100" w:after="120" w:afterLines="50" w:line="36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33909B98">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0AD09B5E">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2．我方承诺在招标文件规定的投标有效期内不撤销投标文件。</w:t>
      </w:r>
    </w:p>
    <w:p w14:paraId="297F6ADD">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3．工程质量：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，安全目标：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，工期：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日历天。</w:t>
      </w:r>
    </w:p>
    <w:p w14:paraId="431A9C0E">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4．如我方中标，我方承诺：</w:t>
      </w:r>
    </w:p>
    <w:p w14:paraId="0CDBA5D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（1）在收到中标通知书后，在中标通知书规定的期限内与你方签订合同；</w:t>
      </w:r>
    </w:p>
    <w:p w14:paraId="1B2344B1">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（2）在签订合同时不向你方提出附加条件；</w:t>
      </w:r>
    </w:p>
    <w:p w14:paraId="0D0970D5">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（3）按照招标文件要求提交履约保证金；</w:t>
      </w:r>
      <w:bookmarkStart w:id="1911" w:name="_Toc369531694"/>
      <w:bookmarkStart w:id="1912" w:name="_Toc1187"/>
      <w:bookmarkStart w:id="1913" w:name="_Toc352691658"/>
    </w:p>
    <w:p w14:paraId="3D590F30">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（4）在合</w:t>
      </w:r>
      <w:bookmarkEnd w:id="1911"/>
      <w:bookmarkEnd w:id="1912"/>
      <w:bookmarkEnd w:id="1913"/>
      <w:r>
        <w:rPr>
          <w:rFonts w:hint="default" w:ascii="Times New Roman" w:hAnsi="Times New Roman" w:cs="Times New Roman"/>
          <w:color w:val="auto"/>
          <w:sz w:val="24"/>
          <w:highlight w:val="none"/>
        </w:rPr>
        <w:t>同约定的期限内完成合同规定的全部义务；</w:t>
      </w:r>
    </w:p>
    <w:p w14:paraId="22BCC551">
      <w:pPr>
        <w:pageBreakBefore w:val="0"/>
        <w:kinsoku/>
        <w:wordWrap w:val="0"/>
        <w:bidi w:val="0"/>
        <w:spacing w:line="360" w:lineRule="atLeast"/>
        <w:ind w:firstLine="480" w:firstLineChars="200"/>
        <w:rPr>
          <w:rFonts w:hint="default" w:ascii="Times New Roman" w:hAnsi="Times New Roman" w:cs="Times New Roman"/>
          <w:color w:val="auto"/>
          <w:sz w:val="24"/>
          <w:highlight w:val="none"/>
          <w:vertAlign w:val="superscript"/>
        </w:rPr>
      </w:pPr>
      <w:r>
        <w:rPr>
          <w:rFonts w:hint="default" w:ascii="Times New Roman" w:hAnsi="Times New Roman" w:cs="Times New Roman"/>
          <w:color w:val="auto"/>
          <w:sz w:val="24"/>
          <w:highlight w:val="none"/>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color w:val="auto"/>
          <w:sz w:val="24"/>
          <w:highlight w:val="none"/>
          <w:vertAlign w:val="superscript"/>
        </w:rPr>
        <w:footnoteReference w:id="56"/>
      </w:r>
    </w:p>
    <w:p w14:paraId="60F1082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5．我方在此声明，所递交的投标文件及有关资料内容完整、真实和准确，且不存在招标文件第二章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投标人须知</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第1.4.3项和第1.4.4项规定的任何一种情形。</w:t>
      </w:r>
    </w:p>
    <w:p w14:paraId="5CA1D4C6">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6．在合同协议书正式签署生效之前，本投标函连同你方的中标通知书将构成我们双方之间共同遵守的文件，对双方具有约束力。</w:t>
      </w:r>
    </w:p>
    <w:p w14:paraId="3187EE6A">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1DB694E4">
      <w:pPr>
        <w:pageBreakBefore w:val="0"/>
        <w:kinsoku/>
        <w:wordWrap w:val="0"/>
        <w:bidi w:val="0"/>
        <w:spacing w:line="360" w:lineRule="atLeast"/>
        <w:ind w:firstLine="480" w:firstLineChars="200"/>
        <w:rPr>
          <w:rFonts w:hint="default" w:ascii="Times New Roman" w:hAnsi="Times New Roman" w:cs="Times New Roman"/>
          <w:color w:val="auto"/>
          <w:sz w:val="24"/>
          <w:highlight w:val="none"/>
        </w:rPr>
      </w:pPr>
    </w:p>
    <w:p w14:paraId="1420A30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6BF38AF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bookmarkStart w:id="1914" w:name="_Toc26277"/>
      <w:bookmarkStart w:id="1915" w:name="_Toc23140"/>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bookmarkEnd w:id="1914"/>
      <w:bookmarkEnd w:id="1915"/>
    </w:p>
    <w:p w14:paraId="56A97B22">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62F6E9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75C40B1A">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495048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11F0E0A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p>
    <w:p w14:paraId="65E5D216">
      <w:pPr>
        <w:pageBreakBefore w:val="0"/>
        <w:kinsoku/>
        <w:wordWrap w:val="0"/>
        <w:overflowPunct/>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45DFC193">
      <w:pPr>
        <w:pStyle w:val="5"/>
        <w:pageBreakBefore w:val="0"/>
        <w:kinsoku/>
        <w:wordWrap w:val="0"/>
        <w:bidi w:val="0"/>
        <w:spacing w:before="360" w:beforeLines="150" w:after="240" w:afterLines="100" w:line="380" w:lineRule="atLeast"/>
        <w:jc w:val="center"/>
        <w:outlineLvl w:val="2"/>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color w:val="auto"/>
          <w:sz w:val="23"/>
          <w:szCs w:val="23"/>
          <w:highlight w:val="none"/>
        </w:rPr>
        <w:br w:type="page"/>
      </w:r>
      <w:bookmarkStart w:id="1916" w:name="_Toc27025"/>
      <w:bookmarkStart w:id="1917" w:name="_Toc30343"/>
      <w:bookmarkStart w:id="1918" w:name="_Toc234833257"/>
      <w:bookmarkStart w:id="1919" w:name="_Toc27486"/>
      <w:r>
        <w:rPr>
          <w:rFonts w:hint="default" w:ascii="Times New Roman" w:hAnsi="Times New Roman" w:eastAsia="黑体" w:cs="Times New Roman"/>
          <w:b w:val="0"/>
          <w:color w:val="auto"/>
          <w:sz w:val="30"/>
          <w:szCs w:val="30"/>
          <w:highlight w:val="none"/>
        </w:rPr>
        <w:t>（二）投标函附录</w:t>
      </w:r>
      <w:bookmarkEnd w:id="1916"/>
      <w:bookmarkEnd w:id="1917"/>
      <w:bookmarkEnd w:id="1918"/>
      <w:bookmarkEnd w:id="1919"/>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51F7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4D5736B">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2710" w:type="dxa"/>
            <w:noWrap w:val="0"/>
            <w:vAlign w:val="center"/>
          </w:tcPr>
          <w:p w14:paraId="619D5541">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条款名称</w:t>
            </w:r>
          </w:p>
        </w:tc>
        <w:tc>
          <w:tcPr>
            <w:tcW w:w="1185" w:type="dxa"/>
            <w:noWrap w:val="0"/>
            <w:vAlign w:val="center"/>
          </w:tcPr>
          <w:p w14:paraId="72367B75">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合同条目号</w:t>
            </w:r>
          </w:p>
        </w:tc>
        <w:tc>
          <w:tcPr>
            <w:tcW w:w="3613" w:type="dxa"/>
            <w:noWrap w:val="0"/>
            <w:vAlign w:val="center"/>
          </w:tcPr>
          <w:p w14:paraId="6DCCAF27">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约定内容</w:t>
            </w:r>
          </w:p>
        </w:tc>
        <w:tc>
          <w:tcPr>
            <w:tcW w:w="749" w:type="dxa"/>
            <w:noWrap w:val="0"/>
            <w:vAlign w:val="center"/>
          </w:tcPr>
          <w:p w14:paraId="2296B403">
            <w:pPr>
              <w:pageBreakBefore w:val="0"/>
              <w:kinsoku/>
              <w:wordWrap w:val="0"/>
              <w:bidi w:val="0"/>
              <w:spacing w:line="400" w:lineRule="atLeast"/>
              <w:ind w:left="-105" w:leftChars="-50" w:right="-105" w:rightChars="-5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0FBC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6061369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710" w:type="dxa"/>
            <w:noWrap w:val="0"/>
            <w:vAlign w:val="center"/>
          </w:tcPr>
          <w:p w14:paraId="0D85AB2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185" w:type="dxa"/>
            <w:noWrap w:val="0"/>
            <w:vAlign w:val="center"/>
          </w:tcPr>
          <w:p w14:paraId="1FF11D6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1.1.4.5</w:t>
            </w:r>
          </w:p>
        </w:tc>
        <w:tc>
          <w:tcPr>
            <w:tcW w:w="3613" w:type="dxa"/>
            <w:noWrap w:val="0"/>
            <w:vAlign w:val="center"/>
          </w:tcPr>
          <w:p w14:paraId="57E7294B">
            <w:pPr>
              <w:pageBreakBefore w:val="0"/>
              <w:kinsoku/>
              <w:wordWrap w:val="0"/>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40D89B5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F6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6C6AA6C">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710" w:type="dxa"/>
            <w:noWrap w:val="0"/>
            <w:vAlign w:val="center"/>
          </w:tcPr>
          <w:p w14:paraId="55DA687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w:t>
            </w:r>
          </w:p>
        </w:tc>
        <w:tc>
          <w:tcPr>
            <w:tcW w:w="1185" w:type="dxa"/>
            <w:noWrap w:val="0"/>
            <w:vAlign w:val="center"/>
          </w:tcPr>
          <w:p w14:paraId="5E8D6CB2">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65DAB7A4">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2CAB58F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2D2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190911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710" w:type="dxa"/>
            <w:noWrap w:val="0"/>
            <w:vAlign w:val="center"/>
          </w:tcPr>
          <w:p w14:paraId="756742E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逾期交工违约金限额</w:t>
            </w:r>
          </w:p>
        </w:tc>
        <w:tc>
          <w:tcPr>
            <w:tcW w:w="1185" w:type="dxa"/>
            <w:noWrap w:val="0"/>
            <w:vAlign w:val="center"/>
          </w:tcPr>
          <w:p w14:paraId="3FBDC60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11.5（3）</w:t>
            </w:r>
          </w:p>
        </w:tc>
        <w:tc>
          <w:tcPr>
            <w:tcW w:w="3613" w:type="dxa"/>
            <w:noWrap w:val="0"/>
            <w:vAlign w:val="center"/>
          </w:tcPr>
          <w:p w14:paraId="2CC14D85">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18D9DD9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757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EC18F1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710" w:type="dxa"/>
            <w:noWrap w:val="0"/>
            <w:vAlign w:val="center"/>
          </w:tcPr>
          <w:p w14:paraId="66DD692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提前交工的奖金 </w:t>
            </w:r>
          </w:p>
        </w:tc>
        <w:tc>
          <w:tcPr>
            <w:tcW w:w="1185" w:type="dxa"/>
            <w:noWrap w:val="0"/>
            <w:vAlign w:val="center"/>
          </w:tcPr>
          <w:p w14:paraId="1F6B86C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788ABF0F">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元/天</w:t>
            </w:r>
          </w:p>
        </w:tc>
        <w:tc>
          <w:tcPr>
            <w:tcW w:w="749" w:type="dxa"/>
            <w:noWrap w:val="0"/>
            <w:vAlign w:val="center"/>
          </w:tcPr>
          <w:p w14:paraId="25F3835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184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699D6B9">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710" w:type="dxa"/>
            <w:noWrap w:val="0"/>
            <w:vAlign w:val="center"/>
          </w:tcPr>
          <w:p w14:paraId="30319EB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提前交工的奖金限额</w:t>
            </w:r>
          </w:p>
        </w:tc>
        <w:tc>
          <w:tcPr>
            <w:tcW w:w="1185" w:type="dxa"/>
            <w:noWrap w:val="0"/>
            <w:vAlign w:val="center"/>
          </w:tcPr>
          <w:p w14:paraId="1B9D56D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11.6</w:t>
            </w:r>
          </w:p>
        </w:tc>
        <w:tc>
          <w:tcPr>
            <w:tcW w:w="3613" w:type="dxa"/>
            <w:noWrap w:val="0"/>
            <w:vAlign w:val="center"/>
          </w:tcPr>
          <w:p w14:paraId="2D38906C">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3AAAE21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836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06D27E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710" w:type="dxa"/>
            <w:noWrap w:val="0"/>
            <w:vAlign w:val="center"/>
          </w:tcPr>
          <w:p w14:paraId="38485AB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价格调整的差额计算</w:t>
            </w:r>
          </w:p>
        </w:tc>
        <w:tc>
          <w:tcPr>
            <w:tcW w:w="1185" w:type="dxa"/>
            <w:noWrap w:val="0"/>
            <w:vAlign w:val="center"/>
          </w:tcPr>
          <w:p w14:paraId="2B6502E9">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16.1.1</w:t>
            </w:r>
          </w:p>
        </w:tc>
        <w:tc>
          <w:tcPr>
            <w:tcW w:w="3613" w:type="dxa"/>
            <w:noWrap w:val="0"/>
            <w:vAlign w:val="center"/>
          </w:tcPr>
          <w:p w14:paraId="10130025">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见价格指数和权重表</w:t>
            </w:r>
          </w:p>
        </w:tc>
        <w:tc>
          <w:tcPr>
            <w:tcW w:w="749" w:type="dxa"/>
            <w:noWrap w:val="0"/>
            <w:vAlign w:val="center"/>
          </w:tcPr>
          <w:p w14:paraId="714C539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DF5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BAB94B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710" w:type="dxa"/>
            <w:noWrap w:val="0"/>
            <w:vAlign w:val="center"/>
          </w:tcPr>
          <w:p w14:paraId="03F8BB4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开工预付款金额</w:t>
            </w:r>
          </w:p>
        </w:tc>
        <w:tc>
          <w:tcPr>
            <w:tcW w:w="1185" w:type="dxa"/>
            <w:noWrap w:val="0"/>
            <w:vAlign w:val="center"/>
          </w:tcPr>
          <w:p w14:paraId="4BA71D74">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17.2.1（1）</w:t>
            </w:r>
          </w:p>
        </w:tc>
        <w:tc>
          <w:tcPr>
            <w:tcW w:w="3613" w:type="dxa"/>
            <w:noWrap w:val="0"/>
            <w:vAlign w:val="center"/>
          </w:tcPr>
          <w:p w14:paraId="226F58A9">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w:t>
            </w:r>
          </w:p>
        </w:tc>
        <w:tc>
          <w:tcPr>
            <w:tcW w:w="749" w:type="dxa"/>
            <w:noWrap w:val="0"/>
            <w:vAlign w:val="center"/>
          </w:tcPr>
          <w:p w14:paraId="5C77B67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383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F62C03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710" w:type="dxa"/>
            <w:noWrap w:val="0"/>
            <w:vAlign w:val="center"/>
          </w:tcPr>
          <w:p w14:paraId="411218C7">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材料、设备预付款比例</w:t>
            </w:r>
          </w:p>
        </w:tc>
        <w:tc>
          <w:tcPr>
            <w:tcW w:w="1185" w:type="dxa"/>
            <w:noWrap w:val="0"/>
            <w:vAlign w:val="center"/>
          </w:tcPr>
          <w:p w14:paraId="484944F3">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17.2.1（2）</w:t>
            </w:r>
          </w:p>
        </w:tc>
        <w:tc>
          <w:tcPr>
            <w:tcW w:w="3613" w:type="dxa"/>
            <w:noWrap w:val="0"/>
            <w:vAlign w:val="center"/>
          </w:tcPr>
          <w:p w14:paraId="2FAF4128">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等主要材料、设备单据所列费用的</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tc>
        <w:tc>
          <w:tcPr>
            <w:tcW w:w="749" w:type="dxa"/>
            <w:noWrap w:val="0"/>
            <w:vAlign w:val="center"/>
          </w:tcPr>
          <w:p w14:paraId="5AA5BDD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A83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42EE15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710" w:type="dxa"/>
            <w:noWrap w:val="0"/>
            <w:vAlign w:val="center"/>
          </w:tcPr>
          <w:p w14:paraId="7A33F46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进度付款证书最低限额</w:t>
            </w:r>
          </w:p>
        </w:tc>
        <w:tc>
          <w:tcPr>
            <w:tcW w:w="1185" w:type="dxa"/>
            <w:noWrap w:val="0"/>
            <w:vAlign w:val="center"/>
          </w:tcPr>
          <w:p w14:paraId="2416F088">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17.3.3（1）</w:t>
            </w:r>
          </w:p>
        </w:tc>
        <w:tc>
          <w:tcPr>
            <w:tcW w:w="3613" w:type="dxa"/>
            <w:noWrap w:val="0"/>
            <w:vAlign w:val="center"/>
          </w:tcPr>
          <w:p w14:paraId="3709F2E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%签约合同价或</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万元</w:t>
            </w:r>
          </w:p>
        </w:tc>
        <w:tc>
          <w:tcPr>
            <w:tcW w:w="749" w:type="dxa"/>
            <w:noWrap w:val="0"/>
            <w:vAlign w:val="center"/>
          </w:tcPr>
          <w:p w14:paraId="3DFD6A7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89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7552C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2710" w:type="dxa"/>
            <w:noWrap w:val="0"/>
            <w:vAlign w:val="center"/>
          </w:tcPr>
          <w:p w14:paraId="50F7A0F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逾期付款违约金的利率</w:t>
            </w:r>
          </w:p>
        </w:tc>
        <w:tc>
          <w:tcPr>
            <w:tcW w:w="1185" w:type="dxa"/>
            <w:noWrap w:val="0"/>
            <w:vAlign w:val="center"/>
          </w:tcPr>
          <w:p w14:paraId="383D79AA">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17.3.3（2）</w:t>
            </w:r>
          </w:p>
        </w:tc>
        <w:tc>
          <w:tcPr>
            <w:tcW w:w="3613" w:type="dxa"/>
            <w:noWrap w:val="0"/>
            <w:vAlign w:val="center"/>
          </w:tcPr>
          <w:p w14:paraId="793E5750">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w:t>
            </w:r>
          </w:p>
        </w:tc>
        <w:tc>
          <w:tcPr>
            <w:tcW w:w="749" w:type="dxa"/>
            <w:noWrap w:val="0"/>
            <w:vAlign w:val="center"/>
          </w:tcPr>
          <w:p w14:paraId="24C461F2">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147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5A43D3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11</w:t>
            </w:r>
          </w:p>
        </w:tc>
        <w:tc>
          <w:tcPr>
            <w:tcW w:w="2710" w:type="dxa"/>
            <w:noWrap w:val="0"/>
            <w:vAlign w:val="center"/>
          </w:tcPr>
          <w:p w14:paraId="76668A8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质量保证金金额</w:t>
            </w:r>
          </w:p>
        </w:tc>
        <w:tc>
          <w:tcPr>
            <w:tcW w:w="1185" w:type="dxa"/>
            <w:noWrap w:val="0"/>
            <w:vAlign w:val="center"/>
          </w:tcPr>
          <w:p w14:paraId="120D99CC">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17.4.1</w:t>
            </w:r>
          </w:p>
        </w:tc>
        <w:tc>
          <w:tcPr>
            <w:tcW w:w="3613" w:type="dxa"/>
            <w:noWrap w:val="0"/>
            <w:vAlign w:val="center"/>
          </w:tcPr>
          <w:p w14:paraId="0B123E0B">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%合同价格，若交工验收时承包人具备被</w:t>
            </w:r>
            <w:r>
              <w:rPr>
                <w:rFonts w:hint="eastAsia" w:cs="Times New Roman"/>
                <w:color w:val="auto"/>
                <w:szCs w:val="21"/>
                <w:highlight w:val="none"/>
                <w:lang w:val="en-US" w:eastAsia="zh-CN"/>
              </w:rPr>
              <w:t>辽宁省交通运输厅</w:t>
            </w:r>
            <w:r>
              <w:rPr>
                <w:rFonts w:hint="default" w:ascii="Times New Roman" w:hAnsi="Times New Roman" w:cs="Times New Roman"/>
                <w:color w:val="auto"/>
                <w:szCs w:val="21"/>
                <w:highlight w:val="none"/>
              </w:rPr>
              <w:t>评定的最高信用等级，发包人给予</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%合同价格质量保证金的优惠</w:t>
            </w:r>
          </w:p>
        </w:tc>
        <w:tc>
          <w:tcPr>
            <w:tcW w:w="749" w:type="dxa"/>
            <w:noWrap w:val="0"/>
            <w:vAlign w:val="center"/>
          </w:tcPr>
          <w:p w14:paraId="06B0762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3D9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216EB9E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w:t>
            </w:r>
          </w:p>
        </w:tc>
        <w:tc>
          <w:tcPr>
            <w:tcW w:w="2710" w:type="dxa"/>
            <w:noWrap w:val="0"/>
            <w:vAlign w:val="center"/>
          </w:tcPr>
          <w:p w14:paraId="64C9743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保修期</w:t>
            </w:r>
          </w:p>
        </w:tc>
        <w:tc>
          <w:tcPr>
            <w:tcW w:w="1185" w:type="dxa"/>
            <w:noWrap w:val="0"/>
            <w:vAlign w:val="center"/>
          </w:tcPr>
          <w:p w14:paraId="7387A5C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19.7（1）</w:t>
            </w:r>
          </w:p>
        </w:tc>
        <w:tc>
          <w:tcPr>
            <w:tcW w:w="3613" w:type="dxa"/>
            <w:noWrap w:val="0"/>
            <w:vAlign w:val="center"/>
          </w:tcPr>
          <w:p w14:paraId="18859C61">
            <w:pPr>
              <w:pageBreakBefore w:val="0"/>
              <w:kinsoku/>
              <w:wordWrap w:val="0"/>
              <w:bidi w:val="0"/>
              <w:snapToGrid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自实际交工日期起计算</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749" w:type="dxa"/>
            <w:noWrap w:val="0"/>
            <w:vAlign w:val="center"/>
          </w:tcPr>
          <w:p w14:paraId="71D67212">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0A929022">
      <w:pPr>
        <w:pageBreakBefore w:val="0"/>
        <w:kinsoku/>
        <w:wordWrap w:val="0"/>
        <w:bidi w:val="0"/>
        <w:snapToGrid w:val="0"/>
        <w:spacing w:line="400" w:lineRule="atLeast"/>
        <w:ind w:firstLine="3240" w:firstLineChars="1350"/>
        <w:rPr>
          <w:rFonts w:hint="default" w:ascii="Times New Roman" w:hAnsi="Times New Roman" w:cs="Times New Roman"/>
          <w:color w:val="auto"/>
          <w:sz w:val="24"/>
          <w:highlight w:val="none"/>
        </w:rPr>
      </w:pPr>
    </w:p>
    <w:p w14:paraId="3E407549">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37A4FCB">
      <w:pPr>
        <w:pageBreakBefore w:val="0"/>
        <w:kinsoku/>
        <w:wordWrap w:val="0"/>
        <w:bidi w:val="0"/>
        <w:spacing w:line="440" w:lineRule="exac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br w:type="page"/>
      </w:r>
      <w:r>
        <w:rPr>
          <w:rFonts w:hint="default" w:ascii="Times New Roman" w:hAnsi="Times New Roman" w:eastAsia="黑体" w:cs="Times New Roman"/>
          <w:color w:val="auto"/>
          <w:sz w:val="24"/>
          <w:highlight w:val="none"/>
        </w:rPr>
        <w:t>价格指数和权重表</w:t>
      </w:r>
    </w:p>
    <w:p w14:paraId="52D9C3DC">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4D3B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3606090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1648" w:type="dxa"/>
            <w:gridSpan w:val="2"/>
            <w:noWrap w:val="0"/>
            <w:vAlign w:val="center"/>
          </w:tcPr>
          <w:p w14:paraId="5D194659">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基本价格指数</w:t>
            </w:r>
          </w:p>
        </w:tc>
        <w:tc>
          <w:tcPr>
            <w:tcW w:w="3544" w:type="dxa"/>
            <w:gridSpan w:val="3"/>
            <w:noWrap w:val="0"/>
            <w:vAlign w:val="center"/>
          </w:tcPr>
          <w:p w14:paraId="67A42FB1">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权       重</w:t>
            </w:r>
          </w:p>
        </w:tc>
        <w:tc>
          <w:tcPr>
            <w:tcW w:w="1970" w:type="dxa"/>
            <w:vMerge w:val="restart"/>
            <w:noWrap w:val="0"/>
            <w:vAlign w:val="center"/>
          </w:tcPr>
          <w:p w14:paraId="4940A462">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价格指数来源</w:t>
            </w:r>
          </w:p>
        </w:tc>
      </w:tr>
      <w:tr w14:paraId="0558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70E5CBE6">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748" w:type="dxa"/>
            <w:noWrap w:val="0"/>
            <w:vAlign w:val="center"/>
          </w:tcPr>
          <w:p w14:paraId="1433C5EC">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900" w:type="dxa"/>
            <w:noWrap w:val="0"/>
            <w:vAlign w:val="center"/>
          </w:tcPr>
          <w:p w14:paraId="572553AC">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指数值</w:t>
            </w:r>
          </w:p>
        </w:tc>
        <w:tc>
          <w:tcPr>
            <w:tcW w:w="648" w:type="dxa"/>
            <w:noWrap w:val="0"/>
            <w:vAlign w:val="center"/>
          </w:tcPr>
          <w:p w14:paraId="274715D6">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代号</w:t>
            </w:r>
          </w:p>
        </w:tc>
        <w:tc>
          <w:tcPr>
            <w:tcW w:w="1266" w:type="dxa"/>
            <w:noWrap w:val="0"/>
            <w:vAlign w:val="center"/>
          </w:tcPr>
          <w:p w14:paraId="0355492D">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允许范围</w:t>
            </w:r>
          </w:p>
        </w:tc>
        <w:tc>
          <w:tcPr>
            <w:tcW w:w="1630" w:type="dxa"/>
            <w:noWrap w:val="0"/>
            <w:vAlign w:val="center"/>
          </w:tcPr>
          <w:p w14:paraId="58FF4DB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投标人建议值</w:t>
            </w:r>
          </w:p>
        </w:tc>
        <w:tc>
          <w:tcPr>
            <w:tcW w:w="1970" w:type="dxa"/>
            <w:vMerge w:val="continue"/>
            <w:noWrap w:val="0"/>
            <w:vAlign w:val="center"/>
          </w:tcPr>
          <w:p w14:paraId="66284A0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1D62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08603AA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定值部分</w:t>
            </w:r>
          </w:p>
        </w:tc>
        <w:tc>
          <w:tcPr>
            <w:tcW w:w="748" w:type="dxa"/>
            <w:noWrap w:val="0"/>
            <w:vAlign w:val="center"/>
          </w:tcPr>
          <w:p w14:paraId="0CE67AA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107F629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8F7019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p>
        </w:tc>
        <w:tc>
          <w:tcPr>
            <w:tcW w:w="1266" w:type="dxa"/>
            <w:noWrap w:val="0"/>
            <w:vAlign w:val="center"/>
          </w:tcPr>
          <w:p w14:paraId="132DF3BA">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630" w:type="dxa"/>
            <w:noWrap w:val="0"/>
            <w:vAlign w:val="center"/>
          </w:tcPr>
          <w:p w14:paraId="0D344F6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c>
          <w:tcPr>
            <w:tcW w:w="1970" w:type="dxa"/>
            <w:noWrap w:val="0"/>
            <w:vAlign w:val="center"/>
          </w:tcPr>
          <w:p w14:paraId="7E1087C8">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p>
        </w:tc>
      </w:tr>
      <w:tr w14:paraId="600C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1A658F1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变值部分</w:t>
            </w:r>
          </w:p>
        </w:tc>
        <w:tc>
          <w:tcPr>
            <w:tcW w:w="872" w:type="dxa"/>
            <w:noWrap w:val="0"/>
            <w:vAlign w:val="center"/>
          </w:tcPr>
          <w:p w14:paraId="04F700B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人工费</w:t>
            </w:r>
          </w:p>
        </w:tc>
        <w:tc>
          <w:tcPr>
            <w:tcW w:w="748" w:type="dxa"/>
            <w:noWrap w:val="0"/>
            <w:vAlign w:val="center"/>
          </w:tcPr>
          <w:p w14:paraId="61D5CFC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vertAlign w:val="subscript"/>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01</w:t>
            </w:r>
          </w:p>
        </w:tc>
        <w:tc>
          <w:tcPr>
            <w:tcW w:w="900" w:type="dxa"/>
            <w:noWrap w:val="0"/>
            <w:vAlign w:val="center"/>
          </w:tcPr>
          <w:p w14:paraId="31CB097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4861B5D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1</w:t>
            </w:r>
          </w:p>
        </w:tc>
        <w:tc>
          <w:tcPr>
            <w:tcW w:w="1266" w:type="dxa"/>
            <w:noWrap w:val="0"/>
            <w:vAlign w:val="top"/>
          </w:tcPr>
          <w:p w14:paraId="74F501E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351A590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2943A5F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427B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2BE7A06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1241A2A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钢材</w:t>
            </w:r>
          </w:p>
        </w:tc>
        <w:tc>
          <w:tcPr>
            <w:tcW w:w="748" w:type="dxa"/>
            <w:noWrap w:val="0"/>
            <w:vAlign w:val="center"/>
          </w:tcPr>
          <w:p w14:paraId="637FB2D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02</w:t>
            </w:r>
          </w:p>
        </w:tc>
        <w:tc>
          <w:tcPr>
            <w:tcW w:w="900" w:type="dxa"/>
            <w:noWrap w:val="0"/>
            <w:vAlign w:val="center"/>
          </w:tcPr>
          <w:p w14:paraId="7816E00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2B91BAD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2</w:t>
            </w:r>
          </w:p>
        </w:tc>
        <w:tc>
          <w:tcPr>
            <w:tcW w:w="1266" w:type="dxa"/>
            <w:noWrap w:val="0"/>
            <w:vAlign w:val="top"/>
          </w:tcPr>
          <w:p w14:paraId="62A8670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68FB35D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4AA7FFD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6C2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1D60DC9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5D285DA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水泥</w:t>
            </w:r>
          </w:p>
        </w:tc>
        <w:tc>
          <w:tcPr>
            <w:tcW w:w="748" w:type="dxa"/>
            <w:noWrap w:val="0"/>
            <w:vAlign w:val="center"/>
          </w:tcPr>
          <w:p w14:paraId="5BB5100C">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F</w:t>
            </w:r>
            <w:r>
              <w:rPr>
                <w:rFonts w:hint="default" w:ascii="Times New Roman" w:hAnsi="Times New Roman" w:cs="Times New Roman"/>
                <w:color w:val="auto"/>
                <w:szCs w:val="21"/>
                <w:highlight w:val="none"/>
                <w:vertAlign w:val="subscript"/>
              </w:rPr>
              <w:t>03</w:t>
            </w:r>
          </w:p>
        </w:tc>
        <w:tc>
          <w:tcPr>
            <w:tcW w:w="900" w:type="dxa"/>
            <w:noWrap w:val="0"/>
            <w:vAlign w:val="center"/>
          </w:tcPr>
          <w:p w14:paraId="4ADFFFB7">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DDB020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w:t>
            </w:r>
            <w:r>
              <w:rPr>
                <w:rFonts w:hint="default" w:ascii="Times New Roman" w:hAnsi="Times New Roman" w:cs="Times New Roman"/>
                <w:color w:val="auto"/>
                <w:szCs w:val="21"/>
                <w:highlight w:val="none"/>
                <w:vertAlign w:val="subscript"/>
              </w:rPr>
              <w:t>3</w:t>
            </w:r>
          </w:p>
        </w:tc>
        <w:tc>
          <w:tcPr>
            <w:tcW w:w="1266" w:type="dxa"/>
            <w:noWrap w:val="0"/>
            <w:vAlign w:val="top"/>
          </w:tcPr>
          <w:p w14:paraId="499A3C8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至</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 xml:space="preserve">  </w:t>
            </w:r>
          </w:p>
        </w:tc>
        <w:tc>
          <w:tcPr>
            <w:tcW w:w="1630" w:type="dxa"/>
            <w:noWrap w:val="0"/>
            <w:vAlign w:val="top"/>
          </w:tcPr>
          <w:p w14:paraId="6D9ECD7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03642C4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0289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58EAF61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7C005D39">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48" w:type="dxa"/>
            <w:noWrap w:val="0"/>
            <w:vAlign w:val="center"/>
          </w:tcPr>
          <w:p w14:paraId="78856C0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00" w:type="dxa"/>
            <w:noWrap w:val="0"/>
            <w:vAlign w:val="center"/>
          </w:tcPr>
          <w:p w14:paraId="7FB6129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60E8344B">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66" w:type="dxa"/>
            <w:noWrap w:val="0"/>
            <w:vAlign w:val="top"/>
          </w:tcPr>
          <w:p w14:paraId="07F74CB0">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630" w:type="dxa"/>
            <w:noWrap w:val="0"/>
            <w:vAlign w:val="top"/>
          </w:tcPr>
          <w:p w14:paraId="2DFE13A5">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36C51021">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108E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06E42BF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872" w:type="dxa"/>
            <w:noWrap w:val="0"/>
            <w:vAlign w:val="center"/>
          </w:tcPr>
          <w:p w14:paraId="73C30204">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748" w:type="dxa"/>
            <w:noWrap w:val="0"/>
            <w:vAlign w:val="center"/>
          </w:tcPr>
          <w:p w14:paraId="50372942">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900" w:type="dxa"/>
            <w:noWrap w:val="0"/>
            <w:vAlign w:val="center"/>
          </w:tcPr>
          <w:p w14:paraId="0791EE98">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648" w:type="dxa"/>
            <w:noWrap w:val="0"/>
            <w:vAlign w:val="center"/>
          </w:tcPr>
          <w:p w14:paraId="14546B8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266" w:type="dxa"/>
            <w:noWrap w:val="0"/>
            <w:vAlign w:val="top"/>
          </w:tcPr>
          <w:p w14:paraId="636468B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630" w:type="dxa"/>
            <w:noWrap w:val="0"/>
            <w:vAlign w:val="top"/>
          </w:tcPr>
          <w:p w14:paraId="17D218A3">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c>
          <w:tcPr>
            <w:tcW w:w="1970" w:type="dxa"/>
            <w:noWrap w:val="0"/>
            <w:vAlign w:val="top"/>
          </w:tcPr>
          <w:p w14:paraId="0E51B64D">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r w14:paraId="47A3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5CB167E1">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        计</w:t>
            </w:r>
          </w:p>
        </w:tc>
        <w:tc>
          <w:tcPr>
            <w:tcW w:w="1630" w:type="dxa"/>
            <w:noWrap w:val="0"/>
            <w:vAlign w:val="center"/>
          </w:tcPr>
          <w:p w14:paraId="0E65193E">
            <w:pPr>
              <w:pageBreakBefore w:val="0"/>
              <w:kinsoku/>
              <w:wordWrap w:val="0"/>
              <w:bidi w:val="0"/>
              <w:spacing w:before="480" w:beforeLines="200" w:after="480" w:afterLines="200" w:line="24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c>
          <w:tcPr>
            <w:tcW w:w="1970" w:type="dxa"/>
            <w:noWrap w:val="0"/>
            <w:vAlign w:val="top"/>
          </w:tcPr>
          <w:p w14:paraId="2E481786">
            <w:pPr>
              <w:pageBreakBefore w:val="0"/>
              <w:kinsoku/>
              <w:wordWrap w:val="0"/>
              <w:bidi w:val="0"/>
              <w:spacing w:before="480" w:beforeLines="200" w:after="480" w:afterLines="200" w:line="240" w:lineRule="atLeast"/>
              <w:rPr>
                <w:rFonts w:hint="default" w:ascii="Times New Roman" w:hAnsi="Times New Roman" w:cs="Times New Roman"/>
                <w:color w:val="auto"/>
                <w:szCs w:val="21"/>
                <w:highlight w:val="none"/>
              </w:rPr>
            </w:pPr>
          </w:p>
        </w:tc>
      </w:tr>
    </w:tbl>
    <w:p w14:paraId="054013CC">
      <w:pPr>
        <w:pageBreakBefore w:val="0"/>
        <w:kinsoku/>
        <w:wordWrap w:val="0"/>
        <w:bidi w:val="0"/>
        <w:spacing w:line="440" w:lineRule="exact"/>
        <w:rPr>
          <w:rFonts w:hint="default" w:ascii="Times New Roman" w:hAnsi="Times New Roman" w:eastAsia="黑体" w:cs="Times New Roman"/>
          <w:color w:val="auto"/>
          <w:sz w:val="24"/>
          <w:highlight w:val="none"/>
        </w:rPr>
      </w:pPr>
    </w:p>
    <w:p w14:paraId="1ED4A662">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7FC56732">
      <w:pPr>
        <w:rPr>
          <w:rFonts w:hint="default" w:ascii="Times New Roman" w:hAnsi="Times New Roman" w:cs="Times New Roman"/>
          <w:color w:val="auto"/>
          <w:highlight w:val="none"/>
        </w:rPr>
      </w:pPr>
      <w:bookmarkStart w:id="1920" w:name="_Toc234833261"/>
    </w:p>
    <w:p w14:paraId="134D9F46">
      <w:pPr>
        <w:rPr>
          <w:rFonts w:hint="default" w:ascii="Times New Roman" w:hAnsi="Times New Roman" w:cs="Times New Roman"/>
          <w:color w:val="auto"/>
          <w:highlight w:val="none"/>
        </w:rPr>
      </w:pPr>
    </w:p>
    <w:p w14:paraId="50C60D6C">
      <w:pPr>
        <w:rPr>
          <w:rFonts w:hint="default" w:ascii="Times New Roman" w:hAnsi="Times New Roman" w:cs="Times New Roman"/>
          <w:color w:val="auto"/>
          <w:highlight w:val="none"/>
        </w:rPr>
      </w:pPr>
    </w:p>
    <w:p w14:paraId="2BDB5227">
      <w:pPr>
        <w:rPr>
          <w:rFonts w:hint="default" w:ascii="Times New Roman" w:hAnsi="Times New Roman" w:cs="Times New Roman"/>
          <w:color w:val="auto"/>
          <w:highlight w:val="none"/>
        </w:rPr>
      </w:pPr>
    </w:p>
    <w:p w14:paraId="38C6966E">
      <w:pPr>
        <w:rPr>
          <w:rFonts w:hint="default" w:ascii="Times New Roman" w:hAnsi="Times New Roman" w:cs="Times New Roman"/>
          <w:color w:val="auto"/>
          <w:highlight w:val="none"/>
        </w:rPr>
      </w:pPr>
    </w:p>
    <w:p w14:paraId="549AC373">
      <w:pPr>
        <w:rPr>
          <w:rFonts w:hint="default" w:ascii="Times New Roman" w:hAnsi="Times New Roman" w:cs="Times New Roman"/>
          <w:color w:val="auto"/>
          <w:highlight w:val="none"/>
        </w:rPr>
      </w:pPr>
    </w:p>
    <w:p w14:paraId="7E802969">
      <w:pPr>
        <w:rPr>
          <w:rFonts w:hint="default" w:ascii="Times New Roman" w:hAnsi="Times New Roman" w:cs="Times New Roman"/>
          <w:color w:val="auto"/>
          <w:highlight w:val="none"/>
        </w:rPr>
      </w:pPr>
    </w:p>
    <w:p w14:paraId="6B82B897">
      <w:pPr>
        <w:rPr>
          <w:rFonts w:hint="default" w:ascii="Times New Roman" w:hAnsi="Times New Roman" w:cs="Times New Roman"/>
          <w:color w:val="auto"/>
          <w:highlight w:val="none"/>
        </w:rPr>
      </w:pPr>
    </w:p>
    <w:p w14:paraId="02F80A6E">
      <w:pPr>
        <w:rPr>
          <w:rFonts w:hint="default" w:ascii="Times New Roman" w:hAnsi="Times New Roman" w:cs="Times New Roman"/>
          <w:color w:val="auto"/>
          <w:highlight w:val="none"/>
        </w:rPr>
      </w:pPr>
    </w:p>
    <w:p w14:paraId="7CDF3D84">
      <w:pPr>
        <w:rPr>
          <w:rFonts w:hint="default" w:ascii="Times New Roman" w:hAnsi="Times New Roman" w:cs="Times New Roman"/>
          <w:color w:val="auto"/>
          <w:highlight w:val="none"/>
        </w:rPr>
      </w:pPr>
    </w:p>
    <w:p w14:paraId="42C62720">
      <w:pPr>
        <w:rPr>
          <w:rFonts w:hint="default" w:ascii="Times New Roman" w:hAnsi="Times New Roman" w:cs="Times New Roman"/>
          <w:color w:val="auto"/>
          <w:highlight w:val="none"/>
        </w:rPr>
      </w:pPr>
    </w:p>
    <w:p w14:paraId="46B56DAC">
      <w:pPr>
        <w:jc w:val="center"/>
        <w:rPr>
          <w:rFonts w:hint="default" w:ascii="Times New Roman" w:hAnsi="Times New Roman" w:cs="Times New Roman"/>
          <w:color w:val="auto"/>
          <w:highlight w:val="none"/>
        </w:rPr>
      </w:pPr>
    </w:p>
    <w:p w14:paraId="7E7671D6">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color w:val="auto"/>
          <w:kern w:val="0"/>
          <w:sz w:val="28"/>
          <w:highlight w:val="none"/>
        </w:rPr>
      </w:pPr>
      <w:bookmarkStart w:id="1921" w:name="_Toc458576166"/>
      <w:bookmarkStart w:id="1922" w:name="_Toc112032692"/>
      <w:bookmarkStart w:id="1923" w:name="_Toc26154"/>
      <w:bookmarkStart w:id="1924" w:name="_Toc14724"/>
      <w:bookmarkStart w:id="1925" w:name="_Toc137074942"/>
      <w:bookmarkStart w:id="1926" w:name="_Toc12173"/>
      <w:bookmarkStart w:id="1927" w:name="_Toc5786"/>
      <w:bookmarkStart w:id="1928" w:name="_Toc10083"/>
      <w:bookmarkStart w:id="1929" w:name="_Toc438571660"/>
      <w:bookmarkStart w:id="1930" w:name="_Toc500352763"/>
      <w:r>
        <w:rPr>
          <w:rFonts w:hint="default" w:ascii="Times New Roman" w:hAnsi="Times New Roman" w:cs="Times New Roman"/>
          <w:bCs w:val="0"/>
          <w:i w:val="0"/>
          <w:iCs w:val="0"/>
          <w:color w:val="auto"/>
          <w:kern w:val="0"/>
          <w:sz w:val="28"/>
          <w:highlight w:val="none"/>
        </w:rPr>
        <w:t>二、授权委托书或法定代表人身份证明</w:t>
      </w:r>
      <w:bookmarkEnd w:id="1921"/>
      <w:bookmarkEnd w:id="1922"/>
      <w:bookmarkEnd w:id="1923"/>
      <w:bookmarkEnd w:id="1924"/>
      <w:bookmarkEnd w:id="1925"/>
      <w:bookmarkEnd w:id="1926"/>
      <w:bookmarkEnd w:id="1927"/>
      <w:bookmarkEnd w:id="1928"/>
      <w:bookmarkEnd w:id="1929"/>
      <w:bookmarkEnd w:id="1930"/>
    </w:p>
    <w:p w14:paraId="1B3A5021">
      <w:pPr>
        <w:rPr>
          <w:rFonts w:hint="default" w:ascii="Times New Roman" w:hAnsi="Times New Roman" w:eastAsia="黑体" w:cs="Times New Roman"/>
          <w:color w:val="auto"/>
          <w:szCs w:val="21"/>
          <w:highlight w:val="none"/>
        </w:rPr>
      </w:pPr>
    </w:p>
    <w:p w14:paraId="28DADF5F">
      <w:pPr>
        <w:rPr>
          <w:rFonts w:hint="default" w:ascii="Times New Roman" w:hAnsi="Times New Roman" w:eastAsia="黑体" w:cs="Times New Roman"/>
          <w:color w:val="auto"/>
          <w:szCs w:val="21"/>
          <w:highlight w:val="none"/>
        </w:rPr>
      </w:pPr>
    </w:p>
    <w:p w14:paraId="128109C5">
      <w:pPr>
        <w:spacing w:line="360" w:lineRule="auto"/>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注：</w:t>
      </w:r>
      <w:r>
        <w:rPr>
          <w:rFonts w:hint="default" w:ascii="Times New Roman" w:hAnsi="Times New Roman" w:cs="Times New Roman"/>
          <w:color w:val="auto"/>
          <w:sz w:val="24"/>
          <w:highlight w:val="none"/>
        </w:rPr>
        <w:t>①</w:t>
      </w:r>
      <w:r>
        <w:rPr>
          <w:rFonts w:hint="default" w:ascii="Times New Roman" w:hAnsi="Times New Roman" w:eastAsia="黑体" w:cs="Times New Roman"/>
          <w:color w:val="auto"/>
          <w:sz w:val="24"/>
          <w:highlight w:val="none"/>
        </w:rPr>
        <w:t>如果由投标人的委托代理人签署投标文件，则只须按要求提供《授权委托书》；</w:t>
      </w:r>
    </w:p>
    <w:p w14:paraId="70719141">
      <w:pPr>
        <w:spacing w:line="360" w:lineRule="auto"/>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eastAsia="黑体" w:cs="Times New Roman"/>
          <w:color w:val="auto"/>
          <w:sz w:val="24"/>
          <w:highlight w:val="none"/>
        </w:rPr>
        <w:t>如果由投标人的法定代表人签署投标文件，则只须按要求提供《法定代表人身份证明》。</w:t>
      </w:r>
    </w:p>
    <w:p w14:paraId="76D4B175">
      <w:pPr>
        <w:spacing w:line="360" w:lineRule="auto"/>
        <w:ind w:firstLine="480" w:firstLineChars="200"/>
        <w:rPr>
          <w:rFonts w:hint="default" w:ascii="Times New Roman" w:hAnsi="Times New Roman" w:eastAsia="黑体" w:cs="Times New Roman"/>
          <w:color w:val="auto"/>
          <w:sz w:val="24"/>
          <w:highlight w:val="none"/>
        </w:rPr>
      </w:pPr>
    </w:p>
    <w:p w14:paraId="3A1D896B">
      <w:pPr>
        <w:keepNext/>
        <w:keepLines/>
        <w:widowControl/>
        <w:tabs>
          <w:tab w:val="left" w:pos="1440"/>
        </w:tabs>
        <w:wordWrap w:val="0"/>
        <w:topLinePunct/>
        <w:spacing w:line="440" w:lineRule="exact"/>
        <w:jc w:val="center"/>
        <w:outlineLvl w:val="2"/>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931" w:name="_Toc1277"/>
      <w:bookmarkStart w:id="1932" w:name="_Toc495663699"/>
      <w:bookmarkStart w:id="1933" w:name="_Toc500352764"/>
      <w:bookmarkStart w:id="1934" w:name="_Toc483640988"/>
      <w:r>
        <w:rPr>
          <w:rFonts w:hint="default" w:ascii="Times New Roman" w:hAnsi="Times New Roman" w:eastAsia="黑体" w:cs="Times New Roman"/>
          <w:bCs/>
          <w:color w:val="auto"/>
          <w:kern w:val="0"/>
          <w:sz w:val="24"/>
          <w:highlight w:val="none"/>
        </w:rPr>
        <w:t>（一）授权委托书</w:t>
      </w:r>
      <w:bookmarkEnd w:id="1931"/>
    </w:p>
    <w:p w14:paraId="6590B1DA">
      <w:pPr>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（投标人名称）的法定代表人，现委托</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（姓名）为我方代理人。代理人根据授权，以我方名义签署、澄清确认、递交、撤回、修改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default" w:ascii="Times New Roman" w:hAnsi="Times New Roman" w:cs="Times New Roman"/>
          <w:color w:val="auto"/>
          <w:sz w:val="24"/>
          <w:highlight w:val="none"/>
        </w:rPr>
        <w:t>施工投标文件、签订合同和处理有关事宜，其法律后果由我方承担。</w:t>
      </w:r>
    </w:p>
    <w:p w14:paraId="1445CAE2">
      <w:pPr>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委托期限：自本委托书签署之日起至投标有效期期满。</w:t>
      </w:r>
    </w:p>
    <w:p w14:paraId="654AFD4B">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代理人无转委托权。</w:t>
      </w:r>
    </w:p>
    <w:p w14:paraId="245919A1">
      <w:pPr>
        <w:wordWrap w:val="0"/>
        <w:topLinePunct/>
        <w:spacing w:line="440" w:lineRule="exact"/>
        <w:ind w:firstLine="480" w:firstLineChars="200"/>
        <w:rPr>
          <w:rFonts w:hint="default" w:ascii="Times New Roman" w:hAnsi="Times New Roman" w:cs="Times New Roman"/>
          <w:color w:val="auto"/>
          <w:sz w:val="24"/>
          <w:highlight w:val="none"/>
        </w:rPr>
      </w:pPr>
    </w:p>
    <w:p w14:paraId="19176AA5">
      <w:pP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r>
        <w:rPr>
          <w:rFonts w:hint="default" w:ascii="Times New Roman" w:hAnsi="Times New Roman" w:eastAsia="黑体" w:cs="Times New Roman"/>
          <w:color w:val="auto"/>
          <w:sz w:val="24"/>
          <w:highlight w:val="none"/>
        </w:rPr>
        <w:t xml:space="preserve">       委托代理人身份证</w:t>
      </w:r>
      <w:r>
        <w:rPr>
          <w:rFonts w:hint="eastAsia" w:eastAsia="黑体" w:cs="Times New Roman"/>
          <w:color w:val="auto"/>
          <w:sz w:val="24"/>
          <w:highlight w:val="none"/>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180B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533DD282">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c>
          <w:tcPr>
            <w:tcW w:w="4644" w:type="dxa"/>
            <w:vAlign w:val="center"/>
          </w:tcPr>
          <w:p w14:paraId="0AF0A39B">
            <w:pPr>
              <w:topLinePun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（国徽面）</w:t>
            </w:r>
          </w:p>
        </w:tc>
      </w:tr>
      <w:tr w14:paraId="65B1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24AF608">
            <w:pPr>
              <w:topLinePunct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c>
          <w:tcPr>
            <w:tcW w:w="4644" w:type="dxa"/>
            <w:vAlign w:val="center"/>
          </w:tcPr>
          <w:p w14:paraId="3AD2A76E">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（人像面）</w:t>
            </w:r>
          </w:p>
        </w:tc>
      </w:tr>
    </w:tbl>
    <w:p w14:paraId="30406EEF">
      <w:pPr>
        <w:wordWrap w:val="0"/>
        <w:topLinePunct/>
        <w:spacing w:line="440" w:lineRule="exact"/>
        <w:rPr>
          <w:rFonts w:hint="default" w:ascii="Times New Roman" w:hAnsi="Times New Roman" w:cs="Times New Roman"/>
          <w:color w:val="auto"/>
          <w:sz w:val="24"/>
          <w:highlight w:val="none"/>
        </w:rPr>
      </w:pPr>
    </w:p>
    <w:p w14:paraId="016139AA">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w:t>
      </w:r>
      <w:r>
        <w:rPr>
          <w:rFonts w:hint="default" w:ascii="Times New Roman" w:hAnsi="Times New Roman" w:cs="Times New Roman"/>
          <w:color w:val="auto"/>
          <w:sz w:val="24"/>
          <w:highlight w:val="none"/>
          <w:lang w:val="en-US" w:eastAsia="zh-CN"/>
        </w:rPr>
        <w:t>盖单位电子印章</w:t>
      </w:r>
      <w:r>
        <w:rPr>
          <w:rFonts w:hint="default" w:ascii="Times New Roman" w:hAnsi="Times New Roman" w:cs="Times New Roman"/>
          <w:color w:val="auto"/>
          <w:sz w:val="24"/>
          <w:highlight w:val="none"/>
        </w:rPr>
        <w:t>）</w:t>
      </w:r>
    </w:p>
    <w:p w14:paraId="77B09FF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78BC1CEF">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1619D71B">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p>
    <w:p w14:paraId="1CA82D5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279C8D52">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身份证号码：</w:t>
      </w:r>
      <w:r>
        <w:rPr>
          <w:rFonts w:hint="default" w:ascii="Times New Roman" w:hAnsi="Times New Roman" w:cs="Times New Roman"/>
          <w:color w:val="auto"/>
          <w:sz w:val="24"/>
          <w:highlight w:val="none"/>
          <w:u w:val="single"/>
        </w:rPr>
        <w:t xml:space="preserve">                            </w:t>
      </w:r>
    </w:p>
    <w:p w14:paraId="58A5B440">
      <w:pPr>
        <w:wordWrap w:val="0"/>
        <w:topLinePunct/>
        <w:spacing w:line="400" w:lineRule="atLeast"/>
        <w:ind w:left="418" w:leftChars="199" w:firstLine="3720" w:firstLineChars="155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月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日</w:t>
      </w:r>
    </w:p>
    <w:p w14:paraId="10BED935">
      <w:pPr>
        <w:wordWrap w:val="0"/>
        <w:topLinePunct/>
        <w:spacing w:line="400" w:lineRule="atLeast"/>
        <w:ind w:firstLine="420" w:firstLineChars="200"/>
        <w:rPr>
          <w:rFonts w:hint="default" w:ascii="Times New Roman" w:hAnsi="Times New Roman" w:eastAsia="黑体" w:cs="Times New Roman"/>
          <w:color w:val="auto"/>
          <w:szCs w:val="21"/>
          <w:highlight w:val="none"/>
        </w:rPr>
      </w:pPr>
    </w:p>
    <w:p w14:paraId="4CE436CF">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以联合体形式投标的，本授权委托书应由联合体牵头人的法定代表人按上述规定签署。</w:t>
      </w:r>
    </w:p>
    <w:p w14:paraId="14183C44">
      <w:pPr>
        <w:spacing w:line="360" w:lineRule="auto"/>
        <w:ind w:firstLine="3360"/>
        <w:jc w:val="right"/>
        <w:rPr>
          <w:rFonts w:hint="default" w:ascii="Times New Roman" w:hAnsi="Times New Roman" w:eastAsia="仿宋_GB2312" w:cs="Times New Roman"/>
          <w:color w:val="auto"/>
          <w:sz w:val="32"/>
          <w:szCs w:val="32"/>
          <w:highlight w:val="none"/>
        </w:rPr>
      </w:pPr>
    </w:p>
    <w:p w14:paraId="1A0AE75B">
      <w:pPr>
        <w:keepNext/>
        <w:keepLines/>
        <w:widowControl/>
        <w:tabs>
          <w:tab w:val="left" w:pos="1440"/>
        </w:tabs>
        <w:wordWrap w:val="0"/>
        <w:topLinePunct/>
        <w:spacing w:line="440" w:lineRule="exact"/>
        <w:jc w:val="center"/>
        <w:outlineLvl w:val="2"/>
        <w:rPr>
          <w:rFonts w:hint="default" w:ascii="Times New Roman" w:hAnsi="Times New Roman" w:eastAsia="黑体" w:cs="Times New Roman"/>
          <w:bCs/>
          <w:color w:val="auto"/>
          <w:kern w:val="0"/>
          <w:sz w:val="24"/>
          <w:highlight w:val="none"/>
        </w:rPr>
      </w:pPr>
      <w:r>
        <w:rPr>
          <w:rFonts w:hint="default" w:ascii="Times New Roman" w:hAnsi="Times New Roman" w:cs="Times New Roman"/>
          <w:color w:val="auto"/>
          <w:highlight w:val="none"/>
        </w:rPr>
        <w:br w:type="page"/>
      </w:r>
      <w:bookmarkStart w:id="1935" w:name="_Toc5869"/>
      <w:r>
        <w:rPr>
          <w:rFonts w:hint="default" w:ascii="Times New Roman" w:hAnsi="Times New Roman" w:eastAsia="黑体" w:cs="Times New Roman"/>
          <w:bCs/>
          <w:color w:val="auto"/>
          <w:kern w:val="0"/>
          <w:sz w:val="24"/>
          <w:highlight w:val="none"/>
        </w:rPr>
        <w:t>（二）法定代表人身份证明</w:t>
      </w:r>
      <w:bookmarkEnd w:id="1932"/>
      <w:bookmarkEnd w:id="1933"/>
      <w:bookmarkEnd w:id="1934"/>
      <w:bookmarkEnd w:id="1935"/>
    </w:p>
    <w:p w14:paraId="331F0BCB">
      <w:pPr>
        <w:rPr>
          <w:rFonts w:hint="default" w:ascii="Times New Roman" w:hAnsi="Times New Roman" w:cs="Times New Roman"/>
          <w:color w:val="auto"/>
          <w:highlight w:val="none"/>
        </w:rPr>
      </w:pPr>
    </w:p>
    <w:p w14:paraId="1610D116">
      <w:pPr>
        <w:rPr>
          <w:rFonts w:hint="default" w:ascii="Times New Roman" w:hAnsi="Times New Roman" w:cs="Times New Roman"/>
          <w:color w:val="auto"/>
          <w:highlight w:val="none"/>
        </w:rPr>
      </w:pPr>
    </w:p>
    <w:p w14:paraId="28AA48B8">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759D11B1">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姓名：</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bCs/>
          <w:color w:val="auto"/>
          <w:sz w:val="24"/>
          <w:highlight w:val="none"/>
          <w:u w:val="single"/>
        </w:rPr>
        <w:t>（法定代表人个人</w:t>
      </w:r>
      <w:r>
        <w:rPr>
          <w:rFonts w:hint="eastAsia" w:cs="Times New Roman"/>
          <w:bCs/>
          <w:color w:val="auto"/>
          <w:sz w:val="24"/>
          <w:highlight w:val="none"/>
          <w:u w:val="single"/>
          <w:lang w:eastAsia="zh-CN"/>
        </w:rPr>
        <w:t>电子签名</w:t>
      </w:r>
      <w:r>
        <w:rPr>
          <w:rFonts w:hint="default" w:ascii="Times New Roman" w:hAnsi="Times New Roman" w:cs="Times New Roman"/>
          <w:bCs/>
          <w:color w:val="auto"/>
          <w:sz w:val="24"/>
          <w:highlight w:val="none"/>
          <w:u w:val="single"/>
        </w:rPr>
        <w:t>或个人电子印章）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性别：</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年龄：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职务：</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系</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（投标人名称）的法定代表人。</w:t>
      </w:r>
    </w:p>
    <w:p w14:paraId="70CA9C66">
      <w:pPr>
        <w:wordWrap w:val="0"/>
        <w:topLinePunct/>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特此证明。</w:t>
      </w:r>
    </w:p>
    <w:p w14:paraId="5A19F51E">
      <w:pPr>
        <w:wordWrap w:val="0"/>
        <w:topLinePunct/>
        <w:spacing w:line="440" w:lineRule="exact"/>
        <w:rPr>
          <w:rFonts w:hint="default" w:ascii="Times New Roman" w:hAnsi="Times New Roman" w:cs="Times New Roman"/>
          <w:color w:val="auto"/>
          <w:sz w:val="24"/>
          <w:highlight w:val="none"/>
        </w:rPr>
      </w:pPr>
    </w:p>
    <w:p w14:paraId="1540AC19">
      <w:pPr>
        <w:topLinePunct/>
        <w:spacing w:line="440" w:lineRule="exact"/>
        <w:jc w:val="center"/>
        <w:outlineLvl w:val="9"/>
        <w:rPr>
          <w:rFonts w:hint="default" w:ascii="Times New Roman" w:hAnsi="Times New Roman" w:eastAsia="黑体" w:cs="Times New Roman"/>
          <w:color w:val="auto"/>
          <w:sz w:val="24"/>
          <w:highlight w:val="none"/>
          <w:lang w:val="en-US" w:eastAsia="zh-CN"/>
        </w:rPr>
      </w:pPr>
      <w:bookmarkStart w:id="1936" w:name="_Toc15500"/>
      <w:r>
        <w:rPr>
          <w:rFonts w:hint="default" w:ascii="Times New Roman" w:hAnsi="Times New Roman" w:eastAsia="黑体" w:cs="Times New Roman"/>
          <w:color w:val="auto"/>
          <w:sz w:val="24"/>
          <w:highlight w:val="none"/>
        </w:rPr>
        <w:t>法定代表人身份证</w:t>
      </w:r>
      <w:r>
        <w:rPr>
          <w:rFonts w:hint="eastAsia" w:eastAsia="黑体" w:cs="Times New Roman"/>
          <w:color w:val="auto"/>
          <w:sz w:val="24"/>
          <w:highlight w:val="none"/>
          <w:lang w:val="en-US" w:eastAsia="zh-CN"/>
        </w:rPr>
        <w:t>原件扫描件</w:t>
      </w:r>
      <w:bookmarkEnd w:id="1936"/>
    </w:p>
    <w:p w14:paraId="76A39701">
      <w:pPr>
        <w:ind w:firstLine="420"/>
        <w:rPr>
          <w:rFonts w:hint="default" w:ascii="Times New Roman" w:hAnsi="Times New Roman" w:cs="Times New Roman"/>
          <w:color w:val="auto"/>
          <w:highlight w:val="none"/>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6DB4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015F392B">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国徽面</w:t>
            </w:r>
            <w:r>
              <w:rPr>
                <w:rFonts w:hint="default" w:ascii="Times New Roman" w:hAnsi="Times New Roman" w:cs="Times New Roman"/>
                <w:color w:val="auto"/>
                <w:sz w:val="24"/>
                <w:highlight w:val="none"/>
              </w:rPr>
              <w:t>）</w:t>
            </w:r>
          </w:p>
        </w:tc>
        <w:tc>
          <w:tcPr>
            <w:tcW w:w="4644" w:type="dxa"/>
            <w:vAlign w:val="center"/>
          </w:tcPr>
          <w:p w14:paraId="2C274DE5">
            <w:pPr>
              <w:wordWrap w:val="0"/>
              <w:topLinePunct/>
              <w:spacing w:line="440" w:lineRule="exact"/>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人像面</w:t>
            </w:r>
            <w:r>
              <w:rPr>
                <w:rFonts w:hint="default" w:ascii="Times New Roman" w:hAnsi="Times New Roman" w:cs="Times New Roman"/>
                <w:color w:val="auto"/>
                <w:sz w:val="24"/>
                <w:highlight w:val="none"/>
              </w:rPr>
              <w:t>）</w:t>
            </w:r>
          </w:p>
        </w:tc>
      </w:tr>
    </w:tbl>
    <w:p w14:paraId="52D969B6">
      <w:pPr>
        <w:wordWrap w:val="0"/>
        <w:topLinePunct/>
        <w:spacing w:line="440" w:lineRule="exact"/>
        <w:rPr>
          <w:rFonts w:hint="default" w:ascii="Times New Roman" w:hAnsi="Times New Roman" w:cs="Times New Roman"/>
          <w:color w:val="auto"/>
          <w:sz w:val="24"/>
          <w:highlight w:val="none"/>
        </w:rPr>
      </w:pPr>
    </w:p>
    <w:p w14:paraId="74C4C95C">
      <w:pPr>
        <w:wordWrap w:val="0"/>
        <w:topLinePunct/>
        <w:spacing w:line="440" w:lineRule="exact"/>
        <w:rPr>
          <w:rFonts w:hint="default" w:ascii="Times New Roman" w:hAnsi="Times New Roman" w:cs="Times New Roman"/>
          <w:color w:val="auto"/>
          <w:sz w:val="24"/>
          <w:highlight w:val="none"/>
        </w:rPr>
      </w:pPr>
    </w:p>
    <w:p w14:paraId="2B66CEBA">
      <w:pPr>
        <w:wordWrap w:val="0"/>
        <w:topLinePunct/>
        <w:spacing w:line="440" w:lineRule="exact"/>
        <w:rPr>
          <w:rFonts w:hint="default" w:ascii="Times New Roman" w:hAnsi="Times New Roman" w:cs="Times New Roman"/>
          <w:color w:val="auto"/>
          <w:sz w:val="24"/>
          <w:highlight w:val="none"/>
        </w:rPr>
      </w:pPr>
    </w:p>
    <w:p w14:paraId="0A8E5046">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投标人：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（全称） （盖单位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65E3231E">
      <w:pPr>
        <w:wordWrap w:val="0"/>
        <w:topLinePunct/>
        <w:spacing w:line="44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7F99FD9C">
      <w:pPr>
        <w:wordWrap w:val="0"/>
        <w:topLinePunct/>
        <w:spacing w:line="440" w:lineRule="exact"/>
        <w:rPr>
          <w:rFonts w:hint="default" w:ascii="Times New Roman" w:hAnsi="Times New Roman" w:eastAsia="黑体" w:cs="Times New Roman"/>
          <w:color w:val="auto"/>
          <w:sz w:val="24"/>
          <w:highlight w:val="none"/>
        </w:rPr>
      </w:pPr>
    </w:p>
    <w:p w14:paraId="744D0E21">
      <w:pPr>
        <w:wordWrap w:val="0"/>
        <w:topLinePunct/>
        <w:spacing w:line="440" w:lineRule="exact"/>
        <w:rPr>
          <w:rFonts w:hint="default" w:ascii="Times New Roman" w:hAnsi="Times New Roman" w:eastAsia="黑体" w:cs="Times New Roman"/>
          <w:color w:val="auto"/>
          <w:sz w:val="24"/>
          <w:highlight w:val="none"/>
        </w:rPr>
      </w:pPr>
    </w:p>
    <w:p w14:paraId="72FAD2AE">
      <w:pPr>
        <w:wordWrap w:val="0"/>
        <w:topLinePunct/>
        <w:spacing w:line="400" w:lineRule="atLeast"/>
        <w:ind w:firstLine="42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kern w:val="2"/>
          <w:sz w:val="21"/>
          <w:szCs w:val="21"/>
          <w:highlight w:val="none"/>
        </w:rPr>
        <w:t>注：</w:t>
      </w:r>
      <w:r>
        <w:rPr>
          <w:rFonts w:hint="default" w:ascii="Times New Roman" w:hAnsi="Times New Roman" w:cs="Times New Roman"/>
          <w:color w:val="auto"/>
          <w:szCs w:val="21"/>
          <w:highlight w:val="none"/>
        </w:rPr>
        <w:t>以联合体形式投标的，本法定代表人身份证明应由联合体牵头人的法定代表人按上述规定签署。</w:t>
      </w:r>
    </w:p>
    <w:p w14:paraId="7B378424">
      <w:pPr>
        <w:pStyle w:val="2"/>
        <w:pageBreakBefore w:val="0"/>
        <w:kinsoku/>
        <w:wordWrap w:val="0"/>
        <w:overflowPunct/>
        <w:bidi w:val="0"/>
        <w:spacing w:beforeLines="150" w:afterLines="100" w:line="380" w:lineRule="atLeast"/>
        <w:jc w:val="center"/>
        <w:outlineLvl w:val="9"/>
        <w:rPr>
          <w:rFonts w:hint="default" w:ascii="Times New Roman" w:hAnsi="Times New Roman" w:eastAsia="黑体" w:cs="Times New Roman"/>
          <w:color w:val="auto"/>
          <w:sz w:val="28"/>
          <w:szCs w:val="28"/>
          <w:highlight w:val="none"/>
        </w:rPr>
        <w:sectPr>
          <w:headerReference r:id="rId48"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433B2795">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color w:val="auto"/>
          <w:sz w:val="28"/>
          <w:szCs w:val="28"/>
          <w:highlight w:val="none"/>
        </w:rPr>
      </w:pPr>
      <w:bookmarkStart w:id="1937" w:name="_Toc12038"/>
      <w:bookmarkStart w:id="1938" w:name="_Toc29148"/>
      <w:bookmarkStart w:id="1939" w:name="_Toc21278"/>
      <w:r>
        <w:rPr>
          <w:rFonts w:hint="default" w:ascii="Times New Roman" w:hAnsi="Times New Roman" w:eastAsia="黑体" w:cs="Times New Roman"/>
          <w:color w:val="auto"/>
          <w:sz w:val="28"/>
          <w:szCs w:val="28"/>
          <w:highlight w:val="none"/>
        </w:rPr>
        <w:t>三、</w:t>
      </w:r>
      <w:r>
        <w:rPr>
          <w:rFonts w:hint="default" w:ascii="Times New Roman" w:hAnsi="Times New Roman" w:eastAsia="黑体" w:cs="Times New Roman"/>
          <w:b w:val="0"/>
          <w:color w:val="auto"/>
          <w:sz w:val="28"/>
          <w:szCs w:val="28"/>
          <w:highlight w:val="none"/>
        </w:rPr>
        <w:t>联合体协议书</w:t>
      </w:r>
      <w:r>
        <w:rPr>
          <w:rStyle w:val="47"/>
          <w:rFonts w:hint="default" w:ascii="Times New Roman" w:hAnsi="Times New Roman" w:eastAsia="黑体" w:cs="Times New Roman"/>
          <w:color w:val="auto"/>
          <w:sz w:val="28"/>
          <w:szCs w:val="28"/>
          <w:highlight w:val="none"/>
        </w:rPr>
        <w:footnoteReference w:id="57"/>
      </w:r>
      <w:bookmarkEnd w:id="1920"/>
      <w:bookmarkEnd w:id="1937"/>
      <w:bookmarkEnd w:id="1938"/>
      <w:bookmarkEnd w:id="1939"/>
    </w:p>
    <w:p w14:paraId="4555BF17">
      <w:pPr>
        <w:pageBreakBefore w:val="0"/>
        <w:kinsoku/>
        <w:wordWrap w:val="0"/>
        <w:bidi w:val="0"/>
        <w:spacing w:line="440" w:lineRule="exact"/>
        <w:jc w:val="center"/>
        <w:rPr>
          <w:rFonts w:hint="default" w:ascii="Times New Roman" w:hAnsi="Times New Roman" w:eastAsia="黑体" w:cs="Times New Roman"/>
          <w:color w:val="auto"/>
          <w:sz w:val="24"/>
          <w:highlight w:val="none"/>
        </w:rPr>
      </w:pPr>
    </w:p>
    <w:p w14:paraId="41BD7FD6">
      <w:pPr>
        <w:pageBreakBefore w:val="0"/>
        <w:kinsoku/>
        <w:wordWrap w:val="0"/>
        <w:bidi w:val="0"/>
        <w:spacing w:line="400" w:lineRule="atLeast"/>
        <w:ind w:firstLine="360"/>
        <w:rPr>
          <w:rFonts w:hint="default" w:ascii="Times New Roman" w:hAnsi="Times New Roman" w:cs="Times New Roman"/>
          <w:color w:val="auto"/>
          <w:sz w:val="24"/>
          <w:highlight w:val="none"/>
        </w:rPr>
      </w:pPr>
      <w:r>
        <w:rPr>
          <w:rFonts w:hint="default" w:ascii="Times New Roman" w:hAnsi="Times New Roman" w:eastAsia="黑体" w:cs="Times New Roman"/>
          <w:color w:val="auto"/>
          <w:sz w:val="24"/>
          <w:highlight w:val="none"/>
          <w:u w:val="single"/>
        </w:rPr>
        <w:t xml:space="preserve">                </w:t>
      </w:r>
      <w:r>
        <w:rPr>
          <w:rFonts w:hint="default" w:ascii="Times New Roman" w:hAnsi="Times New Roman" w:eastAsia="黑体" w:cs="Times New Roman"/>
          <w:color w:val="auto"/>
          <w:sz w:val="24"/>
          <w:highlight w:val="none"/>
        </w:rPr>
        <w:t>（</w:t>
      </w:r>
      <w:r>
        <w:rPr>
          <w:rFonts w:hint="default" w:ascii="Times New Roman" w:hAnsi="Times New Roman" w:cs="Times New Roman"/>
          <w:color w:val="auto"/>
          <w:sz w:val="24"/>
          <w:highlight w:val="none"/>
        </w:rPr>
        <w:t>所有成员单位名称）自愿组成</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（联合体名称）联合体，共同参加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标段</w:t>
      </w:r>
      <w:r>
        <w:rPr>
          <w:rFonts w:hint="default" w:ascii="Times New Roman" w:hAnsi="Times New Roman" w:cs="Times New Roman"/>
          <w:color w:val="auto"/>
          <w:sz w:val="24"/>
          <w:highlight w:val="none"/>
        </w:rPr>
        <w:t>名称）施工投标。现就联合体投标事宜订立如下协议。</w:t>
      </w:r>
    </w:p>
    <w:p w14:paraId="5EF751F8">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（某成员单位名称）为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（联合体名称）牵头人。</w:t>
      </w:r>
    </w:p>
    <w:p w14:paraId="7086C5FC">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2.联合体各成员授权牵头人代表联合体参加投标活动，签署文件，提交和接收相</w:t>
      </w:r>
      <w:bookmarkStart w:id="1940" w:name="_Toc247527830"/>
      <w:bookmarkStart w:id="1941" w:name="_Toc152045790"/>
      <w:bookmarkStart w:id="1942" w:name="_Toc144974859"/>
      <w:bookmarkStart w:id="1943" w:name="_Toc247514249"/>
      <w:bookmarkStart w:id="1944" w:name="_Toc152042579"/>
      <w:bookmarkStart w:id="1945" w:name="_Toc300835212"/>
      <w:bookmarkStart w:id="1946" w:name="_Toc384308378"/>
      <w:bookmarkStart w:id="1947" w:name="_Toc361508755"/>
      <w:r>
        <w:rPr>
          <w:rFonts w:hint="default" w:ascii="Times New Roman" w:hAnsi="Times New Roman" w:cs="Times New Roman"/>
          <w:color w:val="auto"/>
          <w:sz w:val="24"/>
          <w:highlight w:val="none"/>
        </w:rPr>
        <w:t>关的</w:t>
      </w:r>
      <w:bookmarkStart w:id="1948" w:name="_Toc369531700"/>
      <w:bookmarkStart w:id="1949" w:name="_Toc7749"/>
      <w:bookmarkStart w:id="1950" w:name="_Toc352691664"/>
      <w:r>
        <w:rPr>
          <w:rFonts w:hint="default" w:ascii="Times New Roman" w:hAnsi="Times New Roman" w:cs="Times New Roman"/>
          <w:color w:val="auto"/>
          <w:sz w:val="24"/>
          <w:highlight w:val="none"/>
        </w:rPr>
        <w:t>资料、信息及</w:t>
      </w:r>
      <w:bookmarkEnd w:id="1948"/>
      <w:bookmarkEnd w:id="1949"/>
      <w:bookmarkEnd w:id="1950"/>
      <w:r>
        <w:rPr>
          <w:rFonts w:hint="default" w:ascii="Times New Roman" w:hAnsi="Times New Roman" w:cs="Times New Roman"/>
          <w:color w:val="auto"/>
          <w:sz w:val="24"/>
          <w:highlight w:val="none"/>
        </w:rPr>
        <w:t>指</w:t>
      </w:r>
      <w:bookmarkEnd w:id="1940"/>
      <w:bookmarkEnd w:id="1941"/>
      <w:bookmarkEnd w:id="1942"/>
      <w:bookmarkEnd w:id="1943"/>
      <w:bookmarkEnd w:id="1944"/>
      <w:bookmarkEnd w:id="1945"/>
      <w:bookmarkEnd w:id="1946"/>
      <w:bookmarkEnd w:id="1947"/>
      <w:r>
        <w:rPr>
          <w:rFonts w:hint="default" w:ascii="Times New Roman" w:hAnsi="Times New Roman" w:cs="Times New Roman"/>
          <w:color w:val="auto"/>
          <w:sz w:val="24"/>
          <w:highlight w:val="none"/>
        </w:rPr>
        <w:t>示，进行合同谈判活动，负责合同实施阶段的组织和协调工作，以及处理与本招标项目有关的一切事宜。</w:t>
      </w:r>
    </w:p>
    <w:p w14:paraId="202B3B09">
      <w:pPr>
        <w:pageBreakBefore w:val="0"/>
        <w:kinsoku/>
        <w:wordWrap w:val="0"/>
        <w:bidi w:val="0"/>
        <w:spacing w:line="400" w:lineRule="atLeast"/>
        <w:ind w:firstLine="39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02B2398B">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4.联合体各成员单位内部的职责分工如下：</w:t>
      </w:r>
      <w:r>
        <w:rPr>
          <w:rFonts w:hint="default" w:ascii="Times New Roman" w:hAnsi="Times New Roman" w:cs="Times New Roman"/>
          <w:color w:val="auto"/>
          <w:sz w:val="24"/>
          <w:highlight w:val="none"/>
          <w:u w:val="single"/>
        </w:rPr>
        <w:t>（牵头人名称）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Style w:val="47"/>
          <w:rFonts w:hint="default" w:ascii="Times New Roman" w:hAnsi="Times New Roman" w:cs="Times New Roman"/>
          <w:color w:val="auto"/>
          <w:sz w:val="24"/>
          <w:highlight w:val="none"/>
        </w:rPr>
        <w:footnoteReference w:id="58"/>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（成员一名称）</w:t>
      </w:r>
      <w:r>
        <w:rPr>
          <w:rFonts w:hint="default" w:ascii="Times New Roman" w:hAnsi="Times New Roman" w:cs="Times New Roman"/>
          <w:color w:val="auto"/>
          <w:sz w:val="24"/>
          <w:highlight w:val="none"/>
        </w:rPr>
        <w:t>承担</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专业工程，占总工程量的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p>
    <w:p w14:paraId="7DA4A5F2">
      <w:pPr>
        <w:pageBreakBefore w:val="0"/>
        <w:kinsoku/>
        <w:wordWrap w:val="0"/>
        <w:topLine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5.投标工作和联合体在中标后工程实施过程中的有关费用按各自承担的工作量分摊。</w:t>
      </w:r>
    </w:p>
    <w:p w14:paraId="2C39755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6.本协议书自所有成员单位法定代表人签字并加盖单位章之日起生效，合同履行完毕后自动失效。</w:t>
      </w:r>
    </w:p>
    <w:p w14:paraId="346686CE">
      <w:pPr>
        <w:pageBreakBefore w:val="0"/>
        <w:kinsoku/>
        <w:wordWrap w:val="0"/>
        <w:bidi w:val="0"/>
        <w:spacing w:line="400" w:lineRule="atLeast"/>
        <w:ind w:firstLine="480" w:firstLineChars="200"/>
        <w:outlineLvl w:val="9"/>
        <w:rPr>
          <w:rFonts w:hint="default" w:ascii="Times New Roman" w:hAnsi="Times New Roman" w:cs="Times New Roman"/>
          <w:color w:val="auto"/>
          <w:sz w:val="24"/>
          <w:highlight w:val="none"/>
        </w:rPr>
      </w:pPr>
      <w:bookmarkStart w:id="1951" w:name="_Toc26822"/>
      <w:bookmarkStart w:id="1952" w:name="_Toc8257"/>
      <w:r>
        <w:rPr>
          <w:rFonts w:hint="default" w:ascii="Times New Roman" w:hAnsi="Times New Roman" w:cs="Times New Roman"/>
          <w:color w:val="auto"/>
          <w:sz w:val="24"/>
          <w:highlight w:val="none"/>
        </w:rPr>
        <w:t>7.本协议书一式</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份，联合体成员和招标人各执一份。</w:t>
      </w:r>
      <w:bookmarkEnd w:id="1951"/>
      <w:bookmarkEnd w:id="1952"/>
    </w:p>
    <w:p w14:paraId="37F73928">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3CA462E2">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联合体牵头人名称：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1F82F8DF">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425F7A9B">
      <w:pPr>
        <w:topLinePunct/>
        <w:spacing w:line="400" w:lineRule="atLeast"/>
        <w:ind w:firstLine="411" w:firstLineChars="19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 </w:t>
      </w:r>
    </w:p>
    <w:p w14:paraId="3796C82D">
      <w:pPr>
        <w:topLinePunct/>
        <w:spacing w:line="400" w:lineRule="atLeast"/>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联合体成员名称：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r>
        <w:rPr>
          <w:rFonts w:hint="default" w:ascii="Times New Roman" w:hAnsi="Times New Roman" w:cs="Times New Roman"/>
          <w:color w:val="auto"/>
          <w:sz w:val="24"/>
          <w:highlight w:val="none"/>
          <w:lang w:val="en-US" w:eastAsia="zh-CN"/>
        </w:rPr>
        <w:t>或盖单位电子印章</w:t>
      </w:r>
      <w:r>
        <w:rPr>
          <w:rFonts w:hint="default" w:ascii="Times New Roman" w:hAnsi="Times New Roman" w:cs="Times New Roman"/>
          <w:color w:val="auto"/>
          <w:sz w:val="24"/>
          <w:highlight w:val="none"/>
        </w:rPr>
        <w:t>）</w:t>
      </w:r>
    </w:p>
    <w:p w14:paraId="26E88A75">
      <w:pPr>
        <w:pageBreakBefore w:val="0"/>
        <w:kinsoku/>
        <w:wordWrap w:val="0"/>
        <w:overflowPunct/>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（签字</w:t>
      </w:r>
      <w:r>
        <w:rPr>
          <w:rFonts w:hint="default" w:ascii="Times New Roman" w:hAnsi="Times New Roman" w:cs="Times New Roman"/>
          <w:color w:val="auto"/>
          <w:sz w:val="24"/>
          <w:highlight w:val="none"/>
          <w:lang w:val="en-US" w:eastAsia="zh-CN"/>
        </w:rPr>
        <w:t>或</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227813F4">
      <w:pPr>
        <w:pageBreakBefore w:val="0"/>
        <w:kinsoku/>
        <w:wordWrap w:val="0"/>
        <w:overflowPunct/>
        <w:bidi w:val="0"/>
        <w:spacing w:line="400" w:lineRule="atLeast"/>
        <w:ind w:firstLine="480" w:firstLineChars="200"/>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w:t>
      </w:r>
    </w:p>
    <w:p w14:paraId="5463C395">
      <w:pPr>
        <w:pageBreakBefore w:val="0"/>
        <w:kinsoku/>
        <w:wordWrap w:val="0"/>
        <w:bidi w:val="0"/>
        <w:spacing w:line="400" w:lineRule="atLeast"/>
        <w:ind w:firstLine="4620" w:firstLineChars="1925"/>
        <w:rPr>
          <w:rFonts w:hint="default" w:ascii="Times New Roman" w:hAnsi="Times New Roman" w:eastAsia="黑体" w:cs="Times New Roman"/>
          <w:color w:val="auto"/>
          <w:sz w:val="24"/>
          <w:highlight w:val="none"/>
          <w:u w:val="singl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年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33C4BDDD">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rPr>
      </w:pPr>
      <w:bookmarkStart w:id="1953" w:name="_Toc234833262"/>
      <w:r>
        <w:rPr>
          <w:rFonts w:hint="default" w:ascii="Times New Roman" w:hAnsi="Times New Roman" w:eastAsia="黑体" w:cs="Times New Roman"/>
          <w:b w:val="0"/>
          <w:color w:val="auto"/>
          <w:sz w:val="28"/>
          <w:szCs w:val="28"/>
          <w:highlight w:val="none"/>
        </w:rPr>
        <w:br w:type="page"/>
      </w:r>
      <w:bookmarkStart w:id="1954" w:name="_Toc3440"/>
      <w:bookmarkStart w:id="1955" w:name="_Toc21516"/>
      <w:bookmarkStart w:id="1956" w:name="_Toc25301"/>
      <w:r>
        <w:rPr>
          <w:rFonts w:hint="default" w:ascii="Times New Roman" w:hAnsi="Times New Roman" w:eastAsia="黑体" w:cs="Times New Roman"/>
          <w:b w:val="0"/>
          <w:color w:val="auto"/>
          <w:sz w:val="28"/>
          <w:szCs w:val="28"/>
          <w:highlight w:val="none"/>
        </w:rPr>
        <w:t>四、投标保证金</w:t>
      </w:r>
      <w:bookmarkEnd w:id="1953"/>
      <w:bookmarkEnd w:id="1954"/>
      <w:bookmarkEnd w:id="1955"/>
      <w:bookmarkEnd w:id="1956"/>
    </w:p>
    <w:p w14:paraId="1B4F15C8">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p>
    <w:p w14:paraId="4C1EA4DF">
      <w:pPr>
        <w:spacing w:line="400" w:lineRule="atLeast"/>
        <w:ind w:firstLine="508" w:firstLineChars="21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若采用现金，投标人应在此提供汇款凭证的</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w:t>
      </w:r>
    </w:p>
    <w:p w14:paraId="6B8B6226">
      <w:pPr>
        <w:spacing w:line="40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若采用电子保函，</w:t>
      </w:r>
      <w:r>
        <w:rPr>
          <w:rFonts w:hint="default" w:ascii="Times New Roman" w:hAnsi="Times New Roman" w:cs="Times New Roman"/>
          <w:color w:val="auto"/>
          <w:sz w:val="24"/>
          <w:highlight w:val="none"/>
        </w:rPr>
        <w:t>投标人应在此提供</w:t>
      </w:r>
      <w:r>
        <w:rPr>
          <w:rFonts w:hint="default" w:ascii="Times New Roman" w:hAnsi="Times New Roman" w:cs="Times New Roman"/>
          <w:b w:val="0"/>
          <w:bCs w:val="0"/>
          <w:color w:val="auto"/>
          <w:sz w:val="24"/>
          <w:szCs w:val="24"/>
          <w:highlight w:val="none"/>
          <w:lang w:val="en-US" w:eastAsia="zh-CN"/>
        </w:rPr>
        <w:t>电子化保函验真渠道和从投标人基本账户支出</w:t>
      </w:r>
      <w:r>
        <w:rPr>
          <w:rFonts w:hint="eastAsia" w:cs="Times New Roman"/>
          <w:b w:val="0"/>
          <w:bCs w:val="0"/>
          <w:color w:val="auto"/>
          <w:sz w:val="24"/>
          <w:szCs w:val="24"/>
          <w:highlight w:val="none"/>
          <w:lang w:val="en-US" w:eastAsia="zh-CN"/>
        </w:rPr>
        <w:t>的</w:t>
      </w:r>
      <w:r>
        <w:rPr>
          <w:rFonts w:hint="default" w:ascii="Times New Roman" w:hAnsi="Times New Roman" w:cs="Times New Roman"/>
          <w:b w:val="0"/>
          <w:bCs w:val="0"/>
          <w:color w:val="auto"/>
          <w:sz w:val="24"/>
          <w:szCs w:val="24"/>
          <w:highlight w:val="none"/>
          <w:lang w:val="en-US" w:eastAsia="zh-CN"/>
        </w:rPr>
        <w:t>保函财务费用支付</w:t>
      </w:r>
      <w:r>
        <w:rPr>
          <w:rFonts w:hint="eastAsia" w:cs="Times New Roman"/>
          <w:b w:val="0"/>
          <w:bCs w:val="0"/>
          <w:color w:val="auto"/>
          <w:sz w:val="24"/>
          <w:szCs w:val="24"/>
          <w:highlight w:val="none"/>
          <w:lang w:val="en-US" w:eastAsia="zh-CN"/>
        </w:rPr>
        <w:t>凭证</w:t>
      </w:r>
      <w:r>
        <w:rPr>
          <w:rFonts w:hint="default" w:ascii="Times New Roman" w:hAnsi="Times New Roman" w:cs="Times New Roman"/>
          <w:b w:val="0"/>
          <w:bCs w:val="0"/>
          <w:color w:val="auto"/>
          <w:sz w:val="24"/>
          <w:szCs w:val="24"/>
          <w:highlight w:val="none"/>
          <w:lang w:val="en-US" w:eastAsia="zh-CN"/>
        </w:rPr>
        <w:t>。</w:t>
      </w:r>
    </w:p>
    <w:p w14:paraId="3D706224">
      <w:pPr>
        <w:spacing w:line="400" w:lineRule="exact"/>
        <w:ind w:firstLine="480" w:firstLineChars="200"/>
        <w:rPr>
          <w:rFonts w:hint="default" w:ascii="Times New Roman" w:hAnsi="Times New Roman" w:eastAsia="黑体" w:cs="Times New Roman"/>
          <w:color w:val="auto"/>
          <w:sz w:val="24"/>
          <w:highlight w:val="none"/>
        </w:rPr>
      </w:pPr>
      <w:r>
        <w:rPr>
          <w:rFonts w:hint="default" w:ascii="Times New Roman" w:hAnsi="Times New Roman" w:cs="Times New Roman"/>
          <w:color w:val="auto"/>
          <w:sz w:val="24"/>
          <w:highlight w:val="none"/>
          <w:lang w:val="en-US" w:eastAsia="zh-CN"/>
        </w:rPr>
        <w:t>若</w:t>
      </w:r>
      <w:r>
        <w:rPr>
          <w:rFonts w:hint="default" w:ascii="Times New Roman" w:hAnsi="Times New Roman" w:cs="Times New Roman"/>
          <w:color w:val="auto"/>
          <w:sz w:val="24"/>
          <w:highlight w:val="none"/>
        </w:rPr>
        <w:t>采用银行保函，投标人应在此提供银行保函</w:t>
      </w:r>
      <w:r>
        <w:rPr>
          <w:rFonts w:hint="eastAsia" w:cs="Times New Roman"/>
          <w:color w:val="auto"/>
          <w:sz w:val="24"/>
          <w:highlight w:val="none"/>
          <w:lang w:val="en-US" w:eastAsia="zh-CN"/>
        </w:rPr>
        <w:t>原件扫描件</w:t>
      </w:r>
      <w:r>
        <w:rPr>
          <w:rFonts w:hint="default" w:ascii="Times New Roman" w:hAnsi="Times New Roman" w:cs="Times New Roman"/>
          <w:color w:val="auto"/>
          <w:sz w:val="24"/>
          <w:highlight w:val="none"/>
        </w:rPr>
        <w:t>，格式如下。</w:t>
      </w:r>
    </w:p>
    <w:p w14:paraId="5068F21D">
      <w:pPr>
        <w:spacing w:line="400" w:lineRule="exact"/>
        <w:ind w:firstLine="480" w:firstLineChars="200"/>
        <w:rPr>
          <w:rFonts w:hint="default" w:ascii="Times New Roman" w:hAnsi="Times New Roman" w:cs="Times New Roman"/>
          <w:color w:val="auto"/>
          <w:sz w:val="24"/>
          <w:highlight w:val="none"/>
        </w:rPr>
      </w:pPr>
    </w:p>
    <w:p w14:paraId="744560AF">
      <w:pPr>
        <w:spacing w:line="400" w:lineRule="exact"/>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投标保函</w:t>
      </w:r>
    </w:p>
    <w:p w14:paraId="7337287E">
      <w:pPr>
        <w:spacing w:line="400" w:lineRule="exact"/>
        <w:rPr>
          <w:rFonts w:hint="default" w:ascii="Times New Roman" w:hAnsi="Times New Roman" w:cs="Times New Roman"/>
          <w:color w:val="auto"/>
          <w:sz w:val="24"/>
          <w:highlight w:val="none"/>
          <w:u w:val="single"/>
        </w:rPr>
      </w:pPr>
    </w:p>
    <w:p w14:paraId="1272D38F">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你方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w:t>
      </w:r>
    </w:p>
    <w:p w14:paraId="64EC3549">
      <w:pPr>
        <w:spacing w:line="400" w:lineRule="exact"/>
        <w:jc w:val="center"/>
        <w:rPr>
          <w:rFonts w:hint="default" w:ascii="Times New Roman" w:hAnsi="Times New Roman" w:cs="Times New Roman"/>
          <w:color w:val="auto"/>
          <w:sz w:val="24"/>
          <w:highlight w:val="none"/>
        </w:rPr>
      </w:pPr>
    </w:p>
    <w:p w14:paraId="2E6F8D92">
      <w:pPr>
        <w:wordWrap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（投标人名称）（以下称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日参加</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lang w:val="en-US" w:eastAsia="zh-CN"/>
        </w:rPr>
        <w:t>施工</w:t>
      </w:r>
      <w:r>
        <w:rPr>
          <w:rFonts w:hint="default" w:ascii="Times New Roman" w:hAnsi="Times New Roman" w:cs="Times New Roman"/>
          <w:color w:val="auto"/>
          <w:sz w:val="24"/>
          <w:highlight w:val="none"/>
        </w:rPr>
        <w:t>的投标，</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（担保人名称，以下简称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我方</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p>
    <w:p w14:paraId="007F8D10">
      <w:pPr>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本保函在投标有效期或经延长的投标有效期内保持有效。要求我方承担保证责任的通知应在上述期限内送达我方。你方延长投标有效期的决定，应通知我方。</w:t>
      </w:r>
    </w:p>
    <w:p w14:paraId="39E180DD">
      <w:pPr>
        <w:rPr>
          <w:rFonts w:hint="default" w:ascii="Times New Roman" w:hAnsi="Times New Roman" w:cs="Times New Roman"/>
          <w:color w:val="auto"/>
          <w:sz w:val="24"/>
          <w:highlight w:val="none"/>
        </w:rPr>
      </w:pPr>
    </w:p>
    <w:p w14:paraId="1C2DA9EB">
      <w:pPr>
        <w:rPr>
          <w:rFonts w:hint="default" w:ascii="Times New Roman" w:hAnsi="Times New Roman" w:cs="Times New Roman"/>
          <w:color w:val="auto"/>
          <w:sz w:val="24"/>
          <w:highlight w:val="none"/>
        </w:rPr>
      </w:pPr>
    </w:p>
    <w:p w14:paraId="029E7BF7">
      <w:pPr>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担保人名称：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（盖单位章）</w:t>
      </w:r>
    </w:p>
    <w:p w14:paraId="7CF09442">
      <w:pPr>
        <w:autoSpaceDE w:val="0"/>
        <w:autoSpaceDN w:val="0"/>
        <w:adjustRightInd w:val="0"/>
        <w:spacing w:line="400" w:lineRule="atLeast"/>
        <w:ind w:firstLine="2400" w:firstLineChars="10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担保人法定代表人或其委托代理人（签字）：</w:t>
      </w:r>
      <w:r>
        <w:rPr>
          <w:rFonts w:hint="default" w:ascii="Times New Roman" w:hAnsi="Times New Roman" w:cs="Times New Roman"/>
          <w:color w:val="auto"/>
          <w:sz w:val="24"/>
          <w:highlight w:val="none"/>
          <w:u w:val="single"/>
        </w:rPr>
        <w:t xml:space="preserve">                 </w:t>
      </w:r>
    </w:p>
    <w:p w14:paraId="02F6ED37">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担保人地址：</w:t>
      </w:r>
      <w:r>
        <w:rPr>
          <w:rFonts w:hint="default" w:ascii="Times New Roman" w:hAnsi="Times New Roman" w:cs="Times New Roman"/>
          <w:color w:val="auto"/>
          <w:sz w:val="24"/>
          <w:highlight w:val="none"/>
          <w:u w:val="single"/>
        </w:rPr>
        <w:t xml:space="preserve">                                        </w:t>
      </w:r>
    </w:p>
    <w:p w14:paraId="398951B1">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担保人电话：</w:t>
      </w:r>
      <w:r>
        <w:rPr>
          <w:rFonts w:hint="default" w:ascii="Times New Roman" w:hAnsi="Times New Roman" w:cs="Times New Roman"/>
          <w:color w:val="auto"/>
          <w:sz w:val="24"/>
          <w:highlight w:val="none"/>
          <w:u w:val="single"/>
        </w:rPr>
        <w:t xml:space="preserve">                  </w:t>
      </w:r>
    </w:p>
    <w:p w14:paraId="1AE8CAAE">
      <w:pPr>
        <w:autoSpaceDE w:val="0"/>
        <w:autoSpaceDN w:val="0"/>
        <w:adjustRightInd w:val="0"/>
        <w:spacing w:line="400" w:lineRule="atLeast"/>
        <w:ind w:left="2409" w:leftChars="1147"/>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担保人传真：</w:t>
      </w:r>
      <w:r>
        <w:rPr>
          <w:rFonts w:hint="default" w:ascii="Times New Roman" w:hAnsi="Times New Roman" w:cs="Times New Roman"/>
          <w:color w:val="auto"/>
          <w:sz w:val="24"/>
          <w:highlight w:val="none"/>
          <w:u w:val="single"/>
        </w:rPr>
        <w:t xml:space="preserve">                  </w:t>
      </w:r>
    </w:p>
    <w:p w14:paraId="25D21CB8">
      <w:pPr>
        <w:pageBreakBefore w:val="0"/>
        <w:kinsoku/>
        <w:wordWrap w:val="0"/>
        <w:overflowPunct/>
        <w:bidi w:val="0"/>
        <w:spacing w:line="440" w:lineRule="exact"/>
        <w:ind w:firstLine="5040" w:firstLineChars="2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5A541CD3">
      <w:pPr>
        <w:pageBreakBefore w:val="0"/>
        <w:kinsoku/>
        <w:wordWrap w:val="0"/>
        <w:bidi w:val="0"/>
        <w:spacing w:line="440" w:lineRule="exact"/>
        <w:rPr>
          <w:rFonts w:hint="default" w:ascii="Times New Roman" w:hAnsi="Times New Roman" w:cs="Times New Roman"/>
          <w:color w:val="auto"/>
          <w:sz w:val="24"/>
          <w:highlight w:val="none"/>
        </w:rPr>
      </w:pPr>
    </w:p>
    <w:p w14:paraId="0856AC06">
      <w:pPr>
        <w:pageBreakBefore w:val="0"/>
        <w:kinsoku/>
        <w:wordWrap w:val="0"/>
        <w:bidi w:val="0"/>
        <w:spacing w:line="440" w:lineRule="exact"/>
        <w:rPr>
          <w:rFonts w:hint="default" w:ascii="Times New Roman" w:hAnsi="Times New Roman" w:eastAsia="黑体" w:cs="Times New Roman"/>
          <w:color w:val="auto"/>
          <w:sz w:val="24"/>
          <w:highlight w:val="none"/>
        </w:rPr>
      </w:pPr>
    </w:p>
    <w:p w14:paraId="6B6EFAB5">
      <w:pPr>
        <w:pageBreakBefore w:val="0"/>
        <w:kinsoku/>
        <w:wordWrap w:val="0"/>
        <w:bidi w:val="0"/>
        <w:spacing w:line="440" w:lineRule="exact"/>
        <w:rPr>
          <w:rFonts w:hint="default" w:ascii="Times New Roman" w:hAnsi="Times New Roman" w:eastAsia="黑体" w:cs="Times New Roman"/>
          <w:color w:val="auto"/>
          <w:sz w:val="24"/>
          <w:highlight w:val="none"/>
        </w:rPr>
      </w:pPr>
    </w:p>
    <w:p w14:paraId="207018A3">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lang w:eastAsia="zh-CN"/>
        </w:rPr>
      </w:pPr>
      <w:bookmarkStart w:id="1957" w:name="_Toc234833264"/>
      <w:r>
        <w:rPr>
          <w:rFonts w:hint="default" w:ascii="Times New Roman" w:hAnsi="Times New Roman" w:eastAsia="黑体" w:cs="Times New Roman"/>
          <w:b w:val="0"/>
          <w:color w:val="auto"/>
          <w:sz w:val="28"/>
          <w:szCs w:val="28"/>
          <w:highlight w:val="none"/>
        </w:rPr>
        <w:br w:type="page"/>
      </w:r>
      <w:bookmarkStart w:id="1958" w:name="_Toc27090"/>
      <w:bookmarkStart w:id="1959" w:name="_Toc3268"/>
      <w:bookmarkStart w:id="1960" w:name="_Toc14539"/>
      <w:r>
        <w:rPr>
          <w:rFonts w:hint="default" w:ascii="Times New Roman" w:hAnsi="Times New Roman" w:eastAsia="黑体" w:cs="Times New Roman"/>
          <w:b w:val="0"/>
          <w:color w:val="auto"/>
          <w:sz w:val="28"/>
          <w:szCs w:val="28"/>
          <w:highlight w:val="none"/>
        </w:rPr>
        <w:t>五、施工组织设计</w:t>
      </w:r>
      <w:bookmarkEnd w:id="1958"/>
      <w:bookmarkEnd w:id="1959"/>
      <w:bookmarkEnd w:id="1960"/>
    </w:p>
    <w:p w14:paraId="2E10A23B">
      <w:pPr>
        <w:pageBreakBefore w:val="0"/>
        <w:kinsoku/>
        <w:wordWrap w:val="0"/>
        <w:bidi w:val="0"/>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（适用于合理低价法和经评审的最低投标价法）</w:t>
      </w:r>
    </w:p>
    <w:p w14:paraId="3ACE575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562EC5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投标人应按以下要点编制施工组织设计（文字宜精炼、内容具有针对性）：</w:t>
      </w:r>
    </w:p>
    <w:p w14:paraId="2A4470DC">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1.总体施工组织布置及规划</w:t>
      </w:r>
    </w:p>
    <w:p w14:paraId="2C87318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2.重点、关键和难点工程的施工方案</w:t>
      </w:r>
    </w:p>
    <w:p w14:paraId="07FD9D0F">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3.工期关键线路图及保证措施</w:t>
      </w:r>
    </w:p>
    <w:p w14:paraId="3558085A">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4.关键工程质量保证措施</w:t>
      </w:r>
    </w:p>
    <w:p w14:paraId="01CF1454">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5.安全保证措施</w:t>
      </w:r>
    </w:p>
    <w:p w14:paraId="5CE73016">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6.环境保护、水土保持、文明施工、文物保护保证措施</w:t>
      </w:r>
    </w:p>
    <w:p w14:paraId="049DEFD2">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7.项目风险预测与防范，事故应急预案</w:t>
      </w:r>
    </w:p>
    <w:p w14:paraId="195FD140">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8.其他应说明的事项</w:t>
      </w:r>
    </w:p>
    <w:p w14:paraId="2A234B49">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p>
    <w:p w14:paraId="1DC3E517">
      <w:pPr>
        <w:pageBreakBefore w:val="0"/>
        <w:kinsoku/>
        <w:wordWrap w:val="0"/>
        <w:bidi w:val="0"/>
        <w:spacing w:before="0" w:after="0" w:line="380" w:lineRule="atLeast"/>
        <w:outlineLvl w:val="9"/>
        <w:rPr>
          <w:rFonts w:hint="default" w:ascii="Times New Roman" w:hAnsi="Times New Roman" w:eastAsia="黑体" w:cs="Times New Roman"/>
          <w:color w:val="auto"/>
          <w:sz w:val="27"/>
          <w:szCs w:val="27"/>
          <w:highlight w:val="none"/>
        </w:rPr>
      </w:pPr>
      <w:r>
        <w:rPr>
          <w:rFonts w:hint="default" w:ascii="Times New Roman" w:hAnsi="Times New Roman" w:eastAsia="黑体" w:cs="Times New Roman"/>
          <w:b w:val="0"/>
          <w:color w:val="auto"/>
          <w:sz w:val="28"/>
          <w:szCs w:val="28"/>
          <w:highlight w:val="none"/>
        </w:rPr>
        <w:br w:type="page"/>
      </w:r>
      <w:bookmarkEnd w:id="1957"/>
    </w:p>
    <w:p w14:paraId="345FFD36">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bookmarkStart w:id="1961" w:name="_Toc12366"/>
      <w:bookmarkStart w:id="1962" w:name="_Toc234833275"/>
      <w:bookmarkStart w:id="1963" w:name="_Toc7173"/>
      <w:bookmarkStart w:id="1964" w:name="_Toc5183"/>
      <w:r>
        <w:rPr>
          <w:rFonts w:hint="default" w:ascii="Times New Roman" w:hAnsi="Times New Roman" w:eastAsia="黑体" w:cs="Times New Roman"/>
          <w:b w:val="0"/>
          <w:color w:val="auto"/>
          <w:sz w:val="28"/>
          <w:szCs w:val="28"/>
          <w:highlight w:val="none"/>
        </w:rPr>
        <w:t>六、项目管理机构</w:t>
      </w:r>
      <w:bookmarkEnd w:id="1961"/>
      <w:bookmarkEnd w:id="1962"/>
      <w:bookmarkEnd w:id="1963"/>
      <w:bookmarkEnd w:id="1964"/>
    </w:p>
    <w:p w14:paraId="144E910B">
      <w:pPr>
        <w:pageBreakBefore w:val="0"/>
        <w:kinsoku/>
        <w:wordWrap w:val="0"/>
        <w:bidi w:val="0"/>
        <w:spacing w:before="0" w:after="0" w:line="380" w:lineRule="atLeast"/>
        <w:outlineLvl w:val="9"/>
        <w:rPr>
          <w:rFonts w:hint="default" w:ascii="Times New Roman" w:hAnsi="Times New Roman" w:eastAsia="黑体" w:cs="Times New Roman"/>
          <w:b w:val="0"/>
          <w:color w:val="auto"/>
          <w:sz w:val="28"/>
          <w:szCs w:val="28"/>
          <w:highlight w:val="none"/>
        </w:rPr>
      </w:pPr>
    </w:p>
    <w:p w14:paraId="1BFAB566">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145D1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2259A31B">
            <w:pPr>
              <w:pageBreakBefore w:val="0"/>
              <w:kinsoku/>
              <w:wordWrap w:val="0"/>
              <w:bidi w:val="0"/>
              <w:spacing w:line="520" w:lineRule="atLeast"/>
              <w:ind w:left="266" w:hanging="266"/>
              <w:rPr>
                <w:rFonts w:hint="default" w:ascii="Times New Roman" w:hAnsi="Times New Roman" w:cs="Times New Roman"/>
                <w:color w:val="auto"/>
                <w:szCs w:val="21"/>
                <w:highlight w:val="none"/>
              </w:rPr>
            </w:pPr>
          </w:p>
          <w:p w14:paraId="71E59562">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拟为承包本标段工程设立的组织机构以框图方式表示。</w:t>
            </w:r>
          </w:p>
          <w:p w14:paraId="0C2396A2">
            <w:pPr>
              <w:pageBreakBefore w:val="0"/>
              <w:kinsoku/>
              <w:wordWrap w:val="0"/>
              <w:bidi w:val="0"/>
              <w:spacing w:line="520" w:lineRule="atLeast"/>
              <w:rPr>
                <w:rFonts w:hint="default" w:ascii="Times New Roman" w:hAnsi="Times New Roman" w:cs="Times New Roman"/>
                <w:color w:val="auto"/>
                <w:szCs w:val="21"/>
                <w:highlight w:val="none"/>
              </w:rPr>
            </w:pPr>
          </w:p>
          <w:p w14:paraId="6188410A">
            <w:pPr>
              <w:pageBreakBefore w:val="0"/>
              <w:kinsoku/>
              <w:wordWrap w:val="0"/>
              <w:bidi w:val="0"/>
              <w:spacing w:line="520" w:lineRule="atLeast"/>
              <w:rPr>
                <w:rFonts w:hint="default" w:ascii="Times New Roman" w:hAnsi="Times New Roman" w:cs="Times New Roman"/>
                <w:color w:val="auto"/>
                <w:szCs w:val="21"/>
                <w:highlight w:val="none"/>
              </w:rPr>
            </w:pPr>
          </w:p>
          <w:p w14:paraId="70C81EF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60B9AC4">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18554DF">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09270658">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3E0E4F62">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5BAF2EA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1791A0FA">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2C2E095D">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6B78BD73">
            <w:pPr>
              <w:pageBreakBefore w:val="0"/>
              <w:kinsoku/>
              <w:wordWrap w:val="0"/>
              <w:bidi w:val="0"/>
              <w:spacing w:line="520" w:lineRule="atLeast"/>
              <w:ind w:right="174" w:rightChars="83"/>
              <w:rPr>
                <w:rFonts w:hint="default" w:ascii="Times New Roman" w:hAnsi="Times New Roman" w:cs="Times New Roman"/>
                <w:color w:val="auto"/>
                <w:szCs w:val="21"/>
                <w:highlight w:val="none"/>
              </w:rPr>
            </w:pPr>
          </w:p>
          <w:p w14:paraId="7B31DAAD">
            <w:pPr>
              <w:pageBreakBefore w:val="0"/>
              <w:kinsoku/>
              <w:wordWrap w:val="0"/>
              <w:bidi w:val="0"/>
              <w:spacing w:line="520" w:lineRule="atLeast"/>
              <w:rPr>
                <w:rFonts w:hint="default" w:ascii="Times New Roman" w:hAnsi="Times New Roman" w:cs="Times New Roman"/>
                <w:color w:val="auto"/>
                <w:szCs w:val="21"/>
                <w:highlight w:val="none"/>
              </w:rPr>
            </w:pPr>
          </w:p>
          <w:p w14:paraId="3D2DC79F">
            <w:pPr>
              <w:pageBreakBefore w:val="0"/>
              <w:kinsoku/>
              <w:wordWrap w:val="0"/>
              <w:bidi w:val="0"/>
              <w:spacing w:line="520" w:lineRule="atLeast"/>
              <w:rPr>
                <w:rFonts w:hint="default" w:ascii="Times New Roman" w:hAnsi="Times New Roman" w:cs="Times New Roman"/>
                <w:color w:val="auto"/>
                <w:szCs w:val="21"/>
                <w:highlight w:val="none"/>
              </w:rPr>
            </w:pPr>
          </w:p>
        </w:tc>
      </w:tr>
      <w:tr w14:paraId="5F1FC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169C0A65">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7F520A8D">
            <w:pPr>
              <w:pageBreakBefore w:val="0"/>
              <w:kinsoku/>
              <w:wordWrap w:val="0"/>
              <w:bidi w:val="0"/>
              <w:spacing w:line="520" w:lineRule="atLeast"/>
              <w:jc w:val="center"/>
              <w:rPr>
                <w:rFonts w:hint="default" w:ascii="Times New Roman" w:hAnsi="Times New Roman" w:cs="Times New Roman"/>
                <w:color w:val="auto"/>
                <w:szCs w:val="21"/>
                <w:highlight w:val="none"/>
              </w:rPr>
            </w:pPr>
          </w:p>
          <w:p w14:paraId="347AD212">
            <w:pPr>
              <w:pageBreakBefore w:val="0"/>
              <w:kinsoku/>
              <w:wordWrap w:val="0"/>
              <w:bidi w:val="0"/>
              <w:spacing w:line="520" w:lineRule="atLeast"/>
              <w:jc w:val="center"/>
              <w:rPr>
                <w:rFonts w:hint="default" w:ascii="Times New Roman" w:hAnsi="Times New Roman" w:cs="Times New Roman"/>
                <w:color w:val="auto"/>
                <w:szCs w:val="21"/>
                <w:highlight w:val="none"/>
              </w:rPr>
            </w:pPr>
          </w:p>
          <w:p w14:paraId="2A2189AB">
            <w:pPr>
              <w:pageBreakBefore w:val="0"/>
              <w:kinsoku/>
              <w:wordWrap w:val="0"/>
              <w:bidi w:val="0"/>
              <w:spacing w:line="520" w:lineRule="atLeast"/>
              <w:jc w:val="center"/>
              <w:rPr>
                <w:rFonts w:hint="default" w:ascii="Times New Roman" w:hAnsi="Times New Roman" w:cs="Times New Roman"/>
                <w:color w:val="auto"/>
                <w:szCs w:val="21"/>
                <w:highlight w:val="none"/>
              </w:rPr>
            </w:pPr>
          </w:p>
          <w:p w14:paraId="62C93544">
            <w:pPr>
              <w:pageBreakBefore w:val="0"/>
              <w:kinsoku/>
              <w:wordWrap w:val="0"/>
              <w:bidi w:val="0"/>
              <w:spacing w:line="520" w:lineRule="atLeast"/>
              <w:jc w:val="center"/>
              <w:rPr>
                <w:rFonts w:hint="default" w:ascii="Times New Roman" w:hAnsi="Times New Roman" w:cs="Times New Roman"/>
                <w:color w:val="auto"/>
                <w:szCs w:val="21"/>
                <w:highlight w:val="none"/>
              </w:rPr>
            </w:pPr>
          </w:p>
        </w:tc>
      </w:tr>
    </w:tbl>
    <w:p w14:paraId="6D10CAD6">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color w:val="auto"/>
          <w:sz w:val="20"/>
          <w:szCs w:val="20"/>
          <w:highlight w:val="none"/>
        </w:rPr>
      </w:pPr>
    </w:p>
    <w:p w14:paraId="6C1D7A9B">
      <w:pPr>
        <w:pageBreakBefore w:val="0"/>
        <w:kinsoku/>
        <w:wordWrap w:val="0"/>
        <w:bidi w:val="0"/>
        <w:spacing w:line="440" w:lineRule="exact"/>
        <w:jc w:val="center"/>
        <w:rPr>
          <w:rFonts w:hint="default" w:ascii="Times New Roman" w:hAnsi="Times New Roman" w:eastAsia="黑体" w:cs="Times New Roman"/>
          <w:color w:val="auto"/>
          <w:sz w:val="20"/>
          <w:szCs w:val="20"/>
          <w:highlight w:val="none"/>
        </w:rPr>
      </w:pPr>
    </w:p>
    <w:p w14:paraId="21E38D17">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bookmarkStart w:id="1965" w:name="_Toc234833278"/>
      <w:bookmarkStart w:id="1966" w:name="_Toc9573"/>
      <w:r>
        <w:rPr>
          <w:rFonts w:hint="eastAsia" w:eastAsia="黑体" w:cs="Times New Roman"/>
          <w:b w:val="0"/>
          <w:bCs/>
          <w:color w:val="auto"/>
          <w:kern w:val="44"/>
          <w:sz w:val="28"/>
          <w:szCs w:val="28"/>
          <w:highlight w:val="none"/>
          <w:lang w:val="en-US" w:eastAsia="zh-CN"/>
        </w:rPr>
        <w:br w:type="page"/>
      </w:r>
    </w:p>
    <w:p w14:paraId="7B46A73E">
      <w:pPr>
        <w:pStyle w:val="3"/>
        <w:wordWrap w:val="0"/>
        <w:spacing w:before="0" w:after="0" w:line="380" w:lineRule="atLeast"/>
        <w:jc w:val="center"/>
        <w:outlineLvl w:val="1"/>
        <w:rPr>
          <w:i w:val="0"/>
          <w:iCs w:val="0"/>
          <w:color w:val="auto"/>
          <w:sz w:val="28"/>
          <w:szCs w:val="28"/>
          <w:highlight w:val="none"/>
        </w:rPr>
      </w:pPr>
      <w:bookmarkStart w:id="1967" w:name="_Toc26668"/>
      <w:bookmarkStart w:id="1968" w:name="_Toc1872"/>
      <w:bookmarkStart w:id="1969" w:name="_Toc234833276"/>
      <w:r>
        <w:rPr>
          <w:i w:val="0"/>
          <w:iCs w:val="0"/>
          <w:color w:val="auto"/>
          <w:sz w:val="28"/>
          <w:szCs w:val="28"/>
          <w:highlight w:val="none"/>
        </w:rPr>
        <w:t>七、拟分包项目情况表</w:t>
      </w:r>
      <w:bookmarkEnd w:id="1967"/>
      <w:bookmarkEnd w:id="1968"/>
      <w:bookmarkEnd w:id="1969"/>
    </w:p>
    <w:p w14:paraId="20D95EB5">
      <w:pPr>
        <w:wordWrap w:val="0"/>
        <w:spacing w:line="440" w:lineRule="exact"/>
        <w:rPr>
          <w:rFonts w:eastAsia="黑体"/>
          <w:color w:val="auto"/>
          <w:sz w:val="20"/>
          <w:szCs w:val="20"/>
          <w:highlight w:val="none"/>
        </w:rPr>
      </w:pPr>
      <w:r>
        <w:rPr>
          <w:rFonts w:eastAsia="黑体"/>
          <w:color w:val="auto"/>
          <w:sz w:val="20"/>
          <w:szCs w:val="20"/>
          <w:highlight w:val="none"/>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10D3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vAlign w:val="center"/>
          </w:tcPr>
          <w:p w14:paraId="10E1AC85">
            <w:pPr>
              <w:wordWrap w:val="0"/>
              <w:spacing w:line="440" w:lineRule="exact"/>
              <w:jc w:val="center"/>
              <w:rPr>
                <w:color w:val="auto"/>
                <w:szCs w:val="21"/>
                <w:highlight w:val="none"/>
              </w:rPr>
            </w:pPr>
            <w:r>
              <w:rPr>
                <w:color w:val="auto"/>
                <w:szCs w:val="21"/>
                <w:highlight w:val="none"/>
              </w:rPr>
              <w:t>拟分包的工程项目</w:t>
            </w:r>
          </w:p>
        </w:tc>
        <w:tc>
          <w:tcPr>
            <w:tcW w:w="2456" w:type="dxa"/>
            <w:vAlign w:val="center"/>
          </w:tcPr>
          <w:p w14:paraId="2587673C">
            <w:pPr>
              <w:wordWrap w:val="0"/>
              <w:spacing w:line="440" w:lineRule="exact"/>
              <w:jc w:val="center"/>
              <w:rPr>
                <w:color w:val="auto"/>
                <w:szCs w:val="21"/>
                <w:highlight w:val="none"/>
              </w:rPr>
            </w:pPr>
            <w:r>
              <w:rPr>
                <w:color w:val="auto"/>
                <w:szCs w:val="21"/>
                <w:highlight w:val="none"/>
              </w:rPr>
              <w:t>主要工程内容</w:t>
            </w:r>
          </w:p>
        </w:tc>
        <w:tc>
          <w:tcPr>
            <w:tcW w:w="1864" w:type="dxa"/>
            <w:vAlign w:val="center"/>
          </w:tcPr>
          <w:p w14:paraId="7C51AC3D">
            <w:pPr>
              <w:wordWrap w:val="0"/>
              <w:spacing w:line="440" w:lineRule="exact"/>
              <w:jc w:val="center"/>
              <w:rPr>
                <w:color w:val="auto"/>
                <w:szCs w:val="21"/>
                <w:highlight w:val="none"/>
              </w:rPr>
            </w:pPr>
            <w:r>
              <w:rPr>
                <w:color w:val="auto"/>
                <w:szCs w:val="21"/>
                <w:highlight w:val="none"/>
              </w:rPr>
              <w:t>预计造价（万元）</w:t>
            </w:r>
          </w:p>
        </w:tc>
        <w:tc>
          <w:tcPr>
            <w:tcW w:w="2582" w:type="dxa"/>
            <w:vAlign w:val="center"/>
          </w:tcPr>
          <w:p w14:paraId="5CC25D38">
            <w:pPr>
              <w:wordWrap w:val="0"/>
              <w:spacing w:line="440" w:lineRule="exact"/>
              <w:jc w:val="center"/>
              <w:rPr>
                <w:color w:val="auto"/>
                <w:szCs w:val="21"/>
                <w:highlight w:val="none"/>
              </w:rPr>
            </w:pPr>
            <w:r>
              <w:rPr>
                <w:color w:val="auto"/>
                <w:szCs w:val="21"/>
                <w:highlight w:val="none"/>
              </w:rPr>
              <w:t>备 注</w:t>
            </w:r>
          </w:p>
        </w:tc>
      </w:tr>
      <w:tr w14:paraId="5177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vAlign w:val="center"/>
          </w:tcPr>
          <w:p w14:paraId="4FB155FE">
            <w:pPr>
              <w:wordWrap w:val="0"/>
              <w:spacing w:line="440" w:lineRule="exact"/>
              <w:jc w:val="center"/>
              <w:rPr>
                <w:color w:val="auto"/>
                <w:szCs w:val="21"/>
                <w:highlight w:val="none"/>
              </w:rPr>
            </w:pPr>
          </w:p>
        </w:tc>
        <w:tc>
          <w:tcPr>
            <w:tcW w:w="2456" w:type="dxa"/>
            <w:vAlign w:val="center"/>
          </w:tcPr>
          <w:p w14:paraId="2ED6DF2A">
            <w:pPr>
              <w:wordWrap w:val="0"/>
              <w:spacing w:line="440" w:lineRule="exact"/>
              <w:jc w:val="center"/>
              <w:rPr>
                <w:color w:val="auto"/>
                <w:szCs w:val="21"/>
                <w:highlight w:val="none"/>
              </w:rPr>
            </w:pPr>
          </w:p>
        </w:tc>
        <w:tc>
          <w:tcPr>
            <w:tcW w:w="1864" w:type="dxa"/>
            <w:vAlign w:val="center"/>
          </w:tcPr>
          <w:p w14:paraId="6EA4229C">
            <w:pPr>
              <w:wordWrap w:val="0"/>
              <w:spacing w:line="440" w:lineRule="exact"/>
              <w:jc w:val="center"/>
              <w:rPr>
                <w:color w:val="auto"/>
                <w:szCs w:val="21"/>
                <w:highlight w:val="none"/>
              </w:rPr>
            </w:pPr>
          </w:p>
        </w:tc>
        <w:tc>
          <w:tcPr>
            <w:tcW w:w="2582" w:type="dxa"/>
            <w:vMerge w:val="restart"/>
            <w:vAlign w:val="center"/>
          </w:tcPr>
          <w:p w14:paraId="04D74189">
            <w:pPr>
              <w:wordWrap w:val="0"/>
              <w:spacing w:line="440" w:lineRule="exact"/>
              <w:rPr>
                <w:color w:val="auto"/>
                <w:szCs w:val="21"/>
                <w:highlight w:val="none"/>
              </w:rPr>
            </w:pPr>
            <w:r>
              <w:rPr>
                <w:color w:val="auto"/>
                <w:szCs w:val="21"/>
                <w:highlight w:val="none"/>
              </w:rPr>
              <w:t>注：若无分包计划，则投标人应在本表填写</w:t>
            </w:r>
            <w:r>
              <w:rPr>
                <w:rFonts w:hint="eastAsia" w:ascii="宋体" w:hAnsi="宋体" w:eastAsia="宋体" w:cs="宋体"/>
                <w:color w:val="auto"/>
                <w:szCs w:val="21"/>
                <w:highlight w:val="none"/>
              </w:rPr>
              <w:t>“</w:t>
            </w:r>
            <w:r>
              <w:rPr>
                <w:color w:val="auto"/>
                <w:szCs w:val="21"/>
                <w:highlight w:val="none"/>
              </w:rPr>
              <w:t>无</w:t>
            </w:r>
            <w:r>
              <w:rPr>
                <w:rFonts w:hint="eastAsia" w:ascii="宋体" w:hAnsi="宋体" w:eastAsia="宋体" w:cs="宋体"/>
                <w:color w:val="auto"/>
                <w:szCs w:val="21"/>
                <w:highlight w:val="none"/>
              </w:rPr>
              <w:t>”</w:t>
            </w:r>
          </w:p>
        </w:tc>
      </w:tr>
      <w:tr w14:paraId="39B6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vAlign w:val="center"/>
          </w:tcPr>
          <w:p w14:paraId="14BA808C">
            <w:pPr>
              <w:wordWrap w:val="0"/>
              <w:spacing w:line="440" w:lineRule="exact"/>
              <w:jc w:val="center"/>
              <w:rPr>
                <w:color w:val="auto"/>
                <w:szCs w:val="21"/>
                <w:highlight w:val="none"/>
              </w:rPr>
            </w:pPr>
          </w:p>
        </w:tc>
        <w:tc>
          <w:tcPr>
            <w:tcW w:w="2456" w:type="dxa"/>
            <w:vAlign w:val="center"/>
          </w:tcPr>
          <w:p w14:paraId="0567194E">
            <w:pPr>
              <w:wordWrap w:val="0"/>
              <w:spacing w:line="440" w:lineRule="exact"/>
              <w:jc w:val="center"/>
              <w:rPr>
                <w:color w:val="auto"/>
                <w:szCs w:val="21"/>
                <w:highlight w:val="none"/>
              </w:rPr>
            </w:pPr>
          </w:p>
        </w:tc>
        <w:tc>
          <w:tcPr>
            <w:tcW w:w="1864" w:type="dxa"/>
            <w:vAlign w:val="center"/>
          </w:tcPr>
          <w:p w14:paraId="5CAD30C3">
            <w:pPr>
              <w:wordWrap w:val="0"/>
              <w:spacing w:line="440" w:lineRule="exact"/>
              <w:jc w:val="center"/>
              <w:rPr>
                <w:color w:val="auto"/>
                <w:szCs w:val="21"/>
                <w:highlight w:val="none"/>
              </w:rPr>
            </w:pPr>
          </w:p>
        </w:tc>
        <w:tc>
          <w:tcPr>
            <w:tcW w:w="2582" w:type="dxa"/>
            <w:vMerge w:val="continue"/>
            <w:vAlign w:val="center"/>
          </w:tcPr>
          <w:p w14:paraId="6BF7AE6D">
            <w:pPr>
              <w:wordWrap w:val="0"/>
              <w:spacing w:line="440" w:lineRule="exact"/>
              <w:jc w:val="center"/>
              <w:rPr>
                <w:color w:val="auto"/>
                <w:szCs w:val="21"/>
                <w:highlight w:val="none"/>
              </w:rPr>
            </w:pPr>
          </w:p>
        </w:tc>
      </w:tr>
      <w:tr w14:paraId="1ED4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4EF0BEB">
            <w:pPr>
              <w:wordWrap w:val="0"/>
              <w:spacing w:line="440" w:lineRule="exact"/>
              <w:jc w:val="center"/>
              <w:rPr>
                <w:color w:val="auto"/>
                <w:szCs w:val="21"/>
                <w:highlight w:val="none"/>
              </w:rPr>
            </w:pPr>
          </w:p>
        </w:tc>
        <w:tc>
          <w:tcPr>
            <w:tcW w:w="2456" w:type="dxa"/>
            <w:vAlign w:val="center"/>
          </w:tcPr>
          <w:p w14:paraId="1F911D5C">
            <w:pPr>
              <w:wordWrap w:val="0"/>
              <w:spacing w:line="440" w:lineRule="exact"/>
              <w:jc w:val="center"/>
              <w:rPr>
                <w:color w:val="auto"/>
                <w:szCs w:val="21"/>
                <w:highlight w:val="none"/>
              </w:rPr>
            </w:pPr>
          </w:p>
        </w:tc>
        <w:tc>
          <w:tcPr>
            <w:tcW w:w="1864" w:type="dxa"/>
            <w:vAlign w:val="center"/>
          </w:tcPr>
          <w:p w14:paraId="53CAA873">
            <w:pPr>
              <w:wordWrap w:val="0"/>
              <w:spacing w:line="440" w:lineRule="exact"/>
              <w:jc w:val="center"/>
              <w:rPr>
                <w:color w:val="auto"/>
                <w:szCs w:val="21"/>
                <w:highlight w:val="none"/>
              </w:rPr>
            </w:pPr>
          </w:p>
        </w:tc>
        <w:tc>
          <w:tcPr>
            <w:tcW w:w="2582" w:type="dxa"/>
            <w:vMerge w:val="continue"/>
            <w:vAlign w:val="center"/>
          </w:tcPr>
          <w:p w14:paraId="3E92022A">
            <w:pPr>
              <w:wordWrap w:val="0"/>
              <w:spacing w:line="440" w:lineRule="exact"/>
              <w:jc w:val="center"/>
              <w:rPr>
                <w:color w:val="auto"/>
                <w:szCs w:val="21"/>
                <w:highlight w:val="none"/>
              </w:rPr>
            </w:pPr>
          </w:p>
        </w:tc>
      </w:tr>
      <w:tr w14:paraId="2820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vAlign w:val="center"/>
          </w:tcPr>
          <w:p w14:paraId="30CA502D">
            <w:pPr>
              <w:wordWrap w:val="0"/>
              <w:spacing w:line="440" w:lineRule="exact"/>
              <w:jc w:val="center"/>
              <w:rPr>
                <w:color w:val="auto"/>
                <w:szCs w:val="21"/>
                <w:highlight w:val="none"/>
              </w:rPr>
            </w:pPr>
          </w:p>
        </w:tc>
        <w:tc>
          <w:tcPr>
            <w:tcW w:w="2456" w:type="dxa"/>
            <w:vAlign w:val="center"/>
          </w:tcPr>
          <w:p w14:paraId="4AA9C896">
            <w:pPr>
              <w:wordWrap w:val="0"/>
              <w:spacing w:line="440" w:lineRule="exact"/>
              <w:jc w:val="center"/>
              <w:rPr>
                <w:color w:val="auto"/>
                <w:szCs w:val="21"/>
                <w:highlight w:val="none"/>
              </w:rPr>
            </w:pPr>
          </w:p>
        </w:tc>
        <w:tc>
          <w:tcPr>
            <w:tcW w:w="1864" w:type="dxa"/>
            <w:vAlign w:val="center"/>
          </w:tcPr>
          <w:p w14:paraId="50C7913F">
            <w:pPr>
              <w:wordWrap w:val="0"/>
              <w:spacing w:line="440" w:lineRule="exact"/>
              <w:jc w:val="center"/>
              <w:rPr>
                <w:color w:val="auto"/>
                <w:szCs w:val="21"/>
                <w:highlight w:val="none"/>
              </w:rPr>
            </w:pPr>
          </w:p>
        </w:tc>
        <w:tc>
          <w:tcPr>
            <w:tcW w:w="2582" w:type="dxa"/>
            <w:vMerge w:val="continue"/>
            <w:vAlign w:val="center"/>
          </w:tcPr>
          <w:p w14:paraId="0F659B43">
            <w:pPr>
              <w:wordWrap w:val="0"/>
              <w:spacing w:line="440" w:lineRule="exact"/>
              <w:jc w:val="center"/>
              <w:rPr>
                <w:color w:val="auto"/>
                <w:szCs w:val="21"/>
                <w:highlight w:val="none"/>
              </w:rPr>
            </w:pPr>
          </w:p>
        </w:tc>
      </w:tr>
      <w:tr w14:paraId="3BF9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vAlign w:val="center"/>
          </w:tcPr>
          <w:p w14:paraId="052F7938">
            <w:pPr>
              <w:wordWrap w:val="0"/>
              <w:spacing w:line="440" w:lineRule="exact"/>
              <w:jc w:val="center"/>
              <w:rPr>
                <w:color w:val="auto"/>
                <w:szCs w:val="21"/>
                <w:highlight w:val="none"/>
              </w:rPr>
            </w:pPr>
          </w:p>
        </w:tc>
        <w:tc>
          <w:tcPr>
            <w:tcW w:w="2456" w:type="dxa"/>
            <w:vAlign w:val="center"/>
          </w:tcPr>
          <w:p w14:paraId="2B0A2D25">
            <w:pPr>
              <w:wordWrap w:val="0"/>
              <w:spacing w:line="440" w:lineRule="exact"/>
              <w:jc w:val="center"/>
              <w:rPr>
                <w:color w:val="auto"/>
                <w:szCs w:val="21"/>
                <w:highlight w:val="none"/>
              </w:rPr>
            </w:pPr>
          </w:p>
        </w:tc>
        <w:tc>
          <w:tcPr>
            <w:tcW w:w="1864" w:type="dxa"/>
            <w:vAlign w:val="center"/>
          </w:tcPr>
          <w:p w14:paraId="0F205CBA">
            <w:pPr>
              <w:wordWrap w:val="0"/>
              <w:spacing w:line="440" w:lineRule="exact"/>
              <w:jc w:val="center"/>
              <w:rPr>
                <w:color w:val="auto"/>
                <w:szCs w:val="21"/>
                <w:highlight w:val="none"/>
              </w:rPr>
            </w:pPr>
          </w:p>
        </w:tc>
        <w:tc>
          <w:tcPr>
            <w:tcW w:w="2582" w:type="dxa"/>
            <w:vMerge w:val="continue"/>
            <w:vAlign w:val="center"/>
          </w:tcPr>
          <w:p w14:paraId="61C97398">
            <w:pPr>
              <w:wordWrap w:val="0"/>
              <w:spacing w:line="440" w:lineRule="exact"/>
              <w:jc w:val="center"/>
              <w:rPr>
                <w:color w:val="auto"/>
                <w:szCs w:val="21"/>
                <w:highlight w:val="none"/>
              </w:rPr>
            </w:pPr>
          </w:p>
        </w:tc>
      </w:tr>
      <w:tr w14:paraId="64BF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4BB1E689">
            <w:pPr>
              <w:wordWrap w:val="0"/>
              <w:spacing w:line="440" w:lineRule="exact"/>
              <w:jc w:val="center"/>
              <w:rPr>
                <w:color w:val="auto"/>
                <w:szCs w:val="21"/>
                <w:highlight w:val="none"/>
              </w:rPr>
            </w:pPr>
          </w:p>
        </w:tc>
        <w:tc>
          <w:tcPr>
            <w:tcW w:w="2456" w:type="dxa"/>
            <w:vAlign w:val="center"/>
          </w:tcPr>
          <w:p w14:paraId="68B0F703">
            <w:pPr>
              <w:wordWrap w:val="0"/>
              <w:spacing w:line="440" w:lineRule="exact"/>
              <w:jc w:val="center"/>
              <w:rPr>
                <w:color w:val="auto"/>
                <w:szCs w:val="21"/>
                <w:highlight w:val="none"/>
              </w:rPr>
            </w:pPr>
          </w:p>
        </w:tc>
        <w:tc>
          <w:tcPr>
            <w:tcW w:w="1864" w:type="dxa"/>
            <w:vAlign w:val="center"/>
          </w:tcPr>
          <w:p w14:paraId="0A2BC9C8">
            <w:pPr>
              <w:wordWrap w:val="0"/>
              <w:spacing w:line="440" w:lineRule="exact"/>
              <w:jc w:val="center"/>
              <w:rPr>
                <w:color w:val="auto"/>
                <w:szCs w:val="21"/>
                <w:highlight w:val="none"/>
              </w:rPr>
            </w:pPr>
          </w:p>
        </w:tc>
        <w:tc>
          <w:tcPr>
            <w:tcW w:w="2582" w:type="dxa"/>
            <w:vMerge w:val="continue"/>
            <w:vAlign w:val="center"/>
          </w:tcPr>
          <w:p w14:paraId="1F8247D0">
            <w:pPr>
              <w:wordWrap w:val="0"/>
              <w:spacing w:line="440" w:lineRule="exact"/>
              <w:jc w:val="center"/>
              <w:rPr>
                <w:color w:val="auto"/>
                <w:szCs w:val="21"/>
                <w:highlight w:val="none"/>
              </w:rPr>
            </w:pPr>
          </w:p>
        </w:tc>
      </w:tr>
      <w:tr w14:paraId="1F50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917C10C">
            <w:pPr>
              <w:wordWrap w:val="0"/>
              <w:spacing w:line="440" w:lineRule="exact"/>
              <w:jc w:val="center"/>
              <w:rPr>
                <w:color w:val="auto"/>
                <w:szCs w:val="21"/>
                <w:highlight w:val="none"/>
              </w:rPr>
            </w:pPr>
          </w:p>
        </w:tc>
        <w:tc>
          <w:tcPr>
            <w:tcW w:w="2456" w:type="dxa"/>
            <w:vAlign w:val="center"/>
          </w:tcPr>
          <w:p w14:paraId="7A8F3C98">
            <w:pPr>
              <w:wordWrap w:val="0"/>
              <w:spacing w:line="440" w:lineRule="exact"/>
              <w:jc w:val="center"/>
              <w:rPr>
                <w:color w:val="auto"/>
                <w:szCs w:val="21"/>
                <w:highlight w:val="none"/>
              </w:rPr>
            </w:pPr>
          </w:p>
        </w:tc>
        <w:tc>
          <w:tcPr>
            <w:tcW w:w="1864" w:type="dxa"/>
            <w:vAlign w:val="center"/>
          </w:tcPr>
          <w:p w14:paraId="1D382B38">
            <w:pPr>
              <w:wordWrap w:val="0"/>
              <w:spacing w:line="440" w:lineRule="exact"/>
              <w:jc w:val="center"/>
              <w:rPr>
                <w:color w:val="auto"/>
                <w:szCs w:val="21"/>
                <w:highlight w:val="none"/>
              </w:rPr>
            </w:pPr>
          </w:p>
        </w:tc>
        <w:tc>
          <w:tcPr>
            <w:tcW w:w="2582" w:type="dxa"/>
            <w:vMerge w:val="continue"/>
            <w:vAlign w:val="center"/>
          </w:tcPr>
          <w:p w14:paraId="191F6891">
            <w:pPr>
              <w:wordWrap w:val="0"/>
              <w:spacing w:line="440" w:lineRule="exact"/>
              <w:jc w:val="center"/>
              <w:rPr>
                <w:color w:val="auto"/>
                <w:szCs w:val="21"/>
                <w:highlight w:val="none"/>
              </w:rPr>
            </w:pPr>
          </w:p>
        </w:tc>
      </w:tr>
      <w:tr w14:paraId="4B46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07BCE01">
            <w:pPr>
              <w:wordWrap w:val="0"/>
              <w:spacing w:line="440" w:lineRule="exact"/>
              <w:jc w:val="center"/>
              <w:rPr>
                <w:color w:val="auto"/>
                <w:szCs w:val="21"/>
                <w:highlight w:val="none"/>
              </w:rPr>
            </w:pPr>
          </w:p>
        </w:tc>
        <w:tc>
          <w:tcPr>
            <w:tcW w:w="2456" w:type="dxa"/>
            <w:vAlign w:val="center"/>
          </w:tcPr>
          <w:p w14:paraId="4BDFE9DE">
            <w:pPr>
              <w:wordWrap w:val="0"/>
              <w:spacing w:line="440" w:lineRule="exact"/>
              <w:jc w:val="center"/>
              <w:rPr>
                <w:color w:val="auto"/>
                <w:szCs w:val="21"/>
                <w:highlight w:val="none"/>
              </w:rPr>
            </w:pPr>
          </w:p>
        </w:tc>
        <w:tc>
          <w:tcPr>
            <w:tcW w:w="1864" w:type="dxa"/>
            <w:vAlign w:val="center"/>
          </w:tcPr>
          <w:p w14:paraId="45783A30">
            <w:pPr>
              <w:wordWrap w:val="0"/>
              <w:spacing w:line="440" w:lineRule="exact"/>
              <w:jc w:val="center"/>
              <w:rPr>
                <w:color w:val="auto"/>
                <w:szCs w:val="21"/>
                <w:highlight w:val="none"/>
              </w:rPr>
            </w:pPr>
          </w:p>
        </w:tc>
        <w:tc>
          <w:tcPr>
            <w:tcW w:w="2582" w:type="dxa"/>
            <w:vMerge w:val="continue"/>
            <w:vAlign w:val="center"/>
          </w:tcPr>
          <w:p w14:paraId="79B26971">
            <w:pPr>
              <w:wordWrap w:val="0"/>
              <w:spacing w:line="440" w:lineRule="exact"/>
              <w:jc w:val="center"/>
              <w:rPr>
                <w:color w:val="auto"/>
                <w:szCs w:val="21"/>
                <w:highlight w:val="none"/>
              </w:rPr>
            </w:pPr>
          </w:p>
        </w:tc>
      </w:tr>
      <w:tr w14:paraId="64CE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A70C7D8">
            <w:pPr>
              <w:wordWrap w:val="0"/>
              <w:spacing w:line="440" w:lineRule="exact"/>
              <w:jc w:val="center"/>
              <w:rPr>
                <w:color w:val="auto"/>
                <w:szCs w:val="21"/>
                <w:highlight w:val="none"/>
              </w:rPr>
            </w:pPr>
          </w:p>
        </w:tc>
        <w:tc>
          <w:tcPr>
            <w:tcW w:w="2456" w:type="dxa"/>
            <w:vAlign w:val="center"/>
          </w:tcPr>
          <w:p w14:paraId="22F82A50">
            <w:pPr>
              <w:wordWrap w:val="0"/>
              <w:spacing w:line="440" w:lineRule="exact"/>
              <w:jc w:val="center"/>
              <w:rPr>
                <w:color w:val="auto"/>
                <w:szCs w:val="21"/>
                <w:highlight w:val="none"/>
              </w:rPr>
            </w:pPr>
          </w:p>
        </w:tc>
        <w:tc>
          <w:tcPr>
            <w:tcW w:w="1864" w:type="dxa"/>
            <w:vAlign w:val="center"/>
          </w:tcPr>
          <w:p w14:paraId="22A63B4A">
            <w:pPr>
              <w:wordWrap w:val="0"/>
              <w:spacing w:line="440" w:lineRule="exact"/>
              <w:jc w:val="center"/>
              <w:rPr>
                <w:color w:val="auto"/>
                <w:szCs w:val="21"/>
                <w:highlight w:val="none"/>
              </w:rPr>
            </w:pPr>
          </w:p>
        </w:tc>
        <w:tc>
          <w:tcPr>
            <w:tcW w:w="2582" w:type="dxa"/>
            <w:vMerge w:val="continue"/>
            <w:vAlign w:val="center"/>
          </w:tcPr>
          <w:p w14:paraId="4A352E63">
            <w:pPr>
              <w:wordWrap w:val="0"/>
              <w:spacing w:line="440" w:lineRule="exact"/>
              <w:jc w:val="center"/>
              <w:rPr>
                <w:color w:val="auto"/>
                <w:szCs w:val="21"/>
                <w:highlight w:val="none"/>
              </w:rPr>
            </w:pPr>
          </w:p>
        </w:tc>
      </w:tr>
      <w:tr w14:paraId="29C1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5F056F6A">
            <w:pPr>
              <w:wordWrap w:val="0"/>
              <w:spacing w:line="440" w:lineRule="exact"/>
              <w:jc w:val="center"/>
              <w:rPr>
                <w:color w:val="auto"/>
                <w:szCs w:val="21"/>
                <w:highlight w:val="none"/>
              </w:rPr>
            </w:pPr>
          </w:p>
        </w:tc>
        <w:tc>
          <w:tcPr>
            <w:tcW w:w="2456" w:type="dxa"/>
            <w:vAlign w:val="center"/>
          </w:tcPr>
          <w:p w14:paraId="71FF8EF6">
            <w:pPr>
              <w:wordWrap w:val="0"/>
              <w:spacing w:line="440" w:lineRule="exact"/>
              <w:jc w:val="center"/>
              <w:rPr>
                <w:color w:val="auto"/>
                <w:szCs w:val="21"/>
                <w:highlight w:val="none"/>
              </w:rPr>
            </w:pPr>
          </w:p>
        </w:tc>
        <w:tc>
          <w:tcPr>
            <w:tcW w:w="1864" w:type="dxa"/>
            <w:vAlign w:val="center"/>
          </w:tcPr>
          <w:p w14:paraId="25E1EA97">
            <w:pPr>
              <w:wordWrap w:val="0"/>
              <w:spacing w:line="440" w:lineRule="exact"/>
              <w:jc w:val="center"/>
              <w:rPr>
                <w:color w:val="auto"/>
                <w:szCs w:val="21"/>
                <w:highlight w:val="none"/>
              </w:rPr>
            </w:pPr>
          </w:p>
        </w:tc>
        <w:tc>
          <w:tcPr>
            <w:tcW w:w="2582" w:type="dxa"/>
            <w:vMerge w:val="continue"/>
            <w:vAlign w:val="center"/>
          </w:tcPr>
          <w:p w14:paraId="3B0FC6C4">
            <w:pPr>
              <w:wordWrap w:val="0"/>
              <w:spacing w:line="440" w:lineRule="exact"/>
              <w:jc w:val="center"/>
              <w:rPr>
                <w:color w:val="auto"/>
                <w:szCs w:val="21"/>
                <w:highlight w:val="none"/>
              </w:rPr>
            </w:pPr>
          </w:p>
        </w:tc>
      </w:tr>
      <w:tr w14:paraId="6651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FF68133">
            <w:pPr>
              <w:wordWrap w:val="0"/>
              <w:spacing w:line="440" w:lineRule="exact"/>
              <w:jc w:val="center"/>
              <w:rPr>
                <w:color w:val="auto"/>
                <w:szCs w:val="21"/>
                <w:highlight w:val="none"/>
              </w:rPr>
            </w:pPr>
          </w:p>
        </w:tc>
        <w:tc>
          <w:tcPr>
            <w:tcW w:w="2456" w:type="dxa"/>
            <w:vAlign w:val="center"/>
          </w:tcPr>
          <w:p w14:paraId="5AE25D66">
            <w:pPr>
              <w:wordWrap w:val="0"/>
              <w:spacing w:line="440" w:lineRule="exact"/>
              <w:jc w:val="center"/>
              <w:rPr>
                <w:color w:val="auto"/>
                <w:szCs w:val="21"/>
                <w:highlight w:val="none"/>
              </w:rPr>
            </w:pPr>
          </w:p>
        </w:tc>
        <w:tc>
          <w:tcPr>
            <w:tcW w:w="1864" w:type="dxa"/>
            <w:vAlign w:val="center"/>
          </w:tcPr>
          <w:p w14:paraId="4AA52F57">
            <w:pPr>
              <w:wordWrap w:val="0"/>
              <w:spacing w:line="440" w:lineRule="exact"/>
              <w:jc w:val="center"/>
              <w:rPr>
                <w:color w:val="auto"/>
                <w:szCs w:val="21"/>
                <w:highlight w:val="none"/>
              </w:rPr>
            </w:pPr>
          </w:p>
        </w:tc>
        <w:tc>
          <w:tcPr>
            <w:tcW w:w="2582" w:type="dxa"/>
            <w:vMerge w:val="continue"/>
            <w:vAlign w:val="center"/>
          </w:tcPr>
          <w:p w14:paraId="22F2AABE">
            <w:pPr>
              <w:wordWrap w:val="0"/>
              <w:spacing w:line="440" w:lineRule="exact"/>
              <w:jc w:val="center"/>
              <w:rPr>
                <w:color w:val="auto"/>
                <w:szCs w:val="21"/>
                <w:highlight w:val="none"/>
              </w:rPr>
            </w:pPr>
          </w:p>
        </w:tc>
      </w:tr>
      <w:tr w14:paraId="593E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0" w:hRule="atLeast"/>
        </w:trPr>
        <w:tc>
          <w:tcPr>
            <w:tcW w:w="1989" w:type="dxa"/>
            <w:vAlign w:val="center"/>
          </w:tcPr>
          <w:p w14:paraId="50AB2DDF">
            <w:pPr>
              <w:wordWrap w:val="0"/>
              <w:spacing w:line="440" w:lineRule="exact"/>
              <w:jc w:val="center"/>
              <w:rPr>
                <w:color w:val="auto"/>
                <w:szCs w:val="21"/>
                <w:highlight w:val="none"/>
              </w:rPr>
            </w:pPr>
          </w:p>
        </w:tc>
        <w:tc>
          <w:tcPr>
            <w:tcW w:w="2456" w:type="dxa"/>
            <w:vAlign w:val="center"/>
          </w:tcPr>
          <w:p w14:paraId="59191606">
            <w:pPr>
              <w:wordWrap w:val="0"/>
              <w:spacing w:line="440" w:lineRule="exact"/>
              <w:jc w:val="center"/>
              <w:rPr>
                <w:color w:val="auto"/>
                <w:szCs w:val="21"/>
                <w:highlight w:val="none"/>
              </w:rPr>
            </w:pPr>
          </w:p>
        </w:tc>
        <w:tc>
          <w:tcPr>
            <w:tcW w:w="1864" w:type="dxa"/>
            <w:vAlign w:val="center"/>
          </w:tcPr>
          <w:p w14:paraId="4419CAD8">
            <w:pPr>
              <w:wordWrap w:val="0"/>
              <w:spacing w:line="440" w:lineRule="exact"/>
              <w:jc w:val="center"/>
              <w:rPr>
                <w:color w:val="auto"/>
                <w:szCs w:val="21"/>
                <w:highlight w:val="none"/>
              </w:rPr>
            </w:pPr>
          </w:p>
        </w:tc>
        <w:tc>
          <w:tcPr>
            <w:tcW w:w="2582" w:type="dxa"/>
            <w:vMerge w:val="continue"/>
            <w:vAlign w:val="center"/>
          </w:tcPr>
          <w:p w14:paraId="17F95C63">
            <w:pPr>
              <w:wordWrap w:val="0"/>
              <w:spacing w:line="440" w:lineRule="exact"/>
              <w:jc w:val="center"/>
              <w:rPr>
                <w:color w:val="auto"/>
                <w:szCs w:val="21"/>
                <w:highlight w:val="none"/>
              </w:rPr>
            </w:pPr>
          </w:p>
        </w:tc>
      </w:tr>
      <w:tr w14:paraId="05F2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A6E1A96">
            <w:pPr>
              <w:wordWrap w:val="0"/>
              <w:spacing w:line="440" w:lineRule="exact"/>
              <w:jc w:val="center"/>
              <w:rPr>
                <w:color w:val="auto"/>
                <w:szCs w:val="21"/>
                <w:highlight w:val="none"/>
              </w:rPr>
            </w:pPr>
          </w:p>
        </w:tc>
        <w:tc>
          <w:tcPr>
            <w:tcW w:w="2456" w:type="dxa"/>
            <w:vAlign w:val="center"/>
          </w:tcPr>
          <w:p w14:paraId="25E85C97">
            <w:pPr>
              <w:wordWrap w:val="0"/>
              <w:spacing w:line="440" w:lineRule="exact"/>
              <w:jc w:val="center"/>
              <w:rPr>
                <w:color w:val="auto"/>
                <w:szCs w:val="21"/>
                <w:highlight w:val="none"/>
              </w:rPr>
            </w:pPr>
          </w:p>
        </w:tc>
        <w:tc>
          <w:tcPr>
            <w:tcW w:w="1864" w:type="dxa"/>
            <w:vAlign w:val="center"/>
          </w:tcPr>
          <w:p w14:paraId="215C8FF4">
            <w:pPr>
              <w:wordWrap w:val="0"/>
              <w:spacing w:line="440" w:lineRule="exact"/>
              <w:jc w:val="center"/>
              <w:rPr>
                <w:color w:val="auto"/>
                <w:szCs w:val="21"/>
                <w:highlight w:val="none"/>
              </w:rPr>
            </w:pPr>
          </w:p>
        </w:tc>
        <w:tc>
          <w:tcPr>
            <w:tcW w:w="2582" w:type="dxa"/>
            <w:vMerge w:val="continue"/>
            <w:vAlign w:val="center"/>
          </w:tcPr>
          <w:p w14:paraId="6B2EB109">
            <w:pPr>
              <w:wordWrap w:val="0"/>
              <w:spacing w:line="440" w:lineRule="exact"/>
              <w:jc w:val="center"/>
              <w:rPr>
                <w:color w:val="auto"/>
                <w:szCs w:val="21"/>
                <w:highlight w:val="none"/>
              </w:rPr>
            </w:pPr>
          </w:p>
        </w:tc>
      </w:tr>
      <w:tr w14:paraId="7F3B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AB38A8B">
            <w:pPr>
              <w:wordWrap w:val="0"/>
              <w:spacing w:line="440" w:lineRule="exact"/>
              <w:jc w:val="center"/>
              <w:rPr>
                <w:color w:val="auto"/>
                <w:szCs w:val="21"/>
                <w:highlight w:val="none"/>
              </w:rPr>
            </w:pPr>
          </w:p>
        </w:tc>
        <w:tc>
          <w:tcPr>
            <w:tcW w:w="2456" w:type="dxa"/>
            <w:vAlign w:val="center"/>
          </w:tcPr>
          <w:p w14:paraId="04A29851">
            <w:pPr>
              <w:wordWrap w:val="0"/>
              <w:spacing w:line="440" w:lineRule="exact"/>
              <w:jc w:val="center"/>
              <w:rPr>
                <w:color w:val="auto"/>
                <w:szCs w:val="21"/>
                <w:highlight w:val="none"/>
              </w:rPr>
            </w:pPr>
          </w:p>
        </w:tc>
        <w:tc>
          <w:tcPr>
            <w:tcW w:w="1864" w:type="dxa"/>
            <w:vAlign w:val="center"/>
          </w:tcPr>
          <w:p w14:paraId="6F5524B6">
            <w:pPr>
              <w:wordWrap w:val="0"/>
              <w:spacing w:line="440" w:lineRule="exact"/>
              <w:jc w:val="center"/>
              <w:rPr>
                <w:color w:val="auto"/>
                <w:szCs w:val="21"/>
                <w:highlight w:val="none"/>
              </w:rPr>
            </w:pPr>
          </w:p>
        </w:tc>
        <w:tc>
          <w:tcPr>
            <w:tcW w:w="2582" w:type="dxa"/>
            <w:vMerge w:val="continue"/>
            <w:vAlign w:val="center"/>
          </w:tcPr>
          <w:p w14:paraId="07959298">
            <w:pPr>
              <w:wordWrap w:val="0"/>
              <w:spacing w:line="440" w:lineRule="exact"/>
              <w:jc w:val="center"/>
              <w:rPr>
                <w:color w:val="auto"/>
                <w:szCs w:val="21"/>
                <w:highlight w:val="none"/>
              </w:rPr>
            </w:pPr>
          </w:p>
        </w:tc>
      </w:tr>
      <w:tr w14:paraId="44F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FA8DBD1">
            <w:pPr>
              <w:wordWrap w:val="0"/>
              <w:spacing w:line="440" w:lineRule="exact"/>
              <w:jc w:val="center"/>
              <w:rPr>
                <w:color w:val="auto"/>
                <w:szCs w:val="21"/>
                <w:highlight w:val="none"/>
              </w:rPr>
            </w:pPr>
          </w:p>
        </w:tc>
        <w:tc>
          <w:tcPr>
            <w:tcW w:w="2456" w:type="dxa"/>
            <w:vAlign w:val="center"/>
          </w:tcPr>
          <w:p w14:paraId="2A398186">
            <w:pPr>
              <w:wordWrap w:val="0"/>
              <w:spacing w:line="440" w:lineRule="exact"/>
              <w:jc w:val="center"/>
              <w:rPr>
                <w:color w:val="auto"/>
                <w:szCs w:val="21"/>
                <w:highlight w:val="none"/>
              </w:rPr>
            </w:pPr>
          </w:p>
        </w:tc>
        <w:tc>
          <w:tcPr>
            <w:tcW w:w="1864" w:type="dxa"/>
            <w:vAlign w:val="center"/>
          </w:tcPr>
          <w:p w14:paraId="56077977">
            <w:pPr>
              <w:wordWrap w:val="0"/>
              <w:spacing w:line="440" w:lineRule="exact"/>
              <w:jc w:val="center"/>
              <w:rPr>
                <w:color w:val="auto"/>
                <w:szCs w:val="21"/>
                <w:highlight w:val="none"/>
              </w:rPr>
            </w:pPr>
          </w:p>
        </w:tc>
        <w:tc>
          <w:tcPr>
            <w:tcW w:w="2582" w:type="dxa"/>
            <w:vMerge w:val="continue"/>
            <w:vAlign w:val="center"/>
          </w:tcPr>
          <w:p w14:paraId="30509A03">
            <w:pPr>
              <w:wordWrap w:val="0"/>
              <w:spacing w:line="440" w:lineRule="exact"/>
              <w:jc w:val="center"/>
              <w:rPr>
                <w:color w:val="auto"/>
                <w:szCs w:val="21"/>
                <w:highlight w:val="none"/>
              </w:rPr>
            </w:pPr>
          </w:p>
        </w:tc>
      </w:tr>
      <w:tr w14:paraId="6236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7F9F425D">
            <w:pPr>
              <w:wordWrap w:val="0"/>
              <w:spacing w:line="440" w:lineRule="exact"/>
              <w:jc w:val="center"/>
              <w:rPr>
                <w:color w:val="auto"/>
                <w:szCs w:val="21"/>
                <w:highlight w:val="none"/>
              </w:rPr>
            </w:pPr>
          </w:p>
        </w:tc>
        <w:tc>
          <w:tcPr>
            <w:tcW w:w="2456" w:type="dxa"/>
            <w:vAlign w:val="center"/>
          </w:tcPr>
          <w:p w14:paraId="7251B132">
            <w:pPr>
              <w:wordWrap w:val="0"/>
              <w:spacing w:line="440" w:lineRule="exact"/>
              <w:jc w:val="center"/>
              <w:rPr>
                <w:color w:val="auto"/>
                <w:szCs w:val="21"/>
                <w:highlight w:val="none"/>
              </w:rPr>
            </w:pPr>
          </w:p>
        </w:tc>
        <w:tc>
          <w:tcPr>
            <w:tcW w:w="1864" w:type="dxa"/>
            <w:vAlign w:val="center"/>
          </w:tcPr>
          <w:p w14:paraId="0FF17C32">
            <w:pPr>
              <w:wordWrap w:val="0"/>
              <w:spacing w:line="440" w:lineRule="exact"/>
              <w:jc w:val="center"/>
              <w:rPr>
                <w:color w:val="auto"/>
                <w:szCs w:val="21"/>
                <w:highlight w:val="none"/>
              </w:rPr>
            </w:pPr>
          </w:p>
        </w:tc>
        <w:tc>
          <w:tcPr>
            <w:tcW w:w="2582" w:type="dxa"/>
            <w:vMerge w:val="continue"/>
            <w:vAlign w:val="center"/>
          </w:tcPr>
          <w:p w14:paraId="60CF0D75">
            <w:pPr>
              <w:wordWrap w:val="0"/>
              <w:spacing w:line="440" w:lineRule="exact"/>
              <w:jc w:val="center"/>
              <w:rPr>
                <w:color w:val="auto"/>
                <w:szCs w:val="21"/>
                <w:highlight w:val="none"/>
              </w:rPr>
            </w:pPr>
          </w:p>
        </w:tc>
      </w:tr>
      <w:tr w14:paraId="7DB7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04303D1E">
            <w:pPr>
              <w:wordWrap w:val="0"/>
              <w:spacing w:line="440" w:lineRule="exact"/>
              <w:jc w:val="center"/>
              <w:rPr>
                <w:color w:val="auto"/>
                <w:szCs w:val="21"/>
                <w:highlight w:val="none"/>
              </w:rPr>
            </w:pPr>
          </w:p>
        </w:tc>
        <w:tc>
          <w:tcPr>
            <w:tcW w:w="2456" w:type="dxa"/>
            <w:vAlign w:val="center"/>
          </w:tcPr>
          <w:p w14:paraId="5B54957F">
            <w:pPr>
              <w:wordWrap w:val="0"/>
              <w:spacing w:line="440" w:lineRule="exact"/>
              <w:jc w:val="center"/>
              <w:rPr>
                <w:color w:val="auto"/>
                <w:szCs w:val="21"/>
                <w:highlight w:val="none"/>
              </w:rPr>
            </w:pPr>
          </w:p>
        </w:tc>
        <w:tc>
          <w:tcPr>
            <w:tcW w:w="1864" w:type="dxa"/>
            <w:vAlign w:val="center"/>
          </w:tcPr>
          <w:p w14:paraId="6DCB80E9">
            <w:pPr>
              <w:wordWrap w:val="0"/>
              <w:spacing w:line="440" w:lineRule="exact"/>
              <w:jc w:val="center"/>
              <w:rPr>
                <w:color w:val="auto"/>
                <w:szCs w:val="21"/>
                <w:highlight w:val="none"/>
              </w:rPr>
            </w:pPr>
          </w:p>
        </w:tc>
        <w:tc>
          <w:tcPr>
            <w:tcW w:w="2582" w:type="dxa"/>
            <w:vMerge w:val="continue"/>
            <w:vAlign w:val="center"/>
          </w:tcPr>
          <w:p w14:paraId="642D4E82">
            <w:pPr>
              <w:wordWrap w:val="0"/>
              <w:spacing w:line="440" w:lineRule="exact"/>
              <w:jc w:val="center"/>
              <w:rPr>
                <w:color w:val="auto"/>
                <w:szCs w:val="21"/>
                <w:highlight w:val="none"/>
              </w:rPr>
            </w:pPr>
          </w:p>
        </w:tc>
      </w:tr>
      <w:tr w14:paraId="096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2591F9E1">
            <w:pPr>
              <w:wordWrap w:val="0"/>
              <w:spacing w:line="440" w:lineRule="exact"/>
              <w:jc w:val="center"/>
              <w:rPr>
                <w:color w:val="auto"/>
                <w:szCs w:val="21"/>
                <w:highlight w:val="none"/>
              </w:rPr>
            </w:pPr>
          </w:p>
        </w:tc>
        <w:tc>
          <w:tcPr>
            <w:tcW w:w="2456" w:type="dxa"/>
            <w:vAlign w:val="center"/>
          </w:tcPr>
          <w:p w14:paraId="0E20FB2B">
            <w:pPr>
              <w:wordWrap w:val="0"/>
              <w:spacing w:line="440" w:lineRule="exact"/>
              <w:jc w:val="center"/>
              <w:rPr>
                <w:color w:val="auto"/>
                <w:szCs w:val="21"/>
                <w:highlight w:val="none"/>
              </w:rPr>
            </w:pPr>
          </w:p>
        </w:tc>
        <w:tc>
          <w:tcPr>
            <w:tcW w:w="1864" w:type="dxa"/>
            <w:vAlign w:val="center"/>
          </w:tcPr>
          <w:p w14:paraId="289C3660">
            <w:pPr>
              <w:wordWrap w:val="0"/>
              <w:spacing w:line="440" w:lineRule="exact"/>
              <w:jc w:val="center"/>
              <w:rPr>
                <w:color w:val="auto"/>
                <w:szCs w:val="21"/>
                <w:highlight w:val="none"/>
              </w:rPr>
            </w:pPr>
          </w:p>
        </w:tc>
        <w:tc>
          <w:tcPr>
            <w:tcW w:w="2582" w:type="dxa"/>
            <w:vMerge w:val="continue"/>
            <w:vAlign w:val="center"/>
          </w:tcPr>
          <w:p w14:paraId="11D2AEFD">
            <w:pPr>
              <w:wordWrap w:val="0"/>
              <w:spacing w:line="440" w:lineRule="exact"/>
              <w:jc w:val="center"/>
              <w:rPr>
                <w:color w:val="auto"/>
                <w:szCs w:val="21"/>
                <w:highlight w:val="none"/>
              </w:rPr>
            </w:pPr>
          </w:p>
        </w:tc>
      </w:tr>
      <w:tr w14:paraId="5374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vAlign w:val="center"/>
          </w:tcPr>
          <w:p w14:paraId="10BBCAFE">
            <w:pPr>
              <w:wordWrap w:val="0"/>
              <w:spacing w:line="440" w:lineRule="exact"/>
              <w:jc w:val="center"/>
              <w:rPr>
                <w:color w:val="auto"/>
                <w:szCs w:val="21"/>
                <w:highlight w:val="none"/>
              </w:rPr>
            </w:pPr>
          </w:p>
        </w:tc>
        <w:tc>
          <w:tcPr>
            <w:tcW w:w="2456" w:type="dxa"/>
            <w:vAlign w:val="center"/>
          </w:tcPr>
          <w:p w14:paraId="70752306">
            <w:pPr>
              <w:wordWrap w:val="0"/>
              <w:spacing w:line="440" w:lineRule="exact"/>
              <w:jc w:val="center"/>
              <w:rPr>
                <w:color w:val="auto"/>
                <w:szCs w:val="21"/>
                <w:highlight w:val="none"/>
              </w:rPr>
            </w:pPr>
          </w:p>
        </w:tc>
        <w:tc>
          <w:tcPr>
            <w:tcW w:w="1864" w:type="dxa"/>
            <w:vAlign w:val="center"/>
          </w:tcPr>
          <w:p w14:paraId="41936F2B">
            <w:pPr>
              <w:wordWrap w:val="0"/>
              <w:spacing w:line="440" w:lineRule="exact"/>
              <w:jc w:val="center"/>
              <w:rPr>
                <w:color w:val="auto"/>
                <w:szCs w:val="21"/>
                <w:highlight w:val="none"/>
              </w:rPr>
            </w:pPr>
          </w:p>
        </w:tc>
        <w:tc>
          <w:tcPr>
            <w:tcW w:w="2582" w:type="dxa"/>
            <w:vMerge w:val="continue"/>
            <w:vAlign w:val="center"/>
          </w:tcPr>
          <w:p w14:paraId="27892CE1">
            <w:pPr>
              <w:wordWrap w:val="0"/>
              <w:spacing w:line="440" w:lineRule="exact"/>
              <w:jc w:val="center"/>
              <w:rPr>
                <w:color w:val="auto"/>
                <w:szCs w:val="21"/>
                <w:highlight w:val="none"/>
              </w:rPr>
            </w:pPr>
          </w:p>
        </w:tc>
      </w:tr>
      <w:tr w14:paraId="6023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vAlign w:val="center"/>
          </w:tcPr>
          <w:p w14:paraId="5DDC5397">
            <w:pPr>
              <w:wordWrap w:val="0"/>
              <w:spacing w:line="440" w:lineRule="exact"/>
              <w:jc w:val="center"/>
              <w:rPr>
                <w:color w:val="auto"/>
                <w:szCs w:val="21"/>
                <w:highlight w:val="none"/>
              </w:rPr>
            </w:pPr>
            <w:r>
              <w:rPr>
                <w:color w:val="auto"/>
                <w:szCs w:val="21"/>
                <w:highlight w:val="none"/>
              </w:rPr>
              <w:t>拟分包工程造价合计（万元）</w:t>
            </w:r>
          </w:p>
        </w:tc>
        <w:tc>
          <w:tcPr>
            <w:tcW w:w="1864" w:type="dxa"/>
            <w:vAlign w:val="center"/>
          </w:tcPr>
          <w:p w14:paraId="13EE1328">
            <w:pPr>
              <w:wordWrap w:val="0"/>
              <w:spacing w:line="440" w:lineRule="exact"/>
              <w:jc w:val="center"/>
              <w:rPr>
                <w:color w:val="auto"/>
                <w:szCs w:val="21"/>
                <w:highlight w:val="none"/>
              </w:rPr>
            </w:pPr>
          </w:p>
        </w:tc>
        <w:tc>
          <w:tcPr>
            <w:tcW w:w="2582" w:type="dxa"/>
            <w:vMerge w:val="continue"/>
            <w:vAlign w:val="center"/>
          </w:tcPr>
          <w:p w14:paraId="3A7058FA">
            <w:pPr>
              <w:wordWrap w:val="0"/>
              <w:spacing w:line="440" w:lineRule="exact"/>
              <w:jc w:val="center"/>
              <w:rPr>
                <w:color w:val="auto"/>
                <w:szCs w:val="21"/>
                <w:highlight w:val="none"/>
              </w:rPr>
            </w:pPr>
          </w:p>
        </w:tc>
      </w:tr>
    </w:tbl>
    <w:p w14:paraId="70A5DCB6">
      <w:pPr>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left"/>
        <w:textAlignment w:val="auto"/>
        <w:outlineLvl w:val="9"/>
        <w:rPr>
          <w:rFonts w:hint="eastAsia" w:eastAsia="黑体" w:cs="Times New Roman"/>
          <w:b w:val="0"/>
          <w:bCs/>
          <w:color w:val="auto"/>
          <w:kern w:val="44"/>
          <w:sz w:val="28"/>
          <w:szCs w:val="28"/>
          <w:highlight w:val="none"/>
          <w:lang w:val="en-US" w:eastAsia="zh-CN"/>
        </w:rPr>
      </w:pPr>
      <w:r>
        <w:rPr>
          <w:rFonts w:hint="eastAsia" w:eastAsia="黑体" w:cs="Times New Roman"/>
          <w:b w:val="0"/>
          <w:bCs/>
          <w:color w:val="auto"/>
          <w:kern w:val="44"/>
          <w:sz w:val="28"/>
          <w:szCs w:val="28"/>
          <w:highlight w:val="none"/>
          <w:lang w:val="en-US" w:eastAsia="zh-CN"/>
        </w:rPr>
        <w:br w:type="page"/>
      </w:r>
    </w:p>
    <w:p w14:paraId="01C6C1AD">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1"/>
        <w:rPr>
          <w:rFonts w:hint="default" w:ascii="Times New Roman" w:hAnsi="Times New Roman" w:eastAsia="黑体" w:cs="Times New Roman"/>
          <w:b w:val="0"/>
          <w:bCs/>
          <w:color w:val="auto"/>
          <w:kern w:val="44"/>
          <w:sz w:val="28"/>
          <w:szCs w:val="28"/>
          <w:highlight w:val="none"/>
        </w:rPr>
      </w:pPr>
      <w:bookmarkStart w:id="1970" w:name="_Toc18949"/>
      <w:r>
        <w:rPr>
          <w:rFonts w:hint="eastAsia" w:eastAsia="黑体" w:cs="Times New Roman"/>
          <w:b w:val="0"/>
          <w:bCs/>
          <w:color w:val="auto"/>
          <w:kern w:val="44"/>
          <w:sz w:val="28"/>
          <w:szCs w:val="28"/>
          <w:highlight w:val="none"/>
          <w:lang w:val="en-US" w:eastAsia="zh-CN"/>
        </w:rPr>
        <w:t>八</w:t>
      </w:r>
      <w:r>
        <w:rPr>
          <w:rFonts w:hint="default" w:ascii="Times New Roman" w:hAnsi="Times New Roman" w:eastAsia="黑体" w:cs="Times New Roman"/>
          <w:b w:val="0"/>
          <w:bCs/>
          <w:color w:val="auto"/>
          <w:kern w:val="44"/>
          <w:sz w:val="28"/>
          <w:szCs w:val="28"/>
          <w:highlight w:val="none"/>
        </w:rPr>
        <w:t>、资格审查资料</w:t>
      </w:r>
      <w:bookmarkEnd w:id="1965"/>
      <w:bookmarkEnd w:id="1966"/>
      <w:bookmarkEnd w:id="1970"/>
    </w:p>
    <w:p w14:paraId="3BE8F4F0">
      <w:pPr>
        <w:pageBreakBefore w:val="0"/>
        <w:kinsoku/>
        <w:wordWrap w:val="0"/>
        <w:bidi w:val="0"/>
        <w:spacing w:before="0" w:after="0" w:line="380" w:lineRule="atLeast"/>
        <w:jc w:val="center"/>
        <w:outlineLvl w:val="9"/>
        <w:rPr>
          <w:rFonts w:hint="default" w:ascii="Times New Roman" w:hAnsi="Times New Roman" w:eastAsia="黑体" w:cs="Times New Roman"/>
          <w:b w:val="0"/>
          <w:color w:val="auto"/>
          <w:sz w:val="28"/>
          <w:szCs w:val="28"/>
          <w:highlight w:val="none"/>
        </w:rPr>
      </w:pPr>
    </w:p>
    <w:p w14:paraId="69AA23B7">
      <w:pPr>
        <w:pStyle w:val="2"/>
        <w:pageBreakBefore w:val="0"/>
        <w:kinsoku/>
        <w:wordWrap w:val="0"/>
        <w:bidi w:val="0"/>
        <w:spacing w:before="0" w:after="0" w:line="380" w:lineRule="atLeast"/>
        <w:jc w:val="center"/>
        <w:outlineLvl w:val="2"/>
        <w:rPr>
          <w:rFonts w:hint="default" w:ascii="Times New Roman" w:hAnsi="Times New Roman" w:eastAsia="黑体" w:cs="Times New Roman"/>
          <w:color w:val="auto"/>
          <w:sz w:val="23"/>
          <w:szCs w:val="23"/>
          <w:highlight w:val="none"/>
        </w:rPr>
      </w:pPr>
      <w:bookmarkStart w:id="1971" w:name="_Toc10802"/>
      <w:bookmarkStart w:id="1972" w:name="_Toc15892"/>
      <w:bookmarkStart w:id="1973" w:name="_Toc234833279"/>
      <w:bookmarkStart w:id="1974" w:name="_Toc8645"/>
      <w:r>
        <w:rPr>
          <w:rFonts w:hint="default" w:ascii="Times New Roman" w:hAnsi="Times New Roman" w:eastAsia="黑体" w:cs="Times New Roman"/>
          <w:b w:val="0"/>
          <w:color w:val="auto"/>
          <w:sz w:val="24"/>
          <w:szCs w:val="24"/>
          <w:highlight w:val="none"/>
        </w:rPr>
        <w:t>（一）投标人基本情况表</w:t>
      </w:r>
      <w:bookmarkEnd w:id="1971"/>
      <w:bookmarkEnd w:id="1972"/>
      <w:bookmarkEnd w:id="1973"/>
      <w:bookmarkEnd w:id="1974"/>
    </w:p>
    <w:tbl>
      <w:tblPr>
        <w:tblStyle w:val="3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0E0B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ED81AF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68D7FE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107B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24419B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264CB84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F7E982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5A3EC9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E89D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6AE3005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11414BC">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A8C17A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7243B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 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61D8019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746B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5190877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36E5BDC3">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传  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1C2954A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51D941FD">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6BB9BF4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12287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44627B5">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44417D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77E113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F19988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62E8E9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E49FD40">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49BAA4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44AEFB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22DE0D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1DA2AC7">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0426D0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3CADB5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B93EFB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29B92D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FBF4BB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1B81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4CDB775E">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078C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7020C15D">
            <w:pPr>
              <w:pageBreakBefore w:val="0"/>
              <w:kinsoku/>
              <w:wordWrap w:val="0"/>
              <w:topLinePunct/>
              <w:bidi w:val="0"/>
              <w:spacing w:line="440" w:lineRule="exact"/>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员工总人数：</w:t>
            </w:r>
          </w:p>
        </w:tc>
      </w:tr>
      <w:tr w14:paraId="61DD9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D346BA2">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049DAA3">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2CF2B3C1">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2BBD02D8">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8BEF727">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74E11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2B985CE4">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0BF64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1B3991CC">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1C40081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99399CF">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11B0A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47B23CB6">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7D41175">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8B30261">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F01016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672B4F4">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3ED5C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03735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85A5FC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520546B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AE16C19">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026AEC0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297FD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467472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25348C0D">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7F287306">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708BD689">
            <w:pPr>
              <w:pStyle w:val="28"/>
              <w:pageBreakBefore w:val="0"/>
              <w:kinsoku/>
              <w:wordWrap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17778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03A5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6E3633AA">
            <w:pPr>
              <w:pageBreakBefore w:val="0"/>
              <w:kinsoku/>
              <w:wordWrap w:val="0"/>
              <w:topLinePunct/>
              <w:bidi w:val="0"/>
              <w:spacing w:line="440" w:lineRule="exact"/>
              <w:ind w:firstLine="210" w:firstLineChars="1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经营范围</w:t>
            </w:r>
          </w:p>
        </w:tc>
        <w:tc>
          <w:tcPr>
            <w:tcW w:w="7021" w:type="dxa"/>
            <w:gridSpan w:val="8"/>
            <w:tcBorders>
              <w:top w:val="single" w:color="auto" w:sz="4" w:space="0"/>
              <w:left w:val="single" w:color="auto" w:sz="4" w:space="0"/>
              <w:right w:val="single" w:color="auto" w:sz="4" w:space="0"/>
            </w:tcBorders>
            <w:noWrap w:val="0"/>
            <w:vAlign w:val="center"/>
          </w:tcPr>
          <w:p w14:paraId="54E06F88">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EC9BCAA">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1B788019">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p w14:paraId="20FCC711">
            <w:pPr>
              <w:pageBreakBefore w:val="0"/>
              <w:kinsoku/>
              <w:wordWrap w:val="0"/>
              <w:topLinePunct/>
              <w:bidi w:val="0"/>
              <w:spacing w:line="440" w:lineRule="exact"/>
              <w:rPr>
                <w:rFonts w:hint="default" w:ascii="Times New Roman" w:hAnsi="Times New Roman" w:cs="Times New Roman"/>
                <w:color w:val="auto"/>
                <w:szCs w:val="21"/>
                <w:highlight w:val="none"/>
              </w:rPr>
            </w:pPr>
          </w:p>
        </w:tc>
      </w:tr>
      <w:tr w14:paraId="2650B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A81F3DB">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B3525F7">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投标人应提供关联企业情况，包括：</w:t>
            </w:r>
          </w:p>
          <w:p w14:paraId="7E8E0892">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（1）投标人的所有股东名称及相应股权（出资额）比例；如投标人为上市公司，投标人应提供股权占公司股份总数</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%以上的所有股东名称及相应股权比例；</w:t>
            </w:r>
          </w:p>
          <w:p w14:paraId="3E3CF0BE">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（2）投标人投资（控股）或管理的下属企业名称、持有股权（出资额）比例；</w:t>
            </w:r>
          </w:p>
          <w:p w14:paraId="04E51B55">
            <w:pPr>
              <w:pageBreakBefore w:val="0"/>
              <w:kinsoku/>
              <w:wordWrap w:val="0"/>
              <w:topLinePunct/>
              <w:bidi w:val="0"/>
              <w:spacing w:line="40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（3）与投标人单位负责人（即法定代表人）为同一人的其他单位名称</w:t>
            </w:r>
          </w:p>
          <w:p w14:paraId="4AB04CD2">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r w14:paraId="50B1C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6048B33A">
            <w:pPr>
              <w:pageBreakBefore w:val="0"/>
              <w:kinsoku/>
              <w:wordWrap w:val="0"/>
              <w:topLinePunct/>
              <w:bidi w:val="0"/>
              <w:spacing w:line="4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3F039E">
            <w:pPr>
              <w:pageBreakBefore w:val="0"/>
              <w:kinsoku/>
              <w:wordWrap w:val="0"/>
              <w:topLinePunct/>
              <w:bidi w:val="0"/>
              <w:spacing w:line="440" w:lineRule="exact"/>
              <w:jc w:val="center"/>
              <w:rPr>
                <w:rFonts w:hint="default" w:ascii="Times New Roman" w:hAnsi="Times New Roman" w:cs="Times New Roman"/>
                <w:color w:val="auto"/>
                <w:szCs w:val="21"/>
                <w:highlight w:val="none"/>
              </w:rPr>
            </w:pPr>
          </w:p>
        </w:tc>
      </w:tr>
    </w:tbl>
    <w:p w14:paraId="365D191D">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第3.5.1项的要求在本表后附相关证明材料。</w:t>
      </w:r>
    </w:p>
    <w:p w14:paraId="434A41F1">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2.以联合体形式参与投标的，联合体各成员应分别填写。</w:t>
      </w:r>
    </w:p>
    <w:p w14:paraId="7578FAF7">
      <w:pPr>
        <w:pageBreakBefore w:val="0"/>
        <w:kinsoku/>
        <w:wordWrap w:val="0"/>
        <w:bidi w:val="0"/>
        <w:spacing w:line="440" w:lineRule="exact"/>
        <w:jc w:val="center"/>
        <w:rPr>
          <w:rFonts w:hint="default" w:ascii="Times New Roman" w:hAnsi="Times New Roman" w:cs="Times New Roman"/>
          <w:color w:val="auto"/>
          <w:szCs w:val="21"/>
          <w:highlight w:val="none"/>
        </w:rPr>
      </w:pPr>
    </w:p>
    <w:p w14:paraId="7802496E">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75" w:name="_Toc234833280"/>
      <w:bookmarkStart w:id="1976" w:name="_Toc11366"/>
      <w:bookmarkStart w:id="1977" w:name="_Toc18039"/>
      <w:bookmarkStart w:id="1978" w:name="_Toc32655"/>
      <w:r>
        <w:rPr>
          <w:rFonts w:hint="default" w:ascii="Times New Roman" w:hAnsi="Times New Roman" w:eastAsia="黑体" w:cs="Times New Roman"/>
          <w:b w:val="0"/>
          <w:color w:val="auto"/>
          <w:sz w:val="24"/>
          <w:szCs w:val="24"/>
          <w:highlight w:val="none"/>
        </w:rPr>
        <w:t>（二）投标人企业组织机构框图</w:t>
      </w:r>
      <w:bookmarkEnd w:id="1975"/>
      <w:bookmarkEnd w:id="1976"/>
      <w:bookmarkEnd w:id="1977"/>
      <w:bookmarkEnd w:id="1978"/>
    </w:p>
    <w:p w14:paraId="16573E89">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color w:val="auto"/>
          <w:sz w:val="20"/>
          <w:szCs w:val="20"/>
          <w:highlight w:val="none"/>
        </w:rPr>
      </w:pPr>
    </w:p>
    <w:p w14:paraId="38D27C46">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28ED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340838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CCC0A46">
            <w:pPr>
              <w:pageBreakBefore w:val="0"/>
              <w:kinsoku/>
              <w:wordWrap w:val="0"/>
              <w:bidi w:val="0"/>
              <w:spacing w:line="52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以框图方式表示。</w:t>
            </w:r>
          </w:p>
          <w:p w14:paraId="0A8AB62B">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5DAEC112">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468F2319">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73C5D8A7">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5010966F">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95D66E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678AD1F5">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062FA168">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p w14:paraId="133EE981">
            <w:pPr>
              <w:pageBreakBefore w:val="0"/>
              <w:kinsoku/>
              <w:wordWrap w:val="0"/>
              <w:bidi w:val="0"/>
              <w:spacing w:line="400" w:lineRule="atLeast"/>
              <w:ind w:right="174" w:rightChars="83" w:firstLine="4"/>
              <w:rPr>
                <w:rFonts w:hint="default" w:ascii="Times New Roman" w:hAnsi="Times New Roman" w:cs="Times New Roman"/>
                <w:color w:val="auto"/>
                <w:szCs w:val="21"/>
                <w:highlight w:val="none"/>
              </w:rPr>
            </w:pPr>
          </w:p>
        </w:tc>
      </w:tr>
      <w:tr w14:paraId="1E57E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13FA90B3">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w:t>
            </w:r>
          </w:p>
          <w:p w14:paraId="0F854CB2">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375116EF">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6D448608">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p w14:paraId="57147CCE">
            <w:pPr>
              <w:pageBreakBefore w:val="0"/>
              <w:kinsoku/>
              <w:wordWrap w:val="0"/>
              <w:bidi w:val="0"/>
              <w:spacing w:line="400" w:lineRule="atLeast"/>
              <w:ind w:left="266" w:right="174" w:rightChars="83" w:firstLine="4"/>
              <w:rPr>
                <w:rFonts w:hint="default" w:ascii="Times New Roman" w:hAnsi="Times New Roman" w:cs="Times New Roman"/>
                <w:color w:val="auto"/>
                <w:szCs w:val="21"/>
                <w:highlight w:val="none"/>
              </w:rPr>
            </w:pPr>
          </w:p>
        </w:tc>
      </w:tr>
    </w:tbl>
    <w:p w14:paraId="08EE204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color w:val="auto"/>
          <w:sz w:val="20"/>
          <w:szCs w:val="20"/>
          <w:highlight w:val="none"/>
        </w:rPr>
      </w:pPr>
    </w:p>
    <w:p w14:paraId="15E000F4">
      <w:pPr>
        <w:pageBreakBefore w:val="0"/>
        <w:kinsoku/>
        <w:wordWrap w:val="0"/>
        <w:topLinePunct/>
        <w:bidi w:val="0"/>
        <w:spacing w:line="34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 xml:space="preserve"> </w:t>
      </w:r>
    </w:p>
    <w:p w14:paraId="4099C2B6">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979" w:name="_Toc10365"/>
      <w:bookmarkStart w:id="1980" w:name="_Toc234833282"/>
      <w:bookmarkStart w:id="1981" w:name="_Toc9070"/>
      <w:bookmarkStart w:id="1982" w:name="_Toc5424"/>
      <w:bookmarkStart w:id="1983" w:name="_Toc234833281"/>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三</w:t>
      </w:r>
      <w:r>
        <w:rPr>
          <w:rFonts w:hint="default" w:ascii="Times New Roman" w:hAnsi="Times New Roman" w:eastAsia="黑体" w:cs="Times New Roman"/>
          <w:b w:val="0"/>
          <w:color w:val="auto"/>
          <w:sz w:val="24"/>
          <w:szCs w:val="24"/>
          <w:highlight w:val="none"/>
        </w:rPr>
        <w:t>）近年财务状况</w:t>
      </w:r>
      <w:bookmarkEnd w:id="1979"/>
      <w:bookmarkEnd w:id="1980"/>
      <w:bookmarkEnd w:id="1981"/>
      <w:bookmarkEnd w:id="1982"/>
    </w:p>
    <w:p w14:paraId="0527150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56BE015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财务状况表</w:t>
      </w:r>
    </w:p>
    <w:p w14:paraId="70D234CB">
      <w:pPr>
        <w:pageBreakBefore w:val="0"/>
        <w:kinsoku/>
        <w:wordWrap w:val="0"/>
        <w:bidi w:val="0"/>
        <w:spacing w:line="320" w:lineRule="atLeast"/>
        <w:jc w:val="center"/>
        <w:rPr>
          <w:rFonts w:hint="default" w:ascii="Times New Roman" w:hAnsi="Times New Roman" w:eastAsia="黑体" w:cs="Times New Roman"/>
          <w:b/>
          <w:color w:val="auto"/>
          <w:sz w:val="28"/>
          <w:highlight w:val="none"/>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3C39448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21F3B49">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9B8C4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E019EE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2EBBB38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07063B8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年</w:t>
            </w:r>
          </w:p>
        </w:tc>
      </w:tr>
      <w:tr w14:paraId="65FE7BC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27BE81">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112F3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9E224E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58C348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D44E45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9FF2EE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1976377">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46C55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27DF4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5A5C4C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CA34AF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F78CE0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5DD49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17B2D5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C8151A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B59B45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FBA93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22CBE9A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8CA751F">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A4BA20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86D6FA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3E28F0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7CCF67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3D8C5B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583185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E2BD6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2473E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39D2F2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7CF164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9F049BB">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FCBB91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E8F92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5D045C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7110F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581DC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D30EA9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38FF6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D84B8F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351B7A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C861D5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CF5E7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755114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53A9089">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C7213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3F758C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8017D5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2E834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4DBC54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9172B29">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D8E17B">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42D9E8F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AC500D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AB0DBF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42BAFB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0B90F0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0BDA7C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0366A8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134628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C2BD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D2C765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F6323F4">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91FFC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78EB8A8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07A044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B25D3B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138FB69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A3F8387">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B0498F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BEC9DE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CC9FAD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75B7E4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073F370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64C65B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97B81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2C4CD9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32AD12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027D64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7E54092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785A916">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DF22C4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511E5B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A38CD3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72A5D5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5919F57A">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B5E089">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A90B4F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4724037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DAD5CA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C6D9EA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4405CDD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3AC5301">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2F1F88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BC1E34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B41D3A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0BB516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r w14:paraId="38B0FD9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B8D09CF">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41373E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E44E9C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10F82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2682B3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color w:val="auto"/>
                <w:szCs w:val="21"/>
                <w:highlight w:val="none"/>
              </w:rPr>
            </w:pPr>
          </w:p>
        </w:tc>
      </w:tr>
    </w:tbl>
    <w:p w14:paraId="6DAD3EBE">
      <w:pPr>
        <w:pageBreakBefore w:val="0"/>
        <w:kinsoku/>
        <w:wordWrap w:val="0"/>
        <w:bidi w:val="0"/>
        <w:spacing w:line="400" w:lineRule="atLeast"/>
        <w:ind w:left="735" w:hanging="735" w:hangingChars="35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第3.5.2项的要求在本表后附相关证明材料。</w:t>
      </w:r>
    </w:p>
    <w:p w14:paraId="33A17488">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2.本表所列数据必须与本表各附件中的数据相一致。</w:t>
      </w:r>
    </w:p>
    <w:p w14:paraId="09BCA035">
      <w:pPr>
        <w:pageBreakBefore w:val="0"/>
        <w:kinsoku/>
        <w:wordWrap w:val="0"/>
        <w:bidi w:val="0"/>
        <w:spacing w:line="400" w:lineRule="atLeast"/>
        <w:ind w:left="399" w:leftChars="19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前附表附录2要求及第三章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2AB7D601">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color w:val="auto"/>
          <w:sz w:val="24"/>
          <w:highlight w:val="none"/>
        </w:rPr>
      </w:pPr>
      <w:r>
        <w:rPr>
          <w:rFonts w:hint="default" w:ascii="Times New Roman" w:hAnsi="Times New Roman" w:cs="Times New Roman"/>
          <w:color w:val="auto"/>
          <w:highlight w:val="none"/>
        </w:rPr>
        <w:br w:type="page"/>
      </w:r>
      <w:r>
        <w:rPr>
          <w:rFonts w:hint="default" w:ascii="Times New Roman" w:hAnsi="Times New Roman" w:eastAsia="黑体" w:cs="Times New Roman"/>
          <w:color w:val="auto"/>
          <w:sz w:val="24"/>
          <w:highlight w:val="none"/>
        </w:rPr>
        <w:t>银行信贷证明</w:t>
      </w:r>
      <w:r>
        <w:rPr>
          <w:rStyle w:val="47"/>
          <w:rFonts w:hint="default" w:ascii="Times New Roman" w:hAnsi="Times New Roman" w:eastAsia="黑体" w:cs="Times New Roman"/>
          <w:color w:val="auto"/>
          <w:sz w:val="24"/>
          <w:highlight w:val="none"/>
        </w:rPr>
        <w:footnoteReference w:id="59"/>
      </w:r>
    </w:p>
    <w:p w14:paraId="10AB1D1E">
      <w:pPr>
        <w:pageBreakBefore w:val="0"/>
        <w:kinsoku/>
        <w:wordWrap w:val="0"/>
        <w:bidi w:val="0"/>
        <w:spacing w:line="360" w:lineRule="atLeast"/>
        <w:jc w:val="center"/>
        <w:rPr>
          <w:rFonts w:hint="default" w:ascii="Times New Roman" w:hAnsi="Times New Roman" w:cs="Times New Roman"/>
          <w:color w:val="auto"/>
          <w:sz w:val="24"/>
          <w:highlight w:val="none"/>
        </w:rPr>
      </w:pPr>
    </w:p>
    <w:p w14:paraId="1B62BE0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银行名称：________________________________</w:t>
      </w:r>
    </w:p>
    <w:p w14:paraId="6A1B9CC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址：________________________________</w:t>
      </w:r>
    </w:p>
    <w:p w14:paraId="3DDB32E4">
      <w:pPr>
        <w:pageBreakBefore w:val="0"/>
        <w:kinsoku/>
        <w:wordWrap w:val="0"/>
        <w:autoSpaceDE w:val="0"/>
        <w:autoSpaceDN w:val="0"/>
        <w:bidi w:val="0"/>
        <w:adjustRightInd w:val="0"/>
        <w:spacing w:line="520" w:lineRule="atLeast"/>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日期：_____________ </w:t>
      </w:r>
    </w:p>
    <w:p w14:paraId="1BACC66E">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60C2306A">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致：</w:t>
      </w:r>
      <w:r>
        <w:rPr>
          <w:rFonts w:hint="default" w:ascii="Times New Roman" w:hAnsi="Times New Roman" w:cs="Times New Roman"/>
          <w:color w:val="auto"/>
          <w:sz w:val="24"/>
          <w:highlight w:val="none"/>
          <w:u w:val="single"/>
        </w:rPr>
        <w:t xml:space="preserve">    （招标人全称）    </w:t>
      </w:r>
    </w:p>
    <w:p w14:paraId="714259B8">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191C6DEA">
      <w:pPr>
        <w:pageBreakBefore w:val="0"/>
        <w:kinsoku/>
        <w:wordWrap w:val="0"/>
        <w:autoSpaceDE w:val="0"/>
        <w:autoSpaceDN w:val="0"/>
        <w:bidi w:val="0"/>
        <w:adjustRightInd w:val="0"/>
        <w:spacing w:line="40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兹开具最高限额为人民币</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万元的银行信贷，供</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（投标人注册地点）</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（投标人名称）于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日之前，在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（项目名称）需要时使用。我行保证由____________（投标人名称）提供的财务报表中所开列的作为流动资产的各项中无一项包含在上述提到的银行信贷中。</w:t>
      </w:r>
    </w:p>
    <w:p w14:paraId="3A6B9E9B">
      <w:pPr>
        <w:pageBreakBefore w:val="0"/>
        <w:kinsoku/>
        <w:wordWrap w:val="0"/>
        <w:autoSpaceDE w:val="0"/>
        <w:autoSpaceDN w:val="0"/>
        <w:bidi w:val="0"/>
        <w:adjustRightInd w:val="0"/>
        <w:spacing w:line="520" w:lineRule="atLeast"/>
        <w:ind w:firstLine="52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此项目若未中标，该信贷证明自动失效，无须退回我行。</w:t>
      </w:r>
    </w:p>
    <w:p w14:paraId="6F5B77C6">
      <w:pPr>
        <w:pageBreakBefore w:val="0"/>
        <w:kinsoku/>
        <w:wordWrap w:val="0"/>
        <w:autoSpaceDE w:val="0"/>
        <w:autoSpaceDN w:val="0"/>
        <w:bidi w:val="0"/>
        <w:adjustRightInd w:val="0"/>
        <w:spacing w:line="520" w:lineRule="atLeast"/>
        <w:rPr>
          <w:rFonts w:hint="default" w:ascii="Times New Roman" w:hAnsi="Times New Roman" w:cs="Times New Roman"/>
          <w:color w:val="auto"/>
          <w:sz w:val="24"/>
          <w:highlight w:val="none"/>
        </w:rPr>
      </w:pPr>
    </w:p>
    <w:p w14:paraId="775581C4">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银          行（盖单位章）：</w:t>
      </w:r>
      <w:r>
        <w:rPr>
          <w:rFonts w:hint="default" w:ascii="Times New Roman" w:hAnsi="Times New Roman" w:cs="Times New Roman"/>
          <w:color w:val="auto"/>
          <w:sz w:val="24"/>
          <w:highlight w:val="none"/>
          <w:u w:val="single"/>
        </w:rPr>
        <w:t xml:space="preserve">                 </w:t>
      </w:r>
    </w:p>
    <w:p w14:paraId="3AF9EA60">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银行主要负责人（签字）：</w:t>
      </w:r>
      <w:r>
        <w:rPr>
          <w:rFonts w:hint="default" w:ascii="Times New Roman" w:hAnsi="Times New Roman" w:cs="Times New Roman"/>
          <w:color w:val="auto"/>
          <w:sz w:val="24"/>
          <w:highlight w:val="none"/>
          <w:u w:val="single"/>
        </w:rPr>
        <w:t xml:space="preserve">                     </w:t>
      </w:r>
    </w:p>
    <w:p w14:paraId="05AD56AF">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银行主要负责人姓名、职务：</w:t>
      </w:r>
      <w:r>
        <w:rPr>
          <w:rFonts w:hint="default" w:ascii="Times New Roman" w:hAnsi="Times New Roman" w:cs="Times New Roman"/>
          <w:color w:val="auto"/>
          <w:sz w:val="24"/>
          <w:highlight w:val="none"/>
          <w:u w:val="single"/>
        </w:rPr>
        <w:t xml:space="preserve">     （打印）    </w:t>
      </w:r>
    </w:p>
    <w:p w14:paraId="24D4291B">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电    话：</w:t>
      </w:r>
      <w:r>
        <w:rPr>
          <w:rFonts w:hint="default" w:ascii="Times New Roman" w:hAnsi="Times New Roman" w:cs="Times New Roman"/>
          <w:color w:val="auto"/>
          <w:sz w:val="24"/>
          <w:highlight w:val="none"/>
          <w:u w:val="single"/>
        </w:rPr>
        <w:t xml:space="preserve">                    </w:t>
      </w:r>
    </w:p>
    <w:p w14:paraId="486D26B6">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color w:val="auto"/>
          <w:sz w:val="24"/>
          <w:highlight w:val="none"/>
          <w:u w:val="single"/>
        </w:rPr>
      </w:pPr>
      <w:r>
        <w:rPr>
          <w:rFonts w:hint="default" w:ascii="Times New Roman" w:hAnsi="Times New Roman" w:cs="Times New Roman"/>
          <w:color w:val="auto"/>
          <w:sz w:val="24"/>
          <w:highlight w:val="none"/>
        </w:rPr>
        <w:t>银    行    传    真：</w:t>
      </w:r>
      <w:r>
        <w:rPr>
          <w:rFonts w:hint="default" w:ascii="Times New Roman" w:hAnsi="Times New Roman" w:cs="Times New Roman"/>
          <w:color w:val="auto"/>
          <w:sz w:val="24"/>
          <w:highlight w:val="none"/>
          <w:u w:val="single"/>
        </w:rPr>
        <w:t xml:space="preserve">                    </w:t>
      </w:r>
    </w:p>
    <w:p w14:paraId="11D80433">
      <w:pPr>
        <w:pageBreakBefore w:val="0"/>
        <w:kinsoku/>
        <w:wordWrap w:val="0"/>
        <w:bidi w:val="0"/>
        <w:spacing w:line="320" w:lineRule="atLeast"/>
        <w:jc w:val="center"/>
        <w:rPr>
          <w:rFonts w:hint="default" w:ascii="Times New Roman" w:hAnsi="Times New Roman" w:cs="Times New Roman"/>
          <w:color w:val="auto"/>
          <w:sz w:val="24"/>
          <w:highlight w:val="none"/>
        </w:rPr>
      </w:pPr>
    </w:p>
    <w:p w14:paraId="4BE6F83A">
      <w:pPr>
        <w:pageBreakBefore w:val="0"/>
        <w:kinsoku/>
        <w:wordWrap w:val="0"/>
        <w:bidi w:val="0"/>
        <w:spacing w:line="320" w:lineRule="atLeast"/>
        <w:jc w:val="center"/>
        <w:rPr>
          <w:rFonts w:hint="default" w:ascii="Times New Roman" w:hAnsi="Times New Roman" w:cs="Times New Roman"/>
          <w:color w:val="auto"/>
          <w:sz w:val="24"/>
          <w:highlight w:val="none"/>
        </w:rPr>
      </w:pPr>
    </w:p>
    <w:p w14:paraId="030A3B5C">
      <w:pPr>
        <w:pStyle w:val="30"/>
        <w:pageBreakBefore w:val="0"/>
        <w:kinsoku/>
        <w:wordWrap w:val="0"/>
        <w:bidi w:val="0"/>
        <w:spacing w:line="320" w:lineRule="atLeast"/>
        <w:ind w:left="1084" w:leftChars="216" w:hanging="630" w:hanging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注：允许投标人实际开具的银行信贷证明的格式与《</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》提供的格式有所不同，但不得更改《</w:t>
      </w:r>
      <w:r>
        <w:rPr>
          <w:rFonts w:hint="default" w:ascii="Times New Roman" w:hAnsi="Times New Roman" w:cs="Times New Roman"/>
          <w:color w:val="auto"/>
          <w:sz w:val="21"/>
          <w:szCs w:val="21"/>
          <w:highlight w:val="none"/>
          <w:lang w:val="en-US" w:eastAsia="zh-CN"/>
        </w:rPr>
        <w:t>标准文件</w:t>
      </w:r>
      <w:r>
        <w:rPr>
          <w:rFonts w:hint="default" w:ascii="Times New Roman" w:hAnsi="Times New Roman" w:cs="Times New Roman"/>
          <w:color w:val="auto"/>
          <w:sz w:val="21"/>
          <w:szCs w:val="21"/>
          <w:highlight w:val="none"/>
        </w:rPr>
        <w:t>》提供的银行信贷证明格式中的实质性内容。</w:t>
      </w:r>
    </w:p>
    <w:p w14:paraId="5EFCF949">
      <w:pPr>
        <w:pageBreakBefore w:val="0"/>
        <w:kinsoku/>
        <w:wordWrap w:val="0"/>
        <w:bidi w:val="0"/>
        <w:spacing w:line="320" w:lineRule="atLeast"/>
        <w:ind w:left="1155" w:leftChars="400" w:hanging="315" w:hangingChars="150"/>
        <w:rPr>
          <w:rFonts w:hint="default" w:ascii="Times New Roman" w:hAnsi="Times New Roman" w:cs="Times New Roman"/>
          <w:color w:val="auto"/>
          <w:szCs w:val="21"/>
          <w:highlight w:val="none"/>
        </w:rPr>
      </w:pPr>
    </w:p>
    <w:p w14:paraId="4106A125">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cs="Times New Roman"/>
          <w:color w:val="auto"/>
          <w:sz w:val="24"/>
          <w:highlight w:val="none"/>
        </w:rPr>
        <w:br w:type="page"/>
      </w:r>
      <w:bookmarkStart w:id="1984" w:name="_Toc234833283"/>
      <w:bookmarkStart w:id="1985" w:name="_Toc11478"/>
      <w:bookmarkStart w:id="1986" w:name="_Toc21134"/>
      <w:bookmarkStart w:id="1987" w:name="_Toc26877"/>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四</w:t>
      </w:r>
      <w:r>
        <w:rPr>
          <w:rFonts w:hint="default" w:ascii="Times New Roman" w:hAnsi="Times New Roman" w:eastAsia="黑体" w:cs="Times New Roman"/>
          <w:b w:val="0"/>
          <w:color w:val="auto"/>
          <w:sz w:val="24"/>
          <w:szCs w:val="24"/>
          <w:highlight w:val="none"/>
        </w:rPr>
        <w:t>）近年完成的类似项目情况表</w:t>
      </w:r>
      <w:bookmarkEnd w:id="1984"/>
      <w:bookmarkEnd w:id="1985"/>
      <w:bookmarkEnd w:id="1986"/>
      <w:bookmarkEnd w:id="1987"/>
    </w:p>
    <w:p w14:paraId="0DFD8809">
      <w:pPr>
        <w:pageBreakBefore w:val="0"/>
        <w:kinsoku/>
        <w:wordWrap w:val="0"/>
        <w:bidi w:val="0"/>
        <w:spacing w:line="440" w:lineRule="exact"/>
        <w:jc w:val="center"/>
        <w:rPr>
          <w:rFonts w:hint="default" w:ascii="Times New Roman" w:hAnsi="Times New Roman" w:eastAsia="黑体" w:cs="Times New Roman"/>
          <w:color w:val="auto"/>
          <w:sz w:val="23"/>
          <w:szCs w:val="23"/>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3F3D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25EC37B">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Cs w:val="21"/>
                <w:highlight w:val="none"/>
              </w:rPr>
              <w:t>序    号</w:t>
            </w:r>
          </w:p>
        </w:tc>
        <w:tc>
          <w:tcPr>
            <w:tcW w:w="6524" w:type="dxa"/>
            <w:noWrap w:val="0"/>
            <w:vAlign w:val="top"/>
          </w:tcPr>
          <w:p w14:paraId="0F10548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D2D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2CFE504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项目名称</w:t>
            </w:r>
          </w:p>
        </w:tc>
        <w:tc>
          <w:tcPr>
            <w:tcW w:w="6524" w:type="dxa"/>
            <w:noWrap w:val="0"/>
            <w:vAlign w:val="top"/>
          </w:tcPr>
          <w:p w14:paraId="472B67F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C81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7010AB1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项目所在地</w:t>
            </w:r>
          </w:p>
        </w:tc>
        <w:tc>
          <w:tcPr>
            <w:tcW w:w="6524" w:type="dxa"/>
            <w:noWrap w:val="0"/>
            <w:vAlign w:val="top"/>
          </w:tcPr>
          <w:p w14:paraId="57E07AE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D4B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70D48B5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发包人名称</w:t>
            </w:r>
          </w:p>
        </w:tc>
        <w:tc>
          <w:tcPr>
            <w:tcW w:w="6524" w:type="dxa"/>
            <w:noWrap w:val="0"/>
            <w:vAlign w:val="top"/>
          </w:tcPr>
          <w:p w14:paraId="4864BC73">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710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7F0B628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发包人地址</w:t>
            </w:r>
          </w:p>
        </w:tc>
        <w:tc>
          <w:tcPr>
            <w:tcW w:w="6524" w:type="dxa"/>
            <w:noWrap w:val="0"/>
            <w:vAlign w:val="top"/>
          </w:tcPr>
          <w:p w14:paraId="3AA9F02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E74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061EE3EF">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发包人电话</w:t>
            </w:r>
          </w:p>
        </w:tc>
        <w:tc>
          <w:tcPr>
            <w:tcW w:w="6524" w:type="dxa"/>
            <w:noWrap w:val="0"/>
            <w:vAlign w:val="top"/>
          </w:tcPr>
          <w:p w14:paraId="7D051E7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39A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0B73D14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合同价格</w:t>
            </w:r>
          </w:p>
        </w:tc>
        <w:tc>
          <w:tcPr>
            <w:tcW w:w="6524" w:type="dxa"/>
            <w:noWrap w:val="0"/>
            <w:vAlign w:val="top"/>
          </w:tcPr>
          <w:p w14:paraId="615D2EB9">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CFD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B74418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开工日期</w:t>
            </w:r>
          </w:p>
        </w:tc>
        <w:tc>
          <w:tcPr>
            <w:tcW w:w="6524" w:type="dxa"/>
            <w:noWrap w:val="0"/>
            <w:vAlign w:val="top"/>
          </w:tcPr>
          <w:p w14:paraId="74270752">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52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41A93791">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交工日期</w:t>
            </w:r>
          </w:p>
        </w:tc>
        <w:tc>
          <w:tcPr>
            <w:tcW w:w="6524" w:type="dxa"/>
            <w:noWrap w:val="0"/>
            <w:vAlign w:val="top"/>
          </w:tcPr>
          <w:p w14:paraId="554EE8DD">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CC8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1888DBD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承担的工作</w:t>
            </w:r>
          </w:p>
        </w:tc>
        <w:tc>
          <w:tcPr>
            <w:tcW w:w="6524" w:type="dxa"/>
            <w:noWrap w:val="0"/>
            <w:vAlign w:val="top"/>
          </w:tcPr>
          <w:p w14:paraId="39DA7006">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782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22535357">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工程质量</w:t>
            </w:r>
          </w:p>
        </w:tc>
        <w:tc>
          <w:tcPr>
            <w:tcW w:w="6524" w:type="dxa"/>
            <w:noWrap w:val="0"/>
            <w:vAlign w:val="top"/>
          </w:tcPr>
          <w:p w14:paraId="76951866">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3F53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186F5885">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项目经理</w:t>
            </w:r>
          </w:p>
        </w:tc>
        <w:tc>
          <w:tcPr>
            <w:tcW w:w="6524" w:type="dxa"/>
            <w:noWrap w:val="0"/>
            <w:vAlign w:val="top"/>
          </w:tcPr>
          <w:p w14:paraId="16B386F8">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2FC4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0ACE3DBE">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项目总工</w:t>
            </w:r>
          </w:p>
        </w:tc>
        <w:tc>
          <w:tcPr>
            <w:tcW w:w="6524" w:type="dxa"/>
            <w:noWrap w:val="0"/>
            <w:vAlign w:val="top"/>
          </w:tcPr>
          <w:p w14:paraId="356F66EB">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559F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5687CF10">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总监理工程师及电话</w:t>
            </w:r>
          </w:p>
        </w:tc>
        <w:tc>
          <w:tcPr>
            <w:tcW w:w="6524" w:type="dxa"/>
            <w:noWrap w:val="0"/>
            <w:vAlign w:val="top"/>
          </w:tcPr>
          <w:p w14:paraId="57659DAC">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42AA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2649B5B8">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项目描述</w:t>
            </w:r>
          </w:p>
        </w:tc>
        <w:tc>
          <w:tcPr>
            <w:tcW w:w="6524" w:type="dxa"/>
            <w:noWrap w:val="0"/>
            <w:vAlign w:val="top"/>
          </w:tcPr>
          <w:p w14:paraId="0F039D46">
            <w:pPr>
              <w:pageBreakBefore w:val="0"/>
              <w:kinsoku/>
              <w:wordWrap w:val="0"/>
              <w:topLinePunct/>
              <w:bidi w:val="0"/>
              <w:spacing w:line="440" w:lineRule="exact"/>
              <w:rPr>
                <w:rFonts w:hint="default" w:ascii="Times New Roman" w:hAnsi="Times New Roman" w:cs="Times New Roman"/>
                <w:color w:val="auto"/>
                <w:sz w:val="20"/>
                <w:szCs w:val="20"/>
                <w:highlight w:val="none"/>
              </w:rPr>
            </w:pPr>
          </w:p>
          <w:p w14:paraId="470358C0">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r w14:paraId="1A19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2E529C3A">
            <w:pPr>
              <w:pageBreakBefore w:val="0"/>
              <w:kinsoku/>
              <w:wordWrap w:val="0"/>
              <w:topLinePunct/>
              <w:bidi w:val="0"/>
              <w:spacing w:line="44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备注</w:t>
            </w:r>
          </w:p>
        </w:tc>
        <w:tc>
          <w:tcPr>
            <w:tcW w:w="6524" w:type="dxa"/>
            <w:noWrap w:val="0"/>
            <w:vAlign w:val="top"/>
          </w:tcPr>
          <w:p w14:paraId="0A99BDD1">
            <w:pPr>
              <w:pageBreakBefore w:val="0"/>
              <w:kinsoku/>
              <w:wordWrap w:val="0"/>
              <w:topLinePunct/>
              <w:bidi w:val="0"/>
              <w:spacing w:line="440" w:lineRule="exact"/>
              <w:rPr>
                <w:rFonts w:hint="default" w:ascii="Times New Roman" w:hAnsi="Times New Roman" w:cs="Times New Roman"/>
                <w:color w:val="auto"/>
                <w:sz w:val="20"/>
                <w:szCs w:val="20"/>
                <w:highlight w:val="none"/>
              </w:rPr>
            </w:pPr>
          </w:p>
        </w:tc>
      </w:tr>
    </w:tbl>
    <w:p w14:paraId="3F2C4FF2">
      <w:pPr>
        <w:pageBreakBefore w:val="0"/>
        <w:kinsoku/>
        <w:wordWrap w:val="0"/>
        <w:bidi w:val="0"/>
        <w:spacing w:line="400" w:lineRule="atLeast"/>
        <w:ind w:left="735"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注：1.每张表格只填写一个项目，并标明序号。</w:t>
      </w:r>
    </w:p>
    <w:p w14:paraId="63D57CF8">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第3.5.3项的要求在本表后附相关证明材料。</w:t>
      </w:r>
    </w:p>
    <w:p w14:paraId="30B36AB1">
      <w:pPr>
        <w:pageBreakBefore w:val="0"/>
        <w:kinsoku/>
        <w:wordWrap w:val="0"/>
        <w:bidi w:val="0"/>
        <w:spacing w:line="400" w:lineRule="atLeast"/>
        <w:ind w:left="588" w:leftChars="200" w:hanging="168" w:hangingChars="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3.如近年来，投标人法人机构发生合法变更或重组或法人名称变更时，应提供相关部门的合法批件或其他相关证明材料来证明其所附业绩的继承性。</w:t>
      </w:r>
    </w:p>
    <w:p w14:paraId="523D0CC0">
      <w:pPr>
        <w:pageBreakBefore w:val="0"/>
        <w:kinsoku/>
        <w:wordWrap w:val="0"/>
        <w:bidi w:val="0"/>
        <w:spacing w:line="400" w:lineRule="atLeast"/>
        <w:ind w:left="609" w:leftChars="190" w:hanging="210" w:hanging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4.以联合体形式参与投标的，联合体各成员</w:t>
      </w:r>
      <w:r>
        <w:rPr>
          <w:rFonts w:hint="default" w:ascii="Times New Roman" w:hAnsi="Times New Roman" w:cs="Times New Roman"/>
          <w:color w:val="auto"/>
          <w:szCs w:val="21"/>
          <w:highlight w:val="none"/>
          <w:lang w:val="en-US" w:eastAsia="zh-CN"/>
        </w:rPr>
        <w:t>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lang w:val="en-US" w:eastAsia="zh-CN"/>
        </w:rPr>
        <w:t>前附表附录3要求及第三章</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评标办法</w:t>
      </w:r>
      <w:r>
        <w:rPr>
          <w:rFonts w:hint="eastAsia" w:ascii="宋体" w:hAnsi="宋体" w:eastAsia="宋体" w:cs="宋体"/>
          <w:color w:val="auto"/>
          <w:highlight w:val="none"/>
          <w:lang w:val="en-US" w:eastAsia="zh-CN"/>
        </w:rPr>
        <w:t>”</w:t>
      </w:r>
      <w:r>
        <w:rPr>
          <w:rFonts w:hint="default" w:ascii="Times New Roman" w:hAnsi="Times New Roman" w:cs="Times New Roman"/>
          <w:color w:val="auto"/>
          <w:highlight w:val="none"/>
          <w:lang w:val="en-US" w:eastAsia="zh-CN"/>
        </w:rPr>
        <w:t>详细评审要求（如有）</w:t>
      </w:r>
      <w:r>
        <w:rPr>
          <w:rFonts w:hint="default" w:ascii="Times New Roman" w:hAnsi="Times New Roman" w:cs="Times New Roman"/>
          <w:color w:val="auto"/>
          <w:szCs w:val="21"/>
          <w:highlight w:val="none"/>
        </w:rPr>
        <w:t>分别填写。</w:t>
      </w:r>
    </w:p>
    <w:p w14:paraId="51AB2A06">
      <w:pPr>
        <w:pageBreakBefore w:val="0"/>
        <w:kinsoku/>
        <w:wordWrap w:val="0"/>
        <w:bidi w:val="0"/>
        <w:spacing w:line="280" w:lineRule="exact"/>
        <w:rPr>
          <w:rFonts w:hint="default" w:ascii="Times New Roman" w:hAnsi="Times New Roman" w:eastAsia="黑体" w:cs="Times New Roman"/>
          <w:color w:val="auto"/>
          <w:sz w:val="23"/>
          <w:szCs w:val="23"/>
          <w:highlight w:val="none"/>
        </w:rPr>
      </w:pPr>
      <w:r>
        <w:rPr>
          <w:rFonts w:hint="default" w:ascii="Times New Roman" w:hAnsi="Times New Roman" w:eastAsia="黑体" w:cs="Times New Roman"/>
          <w:color w:val="auto"/>
          <w:sz w:val="23"/>
          <w:szCs w:val="23"/>
          <w:highlight w:val="none"/>
        </w:rPr>
        <w:br w:type="page"/>
      </w:r>
    </w:p>
    <w:p w14:paraId="1DFF9D83">
      <w:pPr>
        <w:pStyle w:val="2"/>
        <w:pageBreakBefore w:val="0"/>
        <w:numPr>
          <w:ilvl w:val="0"/>
          <w:numId w:val="1"/>
        </w:numPr>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88" w:name="_Toc2693"/>
      <w:bookmarkStart w:id="1989" w:name="_Toc17918"/>
      <w:bookmarkStart w:id="1990" w:name="_Toc26533"/>
      <w:bookmarkStart w:id="1991" w:name="_Toc234833285"/>
      <w:r>
        <w:rPr>
          <w:rFonts w:hint="default" w:ascii="Times New Roman" w:hAnsi="Times New Roman" w:eastAsia="黑体" w:cs="Times New Roman"/>
          <w:b w:val="0"/>
          <w:color w:val="auto"/>
          <w:sz w:val="24"/>
          <w:szCs w:val="24"/>
          <w:highlight w:val="none"/>
        </w:rPr>
        <w:t>投标人的信誉情况表</w:t>
      </w:r>
      <w:bookmarkEnd w:id="1988"/>
      <w:bookmarkEnd w:id="1989"/>
      <w:bookmarkEnd w:id="1990"/>
    </w:p>
    <w:p w14:paraId="4E48B772">
      <w:pPr>
        <w:keepNext/>
        <w:keepLines/>
        <w:spacing w:before="80" w:after="64"/>
        <w:ind w:firstLine="566"/>
        <w:jc w:val="center"/>
        <w:rPr>
          <w:rFonts w:hint="default" w:eastAsia="黑体" w:cs="Times New Roman"/>
          <w:bCs/>
          <w:color w:val="auto"/>
          <w:kern w:val="0"/>
          <w:sz w:val="28"/>
          <w:szCs w:val="28"/>
          <w:highlight w:val="none"/>
          <w:lang w:val="en-US" w:eastAsia="zh-CN" w:bidi="zh-CN"/>
        </w:rPr>
      </w:pPr>
      <w:r>
        <w:rPr>
          <w:rFonts w:hint="eastAsia" w:eastAsia="黑体" w:cs="Times New Roman"/>
          <w:bCs/>
          <w:color w:val="auto"/>
          <w:kern w:val="0"/>
          <w:sz w:val="28"/>
          <w:szCs w:val="28"/>
          <w:highlight w:val="none"/>
          <w:lang w:val="en-US" w:eastAsia="zh-CN" w:bidi="zh-CN"/>
        </w:rPr>
        <w:t>5-1</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3F2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01D9FDF4">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项 目</w:t>
            </w:r>
          </w:p>
        </w:tc>
        <w:tc>
          <w:tcPr>
            <w:tcW w:w="4261" w:type="dxa"/>
            <w:noWrap w:val="0"/>
            <w:vAlign w:val="center"/>
          </w:tcPr>
          <w:p w14:paraId="17E62E68">
            <w:pPr>
              <w:pageBreakBefore w:val="0"/>
              <w:kinsoku/>
              <w:wordWrap w:val="0"/>
              <w:topLinePunct/>
              <w:bidi w:val="0"/>
              <w:spacing w:line="400" w:lineRule="atLeas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投标人情况说明</w:t>
            </w:r>
          </w:p>
        </w:tc>
      </w:tr>
      <w:tr w14:paraId="6DDA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6E802B43">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459D5E71">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1007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34353CB9">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0608AC5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5FBE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137FE4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FD5112D">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218B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5" w:hRule="atLeast"/>
        </w:trPr>
        <w:tc>
          <w:tcPr>
            <w:tcW w:w="4261" w:type="dxa"/>
            <w:noWrap w:val="0"/>
            <w:vAlign w:val="top"/>
          </w:tcPr>
          <w:p w14:paraId="039E2B02">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53DAEA39">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0945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50DB3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EEA8C1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4BDB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D2E3A2F">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6DDFD1E8">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3228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4826FE">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72ED0E27">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r w14:paraId="0ABE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B4F75C">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c>
          <w:tcPr>
            <w:tcW w:w="4261" w:type="dxa"/>
            <w:noWrap w:val="0"/>
            <w:vAlign w:val="top"/>
          </w:tcPr>
          <w:p w14:paraId="2FBFB6D4">
            <w:pPr>
              <w:pageBreakBefore w:val="0"/>
              <w:kinsoku/>
              <w:wordWrap w:val="0"/>
              <w:topLinePunct/>
              <w:bidi w:val="0"/>
              <w:spacing w:line="400" w:lineRule="atLeast"/>
              <w:rPr>
                <w:rFonts w:hint="default" w:ascii="Times New Roman" w:hAnsi="Times New Roman" w:cs="Times New Roman"/>
                <w:bCs/>
                <w:color w:val="auto"/>
                <w:sz w:val="20"/>
                <w:szCs w:val="20"/>
                <w:highlight w:val="none"/>
              </w:rPr>
            </w:pPr>
          </w:p>
        </w:tc>
      </w:tr>
    </w:tbl>
    <w:p w14:paraId="4CC66E75">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注：1.投标人应按照招标文件第二章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前附表附录4和</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正文第1.4.4项规定，逐条说明其信誉情况。</w:t>
      </w:r>
      <w:bookmarkEnd w:id="1991"/>
    </w:p>
    <w:p w14:paraId="65D31368">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bookmarkStart w:id="1992" w:name="_Hlk493477915"/>
      <w:r>
        <w:rPr>
          <w:rFonts w:hint="default" w:ascii="Times New Roman" w:hAnsi="Times New Roman" w:cs="Times New Roman"/>
          <w:color w:val="auto"/>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第3.5.4项的要求在本表后附相关证明材料。</w:t>
      </w:r>
      <w:bookmarkEnd w:id="1992"/>
    </w:p>
    <w:p w14:paraId="4F26CEBF">
      <w:pPr>
        <w:keepNext w:val="0"/>
        <w:keepLines w:val="0"/>
        <w:pageBreakBefore w:val="0"/>
        <w:widowControl w:val="0"/>
        <w:kinsoku/>
        <w:wordWrap w:val="0"/>
        <w:overflowPunct/>
        <w:topLinePunct w:val="0"/>
        <w:autoSpaceDE/>
        <w:autoSpaceDN/>
        <w:bidi w:val="0"/>
        <w:adjustRightInd/>
        <w:snapToGrid/>
        <w:spacing w:line="400" w:lineRule="atLeast"/>
        <w:ind w:left="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3.以联合体形式参与投标的，联合体各成员应分别填写。</w:t>
      </w:r>
    </w:p>
    <w:p w14:paraId="6714ECC4">
      <w:pPr>
        <w:pStyle w:val="2"/>
        <w:pageBreakBefore w:val="0"/>
        <w:kinsoku/>
        <w:wordWrap w:val="0"/>
        <w:bidi w:val="0"/>
        <w:spacing w:before="0" w:after="0" w:line="380" w:lineRule="atLeast"/>
        <w:jc w:val="center"/>
        <w:outlineLvl w:val="9"/>
        <w:rPr>
          <w:rFonts w:hint="default" w:ascii="Times New Roman" w:hAnsi="Times New Roman" w:cs="Times New Roman"/>
          <w:b w:val="0"/>
          <w:bCs w:val="0"/>
          <w:color w:val="auto"/>
          <w:kern w:val="2"/>
          <w:sz w:val="21"/>
          <w:szCs w:val="21"/>
          <w:highlight w:val="none"/>
          <w:lang w:val="en-US" w:eastAsia="zh-CN"/>
        </w:rPr>
        <w:sectPr>
          <w:headerReference r:id="rId49" w:type="default"/>
          <w:footerReference r:id="rId50"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7021F7C4">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en-US" w:bidi="zh-CN"/>
        </w:rPr>
      </w:pPr>
      <w:r>
        <w:rPr>
          <w:rFonts w:hint="eastAsia" w:eastAsia="黑体" w:cs="Times New Roman"/>
          <w:bCs/>
          <w:color w:val="auto"/>
          <w:kern w:val="0"/>
          <w:sz w:val="28"/>
          <w:szCs w:val="28"/>
          <w:highlight w:val="none"/>
          <w:lang w:val="en-US" w:bidi="zh-CN"/>
        </w:rPr>
        <w:t>5-2</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598"/>
        <w:gridCol w:w="1952"/>
        <w:gridCol w:w="1952"/>
        <w:gridCol w:w="1953"/>
      </w:tblGrid>
      <w:tr w14:paraId="54DE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52" w:type="pct"/>
            <w:noWrap w:val="0"/>
            <w:vAlign w:val="center"/>
          </w:tcPr>
          <w:p w14:paraId="7EB550FF">
            <w:pPr>
              <w:pageBreakBefore w:val="0"/>
              <w:kinsoku/>
              <w:wordWrap w:val="0"/>
              <w:topLinePunct/>
              <w:bidi w:val="0"/>
              <w:spacing w:line="400" w:lineRule="atLeast"/>
              <w:jc w:val="center"/>
              <w:rPr>
                <w:rFonts w:hint="eastAsia" w:ascii="Times New Roman" w:hAnsi="Times New Roman" w:eastAsia="宋体" w:cs="Times New Roman"/>
                <w:bCs/>
                <w:color w:val="auto"/>
                <w:szCs w:val="21"/>
                <w:highlight w:val="none"/>
                <w:lang w:eastAsia="zh-CN"/>
              </w:rPr>
            </w:pPr>
            <w:r>
              <w:rPr>
                <w:rFonts w:hint="eastAsia" w:cs="Times New Roman"/>
                <w:bCs/>
                <w:color w:val="auto"/>
                <w:szCs w:val="21"/>
                <w:highlight w:val="none"/>
                <w:lang w:val="en-US" w:eastAsia="zh-CN"/>
              </w:rPr>
              <w:t>评价年度</w:t>
            </w:r>
          </w:p>
        </w:tc>
        <w:tc>
          <w:tcPr>
            <w:tcW w:w="910" w:type="pct"/>
            <w:noWrap w:val="0"/>
            <w:vAlign w:val="center"/>
          </w:tcPr>
          <w:p w14:paraId="7D0AA313">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评价机构</w:t>
            </w:r>
          </w:p>
        </w:tc>
        <w:tc>
          <w:tcPr>
            <w:tcW w:w="1112" w:type="pct"/>
            <w:noWrap w:val="0"/>
            <w:vAlign w:val="center"/>
          </w:tcPr>
          <w:p w14:paraId="0CA6BE20">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信用评价等级</w:t>
            </w:r>
          </w:p>
        </w:tc>
        <w:tc>
          <w:tcPr>
            <w:tcW w:w="1112" w:type="pct"/>
            <w:noWrap w:val="0"/>
            <w:vAlign w:val="center"/>
          </w:tcPr>
          <w:p w14:paraId="09BC65E2">
            <w:pPr>
              <w:pageBreakBefore w:val="0"/>
              <w:kinsoku/>
              <w:wordWrap w:val="0"/>
              <w:topLinePunct/>
              <w:bidi w:val="0"/>
              <w:spacing w:line="400" w:lineRule="atLeast"/>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评价信息公示网站地址</w:t>
            </w:r>
          </w:p>
        </w:tc>
        <w:tc>
          <w:tcPr>
            <w:tcW w:w="1112" w:type="pct"/>
            <w:noWrap w:val="0"/>
            <w:vAlign w:val="center"/>
          </w:tcPr>
          <w:p w14:paraId="20FBCB11">
            <w:pPr>
              <w:pageBreakBefore w:val="0"/>
              <w:kinsoku/>
              <w:wordWrap w:val="0"/>
              <w:topLinePunct/>
              <w:bidi w:val="0"/>
              <w:spacing w:line="40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有效期</w:t>
            </w:r>
          </w:p>
        </w:tc>
      </w:tr>
      <w:tr w14:paraId="0D42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6B04431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7B052BB6">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A0D7CDE">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C95D767">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9A06EE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72E4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8B35AEB">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3CF90F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348804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D9B417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A8849B3">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AEB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62864EDE">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535D43B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040437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BC088D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9C66185">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14D6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3ABC5FF0">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1ACD0488">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3B4F494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F2F6581">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FF01B9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52C5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1C8F9F7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D67BD6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764731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148616B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41A1EFC1">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23F1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2FBA695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68A53557">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090CA7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585ABA0">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9FBDD74">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0CD2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423B77B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701F3E19">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6551DE6C">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2D1F28E2">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58E08BE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r w14:paraId="3294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2" w:type="pct"/>
            <w:noWrap w:val="0"/>
            <w:vAlign w:val="center"/>
          </w:tcPr>
          <w:p w14:paraId="15FA798F">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910" w:type="pct"/>
            <w:noWrap w:val="0"/>
            <w:vAlign w:val="center"/>
          </w:tcPr>
          <w:p w14:paraId="0D1433A6">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189254D">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06DA5B93">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c>
          <w:tcPr>
            <w:tcW w:w="1112" w:type="pct"/>
            <w:noWrap w:val="0"/>
            <w:vAlign w:val="center"/>
          </w:tcPr>
          <w:p w14:paraId="7DF620BA">
            <w:pPr>
              <w:pageBreakBefore w:val="0"/>
              <w:kinsoku/>
              <w:wordWrap w:val="0"/>
              <w:topLinePunct/>
              <w:bidi w:val="0"/>
              <w:spacing w:line="400" w:lineRule="atLeast"/>
              <w:jc w:val="center"/>
              <w:rPr>
                <w:rFonts w:hint="default" w:ascii="Times New Roman" w:hAnsi="Times New Roman" w:cs="Times New Roman"/>
                <w:bCs/>
                <w:color w:val="auto"/>
                <w:sz w:val="20"/>
                <w:szCs w:val="20"/>
                <w:highlight w:val="none"/>
              </w:rPr>
            </w:pPr>
          </w:p>
        </w:tc>
      </w:tr>
    </w:tbl>
    <w:p w14:paraId="2C4F3E34">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679F533B">
      <w:pPr>
        <w:keepNext/>
        <w:keepLines/>
        <w:spacing w:before="80" w:after="64"/>
        <w:ind w:firstLine="566"/>
        <w:jc w:val="center"/>
        <w:rPr>
          <w:rFonts w:hint="default" w:ascii="Times New Roman" w:hAnsi="Times New Roman" w:eastAsia="黑体" w:cs="Times New Roman"/>
          <w:bCs/>
          <w:color w:val="auto"/>
          <w:kern w:val="0"/>
          <w:sz w:val="28"/>
          <w:szCs w:val="28"/>
          <w:highlight w:val="none"/>
          <w:lang w:val="zh-CN" w:bidi="zh-CN"/>
        </w:rPr>
      </w:pPr>
      <w:r>
        <w:rPr>
          <w:rFonts w:hint="default" w:ascii="Times New Roman" w:hAnsi="Times New Roman" w:eastAsia="黑体" w:cs="Times New Roman"/>
          <w:bCs/>
          <w:color w:val="auto"/>
          <w:kern w:val="0"/>
          <w:sz w:val="28"/>
          <w:szCs w:val="28"/>
          <w:highlight w:val="none"/>
          <w:lang w:val="zh-CN" w:bidi="zh-CN"/>
        </w:rPr>
        <w:t>无行贿犯罪行为承诺函（格式）</w:t>
      </w:r>
    </w:p>
    <w:p w14:paraId="58BFCCA0">
      <w:pPr>
        <w:spacing w:line="360" w:lineRule="auto"/>
        <w:ind w:firstLine="480" w:firstLineChars="200"/>
        <w:rPr>
          <w:rFonts w:hint="default" w:ascii="Times New Roman" w:hAnsi="Times New Roman" w:cs="Times New Roman"/>
          <w:color w:val="auto"/>
          <w:sz w:val="24"/>
          <w:szCs w:val="22"/>
          <w:highlight w:val="none"/>
        </w:rPr>
      </w:pPr>
    </w:p>
    <w:p w14:paraId="1DDF6889">
      <w:pPr>
        <w:spacing w:line="360" w:lineRule="auto"/>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致：</w:t>
      </w:r>
      <w:r>
        <w:rPr>
          <w:rFonts w:hint="default" w:ascii="Times New Roman" w:hAnsi="Times New Roman" w:cs="Times New Roman"/>
          <w:color w:val="auto"/>
          <w:sz w:val="24"/>
          <w:szCs w:val="22"/>
          <w:highlight w:val="none"/>
          <w:u w:val="single"/>
        </w:rPr>
        <w:t xml:space="preserve">  （招标人全称）  </w:t>
      </w:r>
    </w:p>
    <w:p w14:paraId="13B90F1E">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我单位承诺：在近三年内（</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年</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月</w:t>
      </w:r>
      <w:r>
        <w:rPr>
          <w:rFonts w:hint="default" w:ascii="Times New Roman" w:hAnsi="Times New Roman" w:cs="Times New Roman"/>
          <w:color w:val="auto"/>
          <w:sz w:val="24"/>
          <w:szCs w:val="22"/>
          <w:highlight w:val="none"/>
          <w:u w:val="single"/>
        </w:rPr>
        <w:t xml:space="preserve">   </w:t>
      </w:r>
      <w:r>
        <w:rPr>
          <w:rFonts w:hint="default" w:ascii="Times New Roman" w:hAnsi="Times New Roman" w:cs="Times New Roman"/>
          <w:color w:val="auto"/>
          <w:sz w:val="24"/>
          <w:szCs w:val="22"/>
          <w:highlight w:val="none"/>
        </w:rPr>
        <w:t>日至投标文件递交截止日），</w:t>
      </w:r>
      <w:r>
        <w:rPr>
          <w:rFonts w:hint="default" w:ascii="Times New Roman" w:hAnsi="Times New Roman" w:cs="Times New Roman"/>
          <w:color w:val="auto"/>
          <w:sz w:val="24"/>
          <w:szCs w:val="22"/>
          <w:highlight w:val="none"/>
          <w:u w:val="single"/>
        </w:rPr>
        <w:t xml:space="preserve">  （投标人单位名称及统一社会信用代码）  </w:t>
      </w:r>
      <w:r>
        <w:rPr>
          <w:rFonts w:hint="default" w:ascii="Times New Roman" w:hAnsi="Times New Roman" w:cs="Times New Roman"/>
          <w:color w:val="auto"/>
          <w:sz w:val="24"/>
          <w:szCs w:val="22"/>
          <w:highlight w:val="none"/>
        </w:rPr>
        <w:t>及法定代表人</w:t>
      </w:r>
      <w:r>
        <w:rPr>
          <w:rFonts w:hint="default" w:ascii="Times New Roman" w:hAnsi="Times New Roman" w:cs="Times New Roman"/>
          <w:color w:val="auto"/>
          <w:sz w:val="24"/>
          <w:szCs w:val="22"/>
          <w:highlight w:val="none"/>
          <w:u w:val="single"/>
        </w:rPr>
        <w:t xml:space="preserve">  （法定代表人姓名及身份证号码）  </w:t>
      </w:r>
      <w:r>
        <w:rPr>
          <w:rFonts w:hint="default" w:ascii="Times New Roman" w:hAnsi="Times New Roman" w:cs="Times New Roman"/>
          <w:color w:val="auto"/>
          <w:sz w:val="24"/>
          <w:szCs w:val="22"/>
          <w:highlight w:val="none"/>
        </w:rPr>
        <w:t>、拟委任的项目</w:t>
      </w:r>
      <w:r>
        <w:rPr>
          <w:rFonts w:hint="default" w:ascii="Times New Roman" w:hAnsi="Times New Roman" w:cs="Times New Roman"/>
          <w:color w:val="auto"/>
          <w:sz w:val="24"/>
          <w:szCs w:val="22"/>
          <w:highlight w:val="none"/>
          <w:lang w:val="en-US" w:eastAsia="zh-CN"/>
        </w:rPr>
        <w:t>经理</w:t>
      </w:r>
      <w:r>
        <w:rPr>
          <w:rFonts w:hint="default" w:ascii="Times New Roman" w:hAnsi="Times New Roman" w:cs="Times New Roman"/>
          <w:color w:val="auto"/>
          <w:sz w:val="24"/>
          <w:szCs w:val="22"/>
          <w:highlight w:val="none"/>
          <w:u w:val="single"/>
        </w:rPr>
        <w:t xml:space="preserve">   （项目</w:t>
      </w:r>
      <w:r>
        <w:rPr>
          <w:rFonts w:hint="default" w:ascii="Times New Roman" w:hAnsi="Times New Roman" w:cs="Times New Roman"/>
          <w:color w:val="auto"/>
          <w:sz w:val="24"/>
          <w:szCs w:val="22"/>
          <w:highlight w:val="none"/>
          <w:u w:val="single"/>
          <w:lang w:val="en-US" w:eastAsia="zh-CN"/>
        </w:rPr>
        <w:t>经理</w:t>
      </w:r>
      <w:r>
        <w:rPr>
          <w:rFonts w:hint="default" w:ascii="Times New Roman" w:hAnsi="Times New Roman" w:cs="Times New Roman"/>
          <w:color w:val="auto"/>
          <w:sz w:val="24"/>
          <w:szCs w:val="22"/>
          <w:highlight w:val="none"/>
          <w:u w:val="single"/>
        </w:rPr>
        <w:t xml:space="preserve">姓名及身份证号码）   </w:t>
      </w:r>
      <w:r>
        <w:rPr>
          <w:rFonts w:hint="default" w:ascii="Times New Roman" w:hAnsi="Times New Roman" w:cs="Times New Roman"/>
          <w:color w:val="auto"/>
          <w:sz w:val="24"/>
          <w:szCs w:val="22"/>
          <w:highlight w:val="none"/>
        </w:rPr>
        <w:t>均无行贿犯罪行为。</w:t>
      </w:r>
    </w:p>
    <w:p w14:paraId="63C4F5AF">
      <w:pPr>
        <w:spacing w:line="36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如经招标人或评标委员会核实我单位出具的该承诺存在弄虚作假，承诺不实的情形，</w:t>
      </w:r>
      <w:r>
        <w:rPr>
          <w:rFonts w:hint="eastAsia" w:cs="Times New Roman"/>
          <w:color w:val="auto"/>
          <w:sz w:val="24"/>
          <w:szCs w:val="22"/>
          <w:highlight w:val="none"/>
          <w:lang w:eastAsia="zh-CN"/>
        </w:rPr>
        <w:t>评标委员会</w:t>
      </w:r>
      <w:r>
        <w:rPr>
          <w:rFonts w:hint="default" w:ascii="Times New Roman" w:hAnsi="Times New Roman" w:cs="Times New Roman"/>
          <w:color w:val="auto"/>
          <w:sz w:val="24"/>
          <w:szCs w:val="22"/>
          <w:highlight w:val="none"/>
        </w:rPr>
        <w:t>有权否决我单位投标资格或招标人取消我单位中标资格，并由招标人上报上级行政主管部门，作为不良记录纳入信用信息管理系统。</w:t>
      </w:r>
    </w:p>
    <w:p w14:paraId="7D49C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特此承诺！</w:t>
      </w:r>
    </w:p>
    <w:p w14:paraId="3B7F010B">
      <w:pPr>
        <w:spacing w:line="360" w:lineRule="auto"/>
        <w:ind w:firstLine="480" w:firstLineChars="200"/>
        <w:rPr>
          <w:rFonts w:hint="default" w:ascii="Times New Roman" w:hAnsi="Times New Roman" w:cs="Times New Roman"/>
          <w:color w:val="auto"/>
          <w:sz w:val="24"/>
          <w:szCs w:val="22"/>
          <w:highlight w:val="none"/>
        </w:rPr>
      </w:pPr>
    </w:p>
    <w:p w14:paraId="411A9A59">
      <w:pPr>
        <w:spacing w:line="360" w:lineRule="auto"/>
        <w:ind w:firstLine="480" w:firstLineChars="200"/>
        <w:rPr>
          <w:rFonts w:hint="default" w:ascii="Times New Roman" w:hAnsi="Times New Roman" w:cs="Times New Roman"/>
          <w:color w:val="auto"/>
          <w:sz w:val="24"/>
          <w:szCs w:val="22"/>
          <w:highlight w:val="none"/>
        </w:rPr>
      </w:pPr>
    </w:p>
    <w:p w14:paraId="5A904E76">
      <w:pPr>
        <w:spacing w:line="360" w:lineRule="auto"/>
        <w:ind w:left="2520" w:leftChars="1200" w:firstLine="1920" w:firstLineChars="800"/>
        <w:rPr>
          <w:rFonts w:hint="default" w:ascii="Times New Roman" w:hAnsi="Times New Roman" w:cs="Times New Roman"/>
          <w:color w:val="auto"/>
          <w:sz w:val="24"/>
          <w:szCs w:val="22"/>
          <w:highlight w:val="none"/>
        </w:rPr>
      </w:pPr>
    </w:p>
    <w:p w14:paraId="62DABFF5">
      <w:pPr>
        <w:wordWrap w:val="0"/>
        <w:topLinePunct/>
        <w:spacing w:line="440" w:lineRule="exac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2"/>
          <w:highlight w:val="none"/>
        </w:rPr>
        <w:t xml:space="preserve">                       </w:t>
      </w:r>
      <w:r>
        <w:rPr>
          <w:rFonts w:hint="default" w:ascii="Times New Roman" w:hAnsi="Times New Roman" w:cs="Times New Roman"/>
          <w:color w:val="auto"/>
          <w:sz w:val="24"/>
          <w:szCs w:val="24"/>
          <w:highlight w:val="none"/>
        </w:rPr>
        <w:t xml:space="preserve">   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411F8DFA">
      <w:pPr>
        <w:spacing w:line="360" w:lineRule="auto"/>
        <w:ind w:left="2520" w:leftChars="1200" w:firstLine="1920" w:firstLineChars="800"/>
        <w:rPr>
          <w:rFonts w:hint="default" w:ascii="Times New Roman" w:hAnsi="Times New Roman" w:cs="Times New Roman"/>
          <w:color w:val="auto"/>
          <w:sz w:val="24"/>
          <w:szCs w:val="24"/>
          <w:highlight w:val="none"/>
        </w:rPr>
      </w:pPr>
    </w:p>
    <w:p w14:paraId="3E1B4EFF">
      <w:pPr>
        <w:spacing w:line="360" w:lineRule="auto"/>
        <w:ind w:left="2520" w:leftChars="1200" w:firstLine="1920" w:firstLineChars="8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4"/>
          <w:highlight w:val="none"/>
        </w:rPr>
        <w:t>日期：</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77124AF6">
      <w:pPr>
        <w:pStyle w:val="16"/>
        <w:rPr>
          <w:rFonts w:hint="default" w:ascii="Times New Roman" w:hAnsi="Times New Roman" w:cs="Times New Roman"/>
          <w:color w:val="auto"/>
          <w:highlight w:val="none"/>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4A4D6E82">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1993" w:name="_Toc24695"/>
      <w:bookmarkStart w:id="1994" w:name="_Toc13882"/>
      <w:bookmarkStart w:id="1995" w:name="_Toc14547"/>
      <w:r>
        <w:rPr>
          <w:rFonts w:hint="default" w:ascii="Times New Roman" w:hAnsi="Times New Roman" w:eastAsia="黑体" w:cs="Times New Roman"/>
          <w:b w:val="0"/>
          <w:color w:val="auto"/>
          <w:sz w:val="24"/>
          <w:szCs w:val="24"/>
          <w:highlight w:val="none"/>
        </w:rPr>
        <w:t>（六）拟委任的项目经理和项目总工资历表</w:t>
      </w:r>
      <w:bookmarkEnd w:id="1983"/>
      <w:bookmarkEnd w:id="1993"/>
      <w:bookmarkEnd w:id="1994"/>
      <w:bookmarkEnd w:id="1995"/>
    </w:p>
    <w:p w14:paraId="60E868FE">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67D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79AB62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noWrap w:val="0"/>
            <w:vAlign w:val="center"/>
          </w:tcPr>
          <w:p w14:paraId="6CBB7EE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2FA4B78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noWrap w:val="0"/>
            <w:vAlign w:val="top"/>
          </w:tcPr>
          <w:p w14:paraId="071E6D0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0CFD5C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noWrap w:val="0"/>
            <w:vAlign w:val="top"/>
          </w:tcPr>
          <w:p w14:paraId="487670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A0C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4846238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noWrap w:val="0"/>
            <w:vAlign w:val="center"/>
          </w:tcPr>
          <w:p w14:paraId="3D8B29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noWrap w:val="0"/>
            <w:vAlign w:val="center"/>
          </w:tcPr>
          <w:p w14:paraId="63D77B5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noWrap w:val="0"/>
            <w:vAlign w:val="top"/>
          </w:tcPr>
          <w:p w14:paraId="575C06D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top"/>
          </w:tcPr>
          <w:p w14:paraId="790AE83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57CF308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noWrap w:val="0"/>
            <w:vAlign w:val="top"/>
          </w:tcPr>
          <w:p w14:paraId="41F85DC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D81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287948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37D7BD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2155FB7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24045D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619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3BEC6AA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7FAB1D5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5CA9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87AECE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00A8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F8905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3CC98B6C">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05F6C5B3">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4205364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1C25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13FD51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495287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6CABF4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B55847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35A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CD35E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A6D4CB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D5A0E2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9B0771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A49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3B72D3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A096D9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FC5ADD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51030C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9F3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4F4FD1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E298E3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02E9C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44201A7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4A50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DB9B1C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97FF0B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1C7DB2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35A61D8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2B8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9332CB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9751E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3C7B7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F7CA87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9F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C95C7E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30C4519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36C2A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1654DE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6CB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5FA31F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04485F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6AA1C3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25E91B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35A5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C5742C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5760B51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3E9B241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12A6C7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869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485CCBD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7C471A9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235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0FCED4E">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6766A91D">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209ABDAB">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498A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42AC9DD3">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4E1B0C04">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1FD139E2">
      <w:pPr>
        <w:pStyle w:val="17"/>
        <w:pageBreakBefore w:val="0"/>
        <w:kinsoku/>
        <w:wordWrap w:val="0"/>
        <w:bidi w:val="0"/>
        <w:spacing w:after="0" w:line="400" w:lineRule="atLeast"/>
        <w:ind w:left="699" w:leftChars="0" w:hanging="699" w:hangingChars="333"/>
        <w:rPr>
          <w:rFonts w:hint="default" w:ascii="Times New Roman" w:hAnsi="Times New Roman" w:cs="Times New Roman"/>
          <w:color w:val="auto"/>
          <w:highlight w:val="none"/>
        </w:rPr>
      </w:pPr>
      <w:r>
        <w:rPr>
          <w:rFonts w:hint="default" w:ascii="Times New Roman" w:hAnsi="Times New Roman" w:cs="Times New Roman"/>
          <w:color w:val="auto"/>
          <w:highlight w:val="none"/>
        </w:rPr>
        <w:t>注：1.本表应填写项目经理和项目总工相关情况。</w:t>
      </w:r>
    </w:p>
    <w:p w14:paraId="2000A595">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2.投标人应根据招标文件第二章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第3.5.5项的要求在本表后附相关证明材料。</w:t>
      </w:r>
    </w:p>
    <w:p w14:paraId="1644EFAD">
      <w:pPr>
        <w:pageBreakBefore w:val="0"/>
        <w:kinsoku/>
        <w:wordWrap/>
        <w:bidi w:val="0"/>
        <w:spacing w:line="240" w:lineRule="auto"/>
        <w:ind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br w:type="page"/>
      </w:r>
    </w:p>
    <w:p w14:paraId="2CC02878">
      <w:pPr>
        <w:pageBreakBefore w:val="0"/>
        <w:kinsoku/>
        <w:wordWrap w:val="0"/>
        <w:overflowPunct/>
        <w:topLinePunct/>
        <w:bidi w:val="0"/>
        <w:spacing w:line="400" w:lineRule="atLeast"/>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主要人员撤离承诺函（如有）</w:t>
      </w:r>
    </w:p>
    <w:p w14:paraId="1C944701">
      <w:pPr>
        <w:pageBreakBefore w:val="0"/>
        <w:kinsoku/>
        <w:wordWrap w:val="0"/>
        <w:overflowPunct/>
        <w:bidi w:val="0"/>
        <w:ind w:firstLine="232"/>
        <w:jc w:val="center"/>
        <w:rPr>
          <w:rFonts w:hint="default" w:ascii="Times New Roman" w:hAnsi="Times New Roman" w:cs="Times New Roman"/>
          <w:color w:val="auto"/>
          <w:sz w:val="28"/>
          <w:szCs w:val="36"/>
          <w:highlight w:val="none"/>
        </w:rPr>
      </w:pPr>
    </w:p>
    <w:p w14:paraId="476E8FED">
      <w:pPr>
        <w:pageBreakBefore w:val="0"/>
        <w:kinsoku/>
        <w:wordWrap w:val="0"/>
        <w:overflowPunct/>
        <w:bidi w:val="0"/>
        <w:spacing w:line="400" w:lineRule="exac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477075BD">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我方参加了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标段（以下简称</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本项目</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）投标，我方在此承诺：</w:t>
      </w:r>
    </w:p>
    <w:p w14:paraId="1B325DBC">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鉴于我方拟投入的</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项目经理</w:t>
      </w:r>
      <w:r>
        <w:rPr>
          <w:rFonts w:hint="default" w:ascii="Times New Roman" w:hAnsi="Times New Roman" w:cs="Times New Roman"/>
          <w:color w:val="auto"/>
          <w:sz w:val="24"/>
          <w:highlight w:val="none"/>
        </w:rPr>
        <w:t>和/或</w:t>
      </w:r>
      <w:r>
        <w:rPr>
          <w:rFonts w:hint="eastAsia" w:cs="Times New Roman"/>
          <w:color w:val="auto"/>
          <w:sz w:val="24"/>
          <w:highlight w:val="none"/>
          <w:lang w:val="en-US" w:eastAsia="zh-CN"/>
        </w:rPr>
        <w:t>项目总工</w:t>
      </w:r>
      <w:r>
        <w:rPr>
          <w:rFonts w:hint="default" w:ascii="Times New Roman" w:hAnsi="Times New Roman" w:cs="Times New Roman"/>
          <w:color w:val="auto"/>
          <w:sz w:val="24"/>
          <w:highlight w:val="none"/>
        </w:rPr>
        <w:t>姓名）目前仍在</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（项目名称）上任职，若我方中标，立即将</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项目经理</w:t>
      </w:r>
      <w:r>
        <w:rPr>
          <w:rFonts w:hint="default" w:ascii="Times New Roman" w:hAnsi="Times New Roman" w:cs="Times New Roman"/>
          <w:color w:val="auto"/>
          <w:sz w:val="24"/>
          <w:highlight w:val="none"/>
        </w:rPr>
        <w:t>和/或</w:t>
      </w:r>
      <w:r>
        <w:rPr>
          <w:rFonts w:hint="eastAsia" w:cs="Times New Roman"/>
          <w:color w:val="auto"/>
          <w:sz w:val="24"/>
          <w:highlight w:val="none"/>
          <w:lang w:val="en-US" w:eastAsia="zh-CN"/>
        </w:rPr>
        <w:t>项目总工</w:t>
      </w:r>
      <w:r>
        <w:rPr>
          <w:rFonts w:hint="default" w:ascii="Times New Roman" w:hAnsi="Times New Roman" w:cs="Times New Roman"/>
          <w:color w:val="auto"/>
          <w:sz w:val="24"/>
          <w:highlight w:val="none"/>
        </w:rPr>
        <w:t>）从上述项目撤离，投入本项目。</w:t>
      </w:r>
    </w:p>
    <w:p w14:paraId="3C927C1D">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如我方违背了上述承诺，招标人有权取消我方的中标资格，并由招标人将我方的违约行为上报省级交通运输主管部门，作为不良记录纳入</w:t>
      </w:r>
      <w:r>
        <w:rPr>
          <w:rFonts w:hint="eastAsia" w:cs="Times New Roman"/>
          <w:color w:val="auto"/>
          <w:sz w:val="24"/>
          <w:highlight w:val="none"/>
          <w:lang w:eastAsia="zh-CN"/>
        </w:rPr>
        <w:t>全国公路建设市场监督管理系统</w:t>
      </w:r>
      <w:r>
        <w:rPr>
          <w:rFonts w:hint="default" w:ascii="Times New Roman" w:hAnsi="Times New Roman" w:cs="Times New Roman"/>
          <w:color w:val="auto"/>
          <w:sz w:val="24"/>
          <w:highlight w:val="none"/>
        </w:rPr>
        <w:t>。</w:t>
      </w:r>
    </w:p>
    <w:p w14:paraId="6BC99235">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p>
    <w:p w14:paraId="49FEEEF4">
      <w:pPr>
        <w:pageBreakBefore w:val="0"/>
        <w:kinsoku/>
        <w:wordWrap w:val="0"/>
        <w:overflowPunct/>
        <w:bidi w:val="0"/>
        <w:spacing w:line="400" w:lineRule="exact"/>
        <w:ind w:firstLine="480" w:firstLineChars="200"/>
        <w:rPr>
          <w:rFonts w:hint="default" w:ascii="Times New Roman" w:hAnsi="Times New Roman" w:cs="Times New Roman"/>
          <w:color w:val="auto"/>
          <w:sz w:val="24"/>
          <w:highlight w:val="none"/>
        </w:rPr>
      </w:pPr>
    </w:p>
    <w:p w14:paraId="4E95E642">
      <w:pPr>
        <w:pageBreakBefore w:val="0"/>
        <w:kinsoku/>
        <w:wordWrap w:val="0"/>
        <w:overflowPunct/>
        <w:bidi w:val="0"/>
        <w:spacing w:line="400" w:lineRule="exact"/>
        <w:ind w:firstLine="2880" w:firstLineChars="1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投标人：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（全称）</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sz w:val="24"/>
          <w:szCs w:val="24"/>
          <w:highlight w:val="none"/>
          <w:u w:val="none"/>
          <w:lang w:val="en-US" w:eastAsia="zh-CN"/>
        </w:rPr>
        <w:t>盖单位电子印章</w:t>
      </w:r>
      <w:r>
        <w:rPr>
          <w:rFonts w:hint="default" w:ascii="Times New Roman" w:hAnsi="Times New Roman" w:cs="Times New Roman"/>
          <w:color w:val="auto"/>
          <w:sz w:val="24"/>
          <w:szCs w:val="24"/>
          <w:highlight w:val="none"/>
          <w:u w:val="none"/>
        </w:rPr>
        <w:t>）</w:t>
      </w:r>
    </w:p>
    <w:p w14:paraId="2F55F3F1">
      <w:pPr>
        <w:pageBreakBefore w:val="0"/>
        <w:kinsoku/>
        <w:wordWrap w:val="0"/>
        <w:overflowPunct/>
        <w:bidi w:val="0"/>
        <w:spacing w:line="400" w:lineRule="exact"/>
        <w:ind w:firstLine="720" w:firstLineChars="3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7119BD2A">
      <w:pPr>
        <w:pageBreakBefore w:val="0"/>
        <w:kinsoku/>
        <w:wordWrap w:val="0"/>
        <w:overflowPunct/>
        <w:bidi w:val="0"/>
        <w:spacing w:line="400" w:lineRule="exact"/>
        <w:ind w:firstLine="3120" w:firstLineChars="1300"/>
        <w:rPr>
          <w:rFonts w:hint="default" w:ascii="Times New Roman" w:hAnsi="Times New Roman" w:cs="Times New Roman"/>
          <w:color w:val="auto"/>
          <w:sz w:val="24"/>
          <w:highlight w:val="none"/>
        </w:rPr>
      </w:pPr>
    </w:p>
    <w:p w14:paraId="3C94B7DB">
      <w:pPr>
        <w:pageBreakBefore w:val="0"/>
        <w:kinsoku/>
        <w:wordWrap w:val="0"/>
        <w:overflowPunct/>
        <w:bidi w:val="0"/>
        <w:spacing w:line="400" w:lineRule="exact"/>
        <w:ind w:firstLine="3840" w:firstLineChars="16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p>
    <w:p w14:paraId="0103E7B8">
      <w:pPr>
        <w:pageBreakBefore w:val="0"/>
        <w:kinsoku/>
        <w:wordWrap w:val="0"/>
        <w:overflowPunct/>
        <w:bidi w:val="0"/>
        <w:spacing w:line="400" w:lineRule="exact"/>
        <w:ind w:firstLine="3840" w:firstLineChars="1600"/>
        <w:rPr>
          <w:rFonts w:hint="default" w:ascii="Times New Roman" w:hAnsi="Times New Roman" w:cs="Times New Roman"/>
          <w:color w:val="auto"/>
          <w:sz w:val="24"/>
          <w:highlight w:val="none"/>
        </w:rPr>
      </w:pPr>
    </w:p>
    <w:p w14:paraId="297A618D">
      <w:pPr>
        <w:pageBreakBefore w:val="0"/>
        <w:kinsoku/>
        <w:wordWrap w:val="0"/>
        <w:overflowPunct/>
        <w:bidi w:val="0"/>
        <w:spacing w:line="360" w:lineRule="exact"/>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注：1、如项目经理和/或项目总工目前仍在其他项目上任职，投标人应提供项目经理和/或项目总工能够从该项目撤离的承诺函。</w:t>
      </w:r>
    </w:p>
    <w:p w14:paraId="24F814E6">
      <w:pPr>
        <w:pageBreakBefore w:val="0"/>
        <w:kinsoku/>
        <w:wordWrap w:val="0"/>
        <w:overflowPunct/>
        <w:bidi w:val="0"/>
        <w:spacing w:line="360" w:lineRule="exact"/>
        <w:ind w:firstLine="840" w:firstLineChars="4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2、投标人所提供的承诺函格式和内容须与招标文件提供的格式和内容一致，不得更改招标文件提供的承诺函格式和内容，否则其投标将被否决。</w:t>
      </w:r>
    </w:p>
    <w:p w14:paraId="78C4858A">
      <w:pPr>
        <w:pageBreakBefore w:val="0"/>
        <w:kinsoku/>
        <w:wordWrap w:val="0"/>
        <w:bidi w:val="0"/>
        <w:spacing w:line="400" w:lineRule="atLeast"/>
        <w:ind w:firstLine="420" w:firstLineChars="200"/>
        <w:rPr>
          <w:rFonts w:hint="default" w:ascii="Times New Roman" w:hAnsi="Times New Roman" w:cs="Times New Roman"/>
          <w:color w:val="auto"/>
          <w:szCs w:val="21"/>
          <w:highlight w:val="none"/>
        </w:rPr>
      </w:pPr>
    </w:p>
    <w:p w14:paraId="2B3A01E5">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1996" w:name="_Toc234833286"/>
      <w:bookmarkStart w:id="1997" w:name="_Toc26510"/>
      <w:bookmarkStart w:id="1998" w:name="_Toc15670"/>
      <w:bookmarkStart w:id="1999" w:name="_Toc30763"/>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七</w:t>
      </w:r>
      <w:r>
        <w:rPr>
          <w:rFonts w:hint="default" w:ascii="Times New Roman" w:hAnsi="Times New Roman" w:eastAsia="黑体" w:cs="Times New Roman"/>
          <w:b w:val="0"/>
          <w:color w:val="auto"/>
          <w:sz w:val="24"/>
          <w:szCs w:val="24"/>
          <w:highlight w:val="none"/>
        </w:rPr>
        <w:t>）拟委任的其他管理和技术人员汇总表</w:t>
      </w:r>
      <w:r>
        <w:rPr>
          <w:rFonts w:hint="default" w:ascii="Times New Roman" w:hAnsi="Times New Roman" w:eastAsia="黑体" w:cs="Times New Roman"/>
          <w:b w:val="0"/>
          <w:color w:val="auto"/>
          <w:sz w:val="24"/>
          <w:szCs w:val="24"/>
          <w:highlight w:val="none"/>
          <w:vertAlign w:val="superscript"/>
        </w:rPr>
        <w:footnoteReference w:id="60"/>
      </w:r>
      <w:bookmarkEnd w:id="1996"/>
      <w:bookmarkEnd w:id="1997"/>
      <w:bookmarkEnd w:id="1998"/>
      <w:bookmarkEnd w:id="1999"/>
    </w:p>
    <w:p w14:paraId="55ED1300">
      <w:pPr>
        <w:pageBreakBefore w:val="0"/>
        <w:kinsoku/>
        <w:wordWrap w:val="0"/>
        <w:bidi w:val="0"/>
        <w:spacing w:line="400" w:lineRule="atLeast"/>
        <w:rPr>
          <w:rFonts w:hint="default" w:ascii="Times New Roman" w:hAnsi="Times New Roman" w:cs="Times New Roman"/>
          <w:color w:val="auto"/>
          <w:sz w:val="24"/>
          <w:highlight w:val="none"/>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0CB8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46A0EF4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926" w:type="dxa"/>
            <w:noWrap w:val="0"/>
            <w:vAlign w:val="center"/>
          </w:tcPr>
          <w:p w14:paraId="45ACA244">
            <w:pPr>
              <w:pStyle w:val="75"/>
              <w:pageBreakBefore w:val="0"/>
              <w:kinsoku/>
              <w:wordWrap w:val="0"/>
              <w:autoSpaceDE/>
              <w:autoSpaceDN/>
              <w:bidi w:val="0"/>
              <w:adjustRightInd/>
              <w:snapToGrid/>
              <w:spacing w:line="400" w:lineRule="atLeast"/>
              <w:textAlignment w:val="auto"/>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年龄</w:t>
            </w:r>
          </w:p>
        </w:tc>
        <w:tc>
          <w:tcPr>
            <w:tcW w:w="2682" w:type="dxa"/>
            <w:noWrap w:val="0"/>
            <w:vAlign w:val="center"/>
          </w:tcPr>
          <w:p w14:paraId="76973EE8">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拟在本标段工程任职</w:t>
            </w:r>
          </w:p>
        </w:tc>
        <w:tc>
          <w:tcPr>
            <w:tcW w:w="1101" w:type="dxa"/>
            <w:noWrap w:val="0"/>
            <w:vAlign w:val="center"/>
          </w:tcPr>
          <w:p w14:paraId="6185B6A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307" w:type="dxa"/>
            <w:noWrap w:val="0"/>
            <w:vAlign w:val="center"/>
          </w:tcPr>
          <w:p w14:paraId="616E1FB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1942" w:type="dxa"/>
            <w:noWrap w:val="0"/>
            <w:vAlign w:val="center"/>
          </w:tcPr>
          <w:p w14:paraId="4B3FF7AE">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r>
      <w:tr w14:paraId="1469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79A52437">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736E2C3A">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CF781CC">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9D62083">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8A7781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F2081AA">
            <w:pPr>
              <w:pageBreakBefore w:val="0"/>
              <w:kinsoku/>
              <w:wordWrap w:val="0"/>
              <w:bidi w:val="0"/>
              <w:spacing w:line="400" w:lineRule="atLeast"/>
              <w:jc w:val="center"/>
              <w:rPr>
                <w:rFonts w:hint="default" w:ascii="Times New Roman" w:hAnsi="Times New Roman" w:cs="Times New Roman"/>
                <w:color w:val="auto"/>
                <w:highlight w:val="none"/>
              </w:rPr>
            </w:pPr>
          </w:p>
        </w:tc>
      </w:tr>
      <w:tr w14:paraId="129D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31AFCCA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4921EAA1">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3F1104E0">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E849BE5">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FCE431A">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3011F10">
            <w:pPr>
              <w:pageBreakBefore w:val="0"/>
              <w:kinsoku/>
              <w:wordWrap w:val="0"/>
              <w:bidi w:val="0"/>
              <w:spacing w:line="400" w:lineRule="atLeast"/>
              <w:jc w:val="center"/>
              <w:rPr>
                <w:rFonts w:hint="default" w:ascii="Times New Roman" w:hAnsi="Times New Roman" w:cs="Times New Roman"/>
                <w:color w:val="auto"/>
                <w:highlight w:val="none"/>
              </w:rPr>
            </w:pPr>
          </w:p>
        </w:tc>
      </w:tr>
      <w:tr w14:paraId="0481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7F558560">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4E587B8">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BEA3A9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0F51B9A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3DB19D6">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C1FF758">
            <w:pPr>
              <w:pageBreakBefore w:val="0"/>
              <w:kinsoku/>
              <w:wordWrap w:val="0"/>
              <w:bidi w:val="0"/>
              <w:spacing w:line="400" w:lineRule="atLeast"/>
              <w:jc w:val="center"/>
              <w:rPr>
                <w:rFonts w:hint="default" w:ascii="Times New Roman" w:hAnsi="Times New Roman" w:cs="Times New Roman"/>
                <w:color w:val="auto"/>
                <w:highlight w:val="none"/>
              </w:rPr>
            </w:pPr>
          </w:p>
        </w:tc>
      </w:tr>
      <w:tr w14:paraId="0215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425706F">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CD362DF">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8EF59CE">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30CAF5D0">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1171B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74EC3426">
            <w:pPr>
              <w:pageBreakBefore w:val="0"/>
              <w:kinsoku/>
              <w:wordWrap w:val="0"/>
              <w:bidi w:val="0"/>
              <w:spacing w:line="400" w:lineRule="atLeast"/>
              <w:jc w:val="center"/>
              <w:rPr>
                <w:rFonts w:hint="default" w:ascii="Times New Roman" w:hAnsi="Times New Roman" w:cs="Times New Roman"/>
                <w:color w:val="auto"/>
                <w:highlight w:val="none"/>
              </w:rPr>
            </w:pPr>
          </w:p>
        </w:tc>
      </w:tr>
      <w:tr w14:paraId="0A74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23DC30E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68FF0D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15602679">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DFC1CB6">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8C00A6C">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8D4AAE0">
            <w:pPr>
              <w:pageBreakBefore w:val="0"/>
              <w:kinsoku/>
              <w:wordWrap w:val="0"/>
              <w:bidi w:val="0"/>
              <w:spacing w:line="400" w:lineRule="atLeast"/>
              <w:jc w:val="center"/>
              <w:rPr>
                <w:rFonts w:hint="default" w:ascii="Times New Roman" w:hAnsi="Times New Roman" w:cs="Times New Roman"/>
                <w:color w:val="auto"/>
                <w:highlight w:val="none"/>
              </w:rPr>
            </w:pPr>
          </w:p>
        </w:tc>
      </w:tr>
      <w:tr w14:paraId="4A35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7F53121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B7A1AE9">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23D0A318">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15674C7">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677D0E70">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E413DD5">
            <w:pPr>
              <w:pageBreakBefore w:val="0"/>
              <w:kinsoku/>
              <w:wordWrap w:val="0"/>
              <w:bidi w:val="0"/>
              <w:spacing w:line="400" w:lineRule="atLeast"/>
              <w:jc w:val="center"/>
              <w:rPr>
                <w:rFonts w:hint="default" w:ascii="Times New Roman" w:hAnsi="Times New Roman" w:cs="Times New Roman"/>
                <w:color w:val="auto"/>
                <w:highlight w:val="none"/>
              </w:rPr>
            </w:pPr>
          </w:p>
        </w:tc>
      </w:tr>
      <w:tr w14:paraId="393B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1B6676E3">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0DAA939">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428BFBAA">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E803EEC">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11CDB528">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D85C34E">
            <w:pPr>
              <w:pageBreakBefore w:val="0"/>
              <w:kinsoku/>
              <w:wordWrap w:val="0"/>
              <w:bidi w:val="0"/>
              <w:spacing w:line="400" w:lineRule="atLeast"/>
              <w:jc w:val="center"/>
              <w:rPr>
                <w:rFonts w:hint="default" w:ascii="Times New Roman" w:hAnsi="Times New Roman" w:cs="Times New Roman"/>
                <w:color w:val="auto"/>
                <w:highlight w:val="none"/>
              </w:rPr>
            </w:pPr>
          </w:p>
        </w:tc>
      </w:tr>
      <w:tr w14:paraId="7325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7D32E44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2A355724">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0EC01A6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AE05605">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4995E385">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5D8DB342">
            <w:pPr>
              <w:pageBreakBefore w:val="0"/>
              <w:kinsoku/>
              <w:wordWrap w:val="0"/>
              <w:bidi w:val="0"/>
              <w:spacing w:line="400" w:lineRule="atLeast"/>
              <w:jc w:val="center"/>
              <w:rPr>
                <w:rFonts w:hint="default" w:ascii="Times New Roman" w:hAnsi="Times New Roman" w:cs="Times New Roman"/>
                <w:color w:val="auto"/>
                <w:highlight w:val="none"/>
              </w:rPr>
            </w:pPr>
          </w:p>
        </w:tc>
      </w:tr>
      <w:tr w14:paraId="510C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6669087B">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4E52F2E">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F07176F">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1458469">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731228B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2663DC1B">
            <w:pPr>
              <w:pageBreakBefore w:val="0"/>
              <w:kinsoku/>
              <w:wordWrap w:val="0"/>
              <w:bidi w:val="0"/>
              <w:spacing w:line="400" w:lineRule="atLeast"/>
              <w:jc w:val="center"/>
              <w:rPr>
                <w:rFonts w:hint="default" w:ascii="Times New Roman" w:hAnsi="Times New Roman" w:cs="Times New Roman"/>
                <w:color w:val="auto"/>
                <w:highlight w:val="none"/>
              </w:rPr>
            </w:pPr>
          </w:p>
        </w:tc>
      </w:tr>
      <w:tr w14:paraId="2096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3E0B63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50F8D28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DDCC473">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1D36A35E">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7A6E5F1">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8E7EFD2">
            <w:pPr>
              <w:pageBreakBefore w:val="0"/>
              <w:kinsoku/>
              <w:wordWrap w:val="0"/>
              <w:bidi w:val="0"/>
              <w:spacing w:line="400" w:lineRule="atLeast"/>
              <w:jc w:val="center"/>
              <w:rPr>
                <w:rFonts w:hint="default" w:ascii="Times New Roman" w:hAnsi="Times New Roman" w:cs="Times New Roman"/>
                <w:color w:val="auto"/>
                <w:highlight w:val="none"/>
              </w:rPr>
            </w:pPr>
          </w:p>
        </w:tc>
      </w:tr>
      <w:tr w14:paraId="5DC3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BBF965">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A44B0EC">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1F6EE2E">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59B5D722">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00F21184">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0A382F47">
            <w:pPr>
              <w:pageBreakBefore w:val="0"/>
              <w:kinsoku/>
              <w:wordWrap w:val="0"/>
              <w:bidi w:val="0"/>
              <w:spacing w:line="400" w:lineRule="atLeast"/>
              <w:jc w:val="center"/>
              <w:rPr>
                <w:rFonts w:hint="default" w:ascii="Times New Roman" w:hAnsi="Times New Roman" w:cs="Times New Roman"/>
                <w:color w:val="auto"/>
                <w:highlight w:val="none"/>
              </w:rPr>
            </w:pPr>
          </w:p>
        </w:tc>
      </w:tr>
      <w:tr w14:paraId="33F8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0F1E522C">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3AB29D95">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73844086">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61C52C64">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3885077A">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1261A027">
            <w:pPr>
              <w:pageBreakBefore w:val="0"/>
              <w:kinsoku/>
              <w:wordWrap w:val="0"/>
              <w:bidi w:val="0"/>
              <w:spacing w:line="400" w:lineRule="atLeast"/>
              <w:jc w:val="center"/>
              <w:rPr>
                <w:rFonts w:hint="default" w:ascii="Times New Roman" w:hAnsi="Times New Roman" w:cs="Times New Roman"/>
                <w:color w:val="auto"/>
                <w:highlight w:val="none"/>
              </w:rPr>
            </w:pPr>
          </w:p>
        </w:tc>
      </w:tr>
      <w:tr w14:paraId="68EB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1649A">
            <w:pPr>
              <w:pageBreakBefore w:val="0"/>
              <w:kinsoku/>
              <w:wordWrap w:val="0"/>
              <w:bidi w:val="0"/>
              <w:spacing w:line="400" w:lineRule="atLeast"/>
              <w:jc w:val="center"/>
              <w:rPr>
                <w:rFonts w:hint="default" w:ascii="Times New Roman" w:hAnsi="Times New Roman" w:cs="Times New Roman"/>
                <w:color w:val="auto"/>
                <w:highlight w:val="none"/>
              </w:rPr>
            </w:pPr>
          </w:p>
        </w:tc>
        <w:tc>
          <w:tcPr>
            <w:tcW w:w="926" w:type="dxa"/>
            <w:noWrap w:val="0"/>
            <w:vAlign w:val="center"/>
          </w:tcPr>
          <w:p w14:paraId="66B32BBD">
            <w:pPr>
              <w:pageBreakBefore w:val="0"/>
              <w:kinsoku/>
              <w:wordWrap w:val="0"/>
              <w:bidi w:val="0"/>
              <w:spacing w:line="400" w:lineRule="atLeast"/>
              <w:jc w:val="center"/>
              <w:rPr>
                <w:rFonts w:hint="default" w:ascii="Times New Roman" w:hAnsi="Times New Roman" w:cs="Times New Roman"/>
                <w:color w:val="auto"/>
                <w:highlight w:val="none"/>
              </w:rPr>
            </w:pPr>
          </w:p>
        </w:tc>
        <w:tc>
          <w:tcPr>
            <w:tcW w:w="2682" w:type="dxa"/>
            <w:noWrap w:val="0"/>
            <w:vAlign w:val="center"/>
          </w:tcPr>
          <w:p w14:paraId="5591F8C5">
            <w:pPr>
              <w:pageBreakBefore w:val="0"/>
              <w:kinsoku/>
              <w:wordWrap w:val="0"/>
              <w:bidi w:val="0"/>
              <w:spacing w:line="400" w:lineRule="atLeast"/>
              <w:jc w:val="center"/>
              <w:rPr>
                <w:rFonts w:hint="default" w:ascii="Times New Roman" w:hAnsi="Times New Roman" w:cs="Times New Roman"/>
                <w:color w:val="auto"/>
                <w:highlight w:val="none"/>
              </w:rPr>
            </w:pPr>
          </w:p>
        </w:tc>
        <w:tc>
          <w:tcPr>
            <w:tcW w:w="1101" w:type="dxa"/>
            <w:noWrap w:val="0"/>
            <w:vAlign w:val="center"/>
          </w:tcPr>
          <w:p w14:paraId="4D02F701">
            <w:pPr>
              <w:pageBreakBefore w:val="0"/>
              <w:kinsoku/>
              <w:wordWrap w:val="0"/>
              <w:bidi w:val="0"/>
              <w:spacing w:line="400" w:lineRule="atLeast"/>
              <w:jc w:val="center"/>
              <w:rPr>
                <w:rFonts w:hint="default" w:ascii="Times New Roman" w:hAnsi="Times New Roman" w:cs="Times New Roman"/>
                <w:color w:val="auto"/>
                <w:highlight w:val="none"/>
              </w:rPr>
            </w:pPr>
          </w:p>
        </w:tc>
        <w:tc>
          <w:tcPr>
            <w:tcW w:w="1307" w:type="dxa"/>
            <w:noWrap w:val="0"/>
            <w:vAlign w:val="center"/>
          </w:tcPr>
          <w:p w14:paraId="5F5E5FBB">
            <w:pPr>
              <w:pageBreakBefore w:val="0"/>
              <w:kinsoku/>
              <w:wordWrap w:val="0"/>
              <w:bidi w:val="0"/>
              <w:spacing w:line="400" w:lineRule="atLeast"/>
              <w:jc w:val="center"/>
              <w:rPr>
                <w:rFonts w:hint="default" w:ascii="Times New Roman" w:hAnsi="Times New Roman" w:cs="Times New Roman"/>
                <w:color w:val="auto"/>
                <w:highlight w:val="none"/>
              </w:rPr>
            </w:pPr>
          </w:p>
        </w:tc>
        <w:tc>
          <w:tcPr>
            <w:tcW w:w="1942" w:type="dxa"/>
            <w:noWrap w:val="0"/>
            <w:vAlign w:val="center"/>
          </w:tcPr>
          <w:p w14:paraId="407EB6CC">
            <w:pPr>
              <w:pageBreakBefore w:val="0"/>
              <w:kinsoku/>
              <w:wordWrap w:val="0"/>
              <w:bidi w:val="0"/>
              <w:spacing w:line="400" w:lineRule="atLeast"/>
              <w:jc w:val="center"/>
              <w:rPr>
                <w:rFonts w:hint="default" w:ascii="Times New Roman" w:hAnsi="Times New Roman" w:cs="Times New Roman"/>
                <w:color w:val="auto"/>
                <w:highlight w:val="none"/>
              </w:rPr>
            </w:pPr>
          </w:p>
        </w:tc>
      </w:tr>
    </w:tbl>
    <w:p w14:paraId="751BBFB8">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注：本表填报的人员应满足招标文件第二章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前附表附录6的要求。</w:t>
      </w:r>
    </w:p>
    <w:p w14:paraId="4F814862">
      <w:pPr>
        <w:pageBreakBefore w:val="0"/>
        <w:kinsoku/>
        <w:wordWrap w:val="0"/>
        <w:bidi w:val="0"/>
        <w:spacing w:line="400" w:lineRule="atLeast"/>
        <w:jc w:val="center"/>
        <w:rPr>
          <w:rFonts w:hint="default" w:ascii="Times New Roman" w:hAnsi="Times New Roman" w:eastAsia="黑体" w:cs="Times New Roman"/>
          <w:color w:val="auto"/>
          <w:sz w:val="28"/>
          <w:highlight w:val="none"/>
        </w:rPr>
      </w:pPr>
      <w:r>
        <w:rPr>
          <w:rFonts w:hint="default" w:ascii="Times New Roman" w:hAnsi="Times New Roman" w:eastAsia="黑体" w:cs="Times New Roman"/>
          <w:color w:val="auto"/>
          <w:sz w:val="28"/>
          <w:highlight w:val="none"/>
        </w:rPr>
        <w:br w:type="page"/>
      </w:r>
    </w:p>
    <w:p w14:paraId="79EC4D9C">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2000" w:name="_Toc26724"/>
      <w:bookmarkStart w:id="2001" w:name="_Toc4744"/>
      <w:bookmarkStart w:id="2002" w:name="_Toc31833"/>
      <w:bookmarkStart w:id="2003" w:name="_Toc234833287"/>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八</w:t>
      </w:r>
      <w:r>
        <w:rPr>
          <w:rFonts w:hint="default" w:ascii="Times New Roman" w:hAnsi="Times New Roman" w:eastAsia="黑体" w:cs="Times New Roman"/>
          <w:b w:val="0"/>
          <w:color w:val="auto"/>
          <w:sz w:val="24"/>
          <w:szCs w:val="24"/>
          <w:highlight w:val="none"/>
        </w:rPr>
        <w:t>）拟委任的其他管理和技术人员资历表</w:t>
      </w:r>
      <w:r>
        <w:rPr>
          <w:rFonts w:hint="default" w:ascii="Times New Roman" w:hAnsi="Times New Roman" w:eastAsia="黑体" w:cs="Times New Roman"/>
          <w:b w:val="0"/>
          <w:color w:val="auto"/>
          <w:sz w:val="24"/>
          <w:szCs w:val="24"/>
          <w:highlight w:val="none"/>
          <w:vertAlign w:val="superscript"/>
        </w:rPr>
        <w:footnoteReference w:id="61"/>
      </w:r>
      <w:bookmarkEnd w:id="2000"/>
      <w:bookmarkEnd w:id="2001"/>
      <w:bookmarkEnd w:id="2002"/>
      <w:bookmarkEnd w:id="2003"/>
    </w:p>
    <w:p w14:paraId="6ACA3E38">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highlight w:val="none"/>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C0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5DDAAC9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6D1DAE9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09D296A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85A854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21F5AF0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10F50C0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658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782221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53D627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81B91D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5A5B8F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2446880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拟在本标段</w:t>
            </w:r>
          </w:p>
          <w:p w14:paraId="5BCF5EC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5C68AB5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50B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7033C1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w:t>
            </w:r>
          </w:p>
        </w:tc>
        <w:tc>
          <w:tcPr>
            <w:tcW w:w="3947" w:type="dxa"/>
            <w:gridSpan w:val="5"/>
            <w:noWrap w:val="0"/>
            <w:vAlign w:val="center"/>
          </w:tcPr>
          <w:p w14:paraId="72E1DBA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881" w:type="dxa"/>
            <w:gridSpan w:val="2"/>
            <w:noWrap w:val="0"/>
            <w:vAlign w:val="center"/>
          </w:tcPr>
          <w:p w14:paraId="5C06C81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类似施工经验年限</w:t>
            </w:r>
          </w:p>
        </w:tc>
        <w:tc>
          <w:tcPr>
            <w:tcW w:w="1669" w:type="dxa"/>
            <w:gridSpan w:val="2"/>
            <w:noWrap w:val="0"/>
            <w:vAlign w:val="top"/>
          </w:tcPr>
          <w:p w14:paraId="3C5BC67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6C60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62C74D4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毕业学校</w:t>
            </w:r>
          </w:p>
        </w:tc>
        <w:tc>
          <w:tcPr>
            <w:tcW w:w="7497" w:type="dxa"/>
            <w:gridSpan w:val="9"/>
            <w:noWrap w:val="0"/>
            <w:vAlign w:val="center"/>
          </w:tcPr>
          <w:p w14:paraId="77F9C979">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______年___月毕业于___________________学校___________专业，学制______年</w:t>
            </w:r>
          </w:p>
        </w:tc>
      </w:tr>
      <w:tr w14:paraId="62D3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0955222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         历</w:t>
            </w:r>
          </w:p>
        </w:tc>
      </w:tr>
      <w:tr w14:paraId="1DCD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EE63B9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时  间</w:t>
            </w:r>
          </w:p>
        </w:tc>
        <w:tc>
          <w:tcPr>
            <w:tcW w:w="4233" w:type="dxa"/>
            <w:gridSpan w:val="5"/>
            <w:noWrap w:val="0"/>
            <w:vAlign w:val="center"/>
          </w:tcPr>
          <w:p w14:paraId="1B819DB8">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参加过的类似工程项目名称</w:t>
            </w:r>
          </w:p>
        </w:tc>
        <w:tc>
          <w:tcPr>
            <w:tcW w:w="1930" w:type="dxa"/>
            <w:gridSpan w:val="2"/>
            <w:noWrap w:val="0"/>
            <w:vAlign w:val="center"/>
          </w:tcPr>
          <w:p w14:paraId="4916F445">
            <w:pPr>
              <w:pStyle w:val="75"/>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color w:val="auto"/>
                <w:spacing w:val="0"/>
                <w:kern w:val="2"/>
                <w:szCs w:val="21"/>
                <w:highlight w:val="none"/>
              </w:rPr>
            </w:pPr>
            <w:r>
              <w:rPr>
                <w:rFonts w:hint="default" w:ascii="Times New Roman" w:hAnsi="Times New Roman" w:cs="Times New Roman"/>
                <w:color w:val="auto"/>
                <w:spacing w:val="0"/>
                <w:kern w:val="2"/>
                <w:szCs w:val="21"/>
                <w:highlight w:val="none"/>
              </w:rPr>
              <w:t>担任职务</w:t>
            </w:r>
          </w:p>
        </w:tc>
        <w:tc>
          <w:tcPr>
            <w:tcW w:w="1283" w:type="dxa"/>
            <w:noWrap w:val="0"/>
            <w:vAlign w:val="center"/>
          </w:tcPr>
          <w:p w14:paraId="2CE0DEC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发包人及联系电话</w:t>
            </w:r>
          </w:p>
        </w:tc>
      </w:tr>
      <w:tr w14:paraId="170B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FCE9F6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429D918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BE5B38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063D32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3F0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98D17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75AD3EE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07312AF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FDC526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8E8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E3ABBB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8C149F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1D07EC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00E0E00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4F8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608A924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06A8BC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7FC456E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604493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0234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0D8F10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6F1BA48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5A31DCB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2F8A039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1597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672C37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276696D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148932C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73DFBA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7F7A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D36F7C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4233" w:type="dxa"/>
            <w:gridSpan w:val="5"/>
            <w:noWrap w:val="0"/>
            <w:vAlign w:val="center"/>
          </w:tcPr>
          <w:p w14:paraId="16DE4B7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p>
        </w:tc>
        <w:tc>
          <w:tcPr>
            <w:tcW w:w="1930" w:type="dxa"/>
            <w:gridSpan w:val="2"/>
            <w:noWrap w:val="0"/>
            <w:vAlign w:val="top"/>
          </w:tcPr>
          <w:p w14:paraId="4837868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c>
          <w:tcPr>
            <w:tcW w:w="1283" w:type="dxa"/>
            <w:noWrap w:val="0"/>
            <w:vAlign w:val="top"/>
          </w:tcPr>
          <w:p w14:paraId="5EF977D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5D1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5C417B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获奖情况</w:t>
            </w:r>
          </w:p>
        </w:tc>
        <w:tc>
          <w:tcPr>
            <w:tcW w:w="6094" w:type="dxa"/>
            <w:gridSpan w:val="7"/>
            <w:noWrap w:val="0"/>
            <w:vAlign w:val="top"/>
          </w:tcPr>
          <w:p w14:paraId="0D61C2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color w:val="auto"/>
                <w:szCs w:val="21"/>
                <w:highlight w:val="none"/>
              </w:rPr>
            </w:pPr>
          </w:p>
        </w:tc>
      </w:tr>
      <w:tr w14:paraId="2F29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16CC97CC">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说明在岗情况</w:t>
            </w:r>
          </w:p>
        </w:tc>
        <w:tc>
          <w:tcPr>
            <w:tcW w:w="6094" w:type="dxa"/>
            <w:gridSpan w:val="7"/>
            <w:noWrap w:val="0"/>
            <w:vAlign w:val="top"/>
          </w:tcPr>
          <w:p w14:paraId="038F093D">
            <w:pPr>
              <w:pStyle w:val="15"/>
              <w:pageBreakBefore w:val="0"/>
              <w:kinsoku/>
              <w:wordWrap w:val="0"/>
              <w:topLinePunct/>
              <w:bidi w:val="0"/>
              <w:spacing w:line="36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□目前未在其他项目上任职，现从事工作为：</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w:t>
            </w:r>
          </w:p>
          <w:p w14:paraId="71D0D5D2">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□目前虽</w:t>
            </w:r>
            <w:r>
              <w:rPr>
                <w:rFonts w:hint="default" w:ascii="Times New Roman" w:hAnsi="Times New Roman" w:cs="Times New Roman"/>
                <w:color w:val="auto"/>
                <w:highlight w:val="none"/>
              </w:rPr>
              <w:t>在其他项目</w:t>
            </w:r>
            <w:r>
              <w:rPr>
                <w:rFonts w:hint="default" w:ascii="Times New Roman" w:hAnsi="Times New Roman" w:cs="Times New Roman"/>
                <w:color w:val="auto"/>
                <w:szCs w:val="21"/>
                <w:highlight w:val="none"/>
              </w:rPr>
              <w:t>上</w:t>
            </w:r>
            <w:r>
              <w:rPr>
                <w:rFonts w:hint="default" w:ascii="Times New Roman" w:hAnsi="Times New Roman" w:cs="Times New Roman"/>
                <w:color w:val="auto"/>
                <w:highlight w:val="none"/>
              </w:rPr>
              <w:t>任职，但本项目中标后能够从该项目撤离，目前任职项目：</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，担任职位：</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highlight w:val="none"/>
              </w:rPr>
              <w:t>。</w:t>
            </w:r>
          </w:p>
        </w:tc>
      </w:tr>
      <w:tr w14:paraId="3156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3CE66E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c>
          <w:tcPr>
            <w:tcW w:w="6094" w:type="dxa"/>
            <w:gridSpan w:val="7"/>
            <w:noWrap w:val="0"/>
            <w:vAlign w:val="top"/>
          </w:tcPr>
          <w:p w14:paraId="1B53C811">
            <w:pPr>
              <w:pageBreakBefore w:val="0"/>
              <w:widowControl/>
              <w:kinsoku/>
              <w:wordWrap w:val="0"/>
              <w:autoSpaceDE w:val="0"/>
              <w:autoSpaceDN w:val="0"/>
              <w:bidi w:val="0"/>
              <w:spacing w:line="400" w:lineRule="atLeast"/>
              <w:textAlignment w:val="bottom"/>
              <w:rPr>
                <w:rFonts w:hint="default" w:ascii="Times New Roman" w:hAnsi="Times New Roman" w:cs="Times New Roman"/>
                <w:color w:val="auto"/>
                <w:szCs w:val="21"/>
                <w:highlight w:val="none"/>
              </w:rPr>
            </w:pPr>
          </w:p>
        </w:tc>
      </w:tr>
    </w:tbl>
    <w:p w14:paraId="1AEFE075">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注：1.本表人员应与表（七）中所列人员相一致。</w:t>
      </w:r>
    </w:p>
    <w:p w14:paraId="3FBE663A">
      <w:pPr>
        <w:pStyle w:val="17"/>
        <w:pageBreakBefore w:val="0"/>
        <w:kinsoku/>
        <w:wordWrap w:val="0"/>
        <w:bidi w:val="0"/>
        <w:spacing w:after="0" w:line="400" w:lineRule="atLeast"/>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r>
        <w:rPr>
          <w:rFonts w:hint="default" w:ascii="Times New Roman" w:hAnsi="Times New Roman" w:cs="Times New Roman"/>
          <w:color w:val="auto"/>
          <w:highlight w:val="none"/>
        </w:rPr>
        <w:t>投标人应根据招标文件第二章</w:t>
      </w:r>
      <w:r>
        <w:rPr>
          <w:rFonts w:hint="eastAsia" w:ascii="宋体" w:hAnsi="宋体" w:eastAsia="宋体" w:cs="宋体"/>
          <w:color w:val="auto"/>
          <w:highlight w:val="none"/>
        </w:rPr>
        <w:t>“</w:t>
      </w:r>
      <w:r>
        <w:rPr>
          <w:rFonts w:hint="default" w:ascii="Times New Roman" w:hAnsi="Times New Roman" w:cs="Times New Roman"/>
          <w:color w:val="auto"/>
          <w:highlight w:val="none"/>
        </w:rPr>
        <w:t>投标人须知</w:t>
      </w:r>
      <w:r>
        <w:rPr>
          <w:rFonts w:hint="eastAsia" w:ascii="宋体" w:hAnsi="宋体" w:eastAsia="宋体" w:cs="宋体"/>
          <w:color w:val="auto"/>
          <w:highlight w:val="none"/>
        </w:rPr>
        <w:t>”</w:t>
      </w:r>
      <w:r>
        <w:rPr>
          <w:rFonts w:hint="default" w:ascii="Times New Roman" w:hAnsi="Times New Roman" w:cs="Times New Roman"/>
          <w:color w:val="auto"/>
          <w:highlight w:val="none"/>
        </w:rPr>
        <w:t>第3.5.6项的要求在本表后附相关证明材料。</w:t>
      </w:r>
    </w:p>
    <w:p w14:paraId="4BBE8E6B">
      <w:pPr>
        <w:pStyle w:val="2"/>
        <w:pageBreakBefore w:val="0"/>
        <w:kinsoku/>
        <w:wordWrap w:val="0"/>
        <w:bidi w:val="0"/>
        <w:spacing w:before="0" w:after="0" w:line="400" w:lineRule="atLeast"/>
        <w:jc w:val="center"/>
        <w:outlineLvl w:val="2"/>
        <w:rPr>
          <w:rFonts w:hint="default" w:ascii="Times New Roman" w:hAnsi="Times New Roman" w:eastAsia="黑体" w:cs="Times New Roman"/>
          <w:b w:val="0"/>
          <w:color w:val="auto"/>
          <w:sz w:val="24"/>
          <w:szCs w:val="24"/>
          <w:highlight w:val="none"/>
        </w:rPr>
      </w:pPr>
      <w:r>
        <w:rPr>
          <w:rFonts w:hint="default" w:ascii="Times New Roman" w:hAnsi="Times New Roman" w:eastAsia="黑体" w:cs="Times New Roman"/>
          <w:color w:val="auto"/>
          <w:sz w:val="24"/>
          <w:highlight w:val="none"/>
        </w:rPr>
        <w:br w:type="page"/>
      </w:r>
      <w:bookmarkStart w:id="2004" w:name="_Toc26111"/>
      <w:bookmarkStart w:id="2005" w:name="_Toc21686"/>
      <w:bookmarkStart w:id="2006" w:name="_Toc234833288"/>
      <w:bookmarkStart w:id="2007" w:name="_Toc5789"/>
      <w:r>
        <w:rPr>
          <w:rFonts w:hint="default" w:ascii="Times New Roman" w:hAnsi="Times New Roman" w:eastAsia="黑体" w:cs="Times New Roman"/>
          <w:b w:val="0"/>
          <w:color w:val="auto"/>
          <w:sz w:val="24"/>
          <w:szCs w:val="24"/>
          <w:highlight w:val="none"/>
        </w:rPr>
        <w:t>（</w:t>
      </w:r>
      <w:r>
        <w:rPr>
          <w:rFonts w:hint="default" w:ascii="Times New Roman" w:hAnsi="Times New Roman" w:eastAsia="黑体" w:cs="Times New Roman"/>
          <w:b w:val="0"/>
          <w:color w:val="auto"/>
          <w:sz w:val="24"/>
          <w:szCs w:val="24"/>
          <w:highlight w:val="none"/>
          <w:lang w:eastAsia="zh-CN"/>
        </w:rPr>
        <w:t>九</w:t>
      </w:r>
      <w:r>
        <w:rPr>
          <w:rFonts w:hint="default" w:ascii="Times New Roman" w:hAnsi="Times New Roman" w:eastAsia="黑体" w:cs="Times New Roman"/>
          <w:b w:val="0"/>
          <w:color w:val="auto"/>
          <w:sz w:val="24"/>
          <w:szCs w:val="24"/>
          <w:highlight w:val="none"/>
        </w:rPr>
        <w:t>） 拟投入本标段的主要施工机械表</w:t>
      </w:r>
      <w:r>
        <w:rPr>
          <w:rFonts w:hint="default" w:ascii="Times New Roman" w:hAnsi="Times New Roman" w:eastAsia="黑体" w:cs="Times New Roman"/>
          <w:b w:val="0"/>
          <w:color w:val="auto"/>
          <w:sz w:val="24"/>
          <w:szCs w:val="24"/>
          <w:highlight w:val="none"/>
          <w:vertAlign w:val="superscript"/>
        </w:rPr>
        <w:footnoteReference w:id="62"/>
      </w:r>
      <w:bookmarkEnd w:id="2004"/>
      <w:bookmarkEnd w:id="2005"/>
      <w:bookmarkEnd w:id="2006"/>
      <w:bookmarkEnd w:id="2007"/>
    </w:p>
    <w:p w14:paraId="04F41334">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color w:val="auto"/>
          <w:sz w:val="23"/>
          <w:szCs w:val="23"/>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5D52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6B42E29D">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085" w:type="dxa"/>
            <w:vMerge w:val="restart"/>
            <w:noWrap w:val="0"/>
            <w:vAlign w:val="center"/>
          </w:tcPr>
          <w:p w14:paraId="5B8CBE8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758" w:type="dxa"/>
            <w:vMerge w:val="restart"/>
            <w:noWrap w:val="0"/>
            <w:vAlign w:val="center"/>
          </w:tcPr>
          <w:p w14:paraId="3C4C8BD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w:t>
            </w:r>
          </w:p>
          <w:p w14:paraId="72F994D6">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规格</w:t>
            </w:r>
          </w:p>
        </w:tc>
        <w:tc>
          <w:tcPr>
            <w:tcW w:w="670" w:type="dxa"/>
            <w:vMerge w:val="restart"/>
            <w:noWrap w:val="0"/>
            <w:vAlign w:val="center"/>
          </w:tcPr>
          <w:p w14:paraId="320D362B">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w:t>
            </w:r>
          </w:p>
          <w:p w14:paraId="78D34584">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产地</w:t>
            </w:r>
          </w:p>
        </w:tc>
        <w:tc>
          <w:tcPr>
            <w:tcW w:w="659" w:type="dxa"/>
            <w:vMerge w:val="restart"/>
            <w:noWrap w:val="0"/>
            <w:vAlign w:val="center"/>
          </w:tcPr>
          <w:p w14:paraId="014394E5">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w:t>
            </w:r>
          </w:p>
          <w:p w14:paraId="5A9545DF">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年份</w:t>
            </w:r>
          </w:p>
        </w:tc>
        <w:tc>
          <w:tcPr>
            <w:tcW w:w="941" w:type="dxa"/>
            <w:vMerge w:val="restart"/>
            <w:noWrap w:val="0"/>
            <w:vAlign w:val="center"/>
          </w:tcPr>
          <w:p w14:paraId="5DAFD08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额定功率（kW）</w:t>
            </w:r>
          </w:p>
        </w:tc>
        <w:tc>
          <w:tcPr>
            <w:tcW w:w="646" w:type="dxa"/>
            <w:vMerge w:val="restart"/>
            <w:noWrap w:val="0"/>
            <w:vAlign w:val="center"/>
          </w:tcPr>
          <w:p w14:paraId="42F24041">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w:t>
            </w:r>
          </w:p>
          <w:p w14:paraId="213E1EEA">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能力</w:t>
            </w:r>
          </w:p>
        </w:tc>
        <w:tc>
          <w:tcPr>
            <w:tcW w:w="2109" w:type="dxa"/>
            <w:gridSpan w:val="4"/>
            <w:noWrap w:val="0"/>
            <w:vAlign w:val="center"/>
          </w:tcPr>
          <w:p w14:paraId="2235936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数量（台）</w:t>
            </w:r>
          </w:p>
        </w:tc>
        <w:tc>
          <w:tcPr>
            <w:tcW w:w="948" w:type="dxa"/>
            <w:vMerge w:val="restart"/>
            <w:noWrap w:val="0"/>
            <w:vAlign w:val="center"/>
          </w:tcPr>
          <w:p w14:paraId="657A97A2">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预计进场时间</w:t>
            </w:r>
          </w:p>
        </w:tc>
      </w:tr>
      <w:tr w14:paraId="792E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5E5175BD">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7742B5D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0EBAA3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2ABD688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3AD1654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0F12D9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4BDB5DB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restart"/>
            <w:noWrap w:val="0"/>
            <w:vAlign w:val="center"/>
          </w:tcPr>
          <w:p w14:paraId="2A97AA73">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小计</w:t>
            </w:r>
          </w:p>
        </w:tc>
        <w:tc>
          <w:tcPr>
            <w:tcW w:w="1679" w:type="dxa"/>
            <w:gridSpan w:val="3"/>
            <w:noWrap w:val="0"/>
            <w:vAlign w:val="center"/>
          </w:tcPr>
          <w:p w14:paraId="01362080">
            <w:pPr>
              <w:pageBreakBefore w:val="0"/>
              <w:kinsoku/>
              <w:wordWrap w:val="0"/>
              <w:bidi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 中</w:t>
            </w:r>
          </w:p>
        </w:tc>
        <w:tc>
          <w:tcPr>
            <w:tcW w:w="948" w:type="dxa"/>
            <w:vMerge w:val="continue"/>
            <w:noWrap w:val="0"/>
            <w:vAlign w:val="center"/>
          </w:tcPr>
          <w:p w14:paraId="2053580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6DC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172A3E29">
            <w:pPr>
              <w:pageBreakBefore w:val="0"/>
              <w:kinsoku/>
              <w:wordWrap w:val="0"/>
              <w:bidi w:val="0"/>
              <w:spacing w:line="400" w:lineRule="atLeast"/>
              <w:rPr>
                <w:rFonts w:hint="default" w:ascii="Times New Roman" w:hAnsi="Times New Roman" w:cs="Times New Roman"/>
                <w:color w:val="auto"/>
                <w:szCs w:val="21"/>
                <w:highlight w:val="none"/>
              </w:rPr>
            </w:pPr>
          </w:p>
        </w:tc>
        <w:tc>
          <w:tcPr>
            <w:tcW w:w="1085" w:type="dxa"/>
            <w:vMerge w:val="continue"/>
            <w:noWrap w:val="0"/>
            <w:vAlign w:val="center"/>
          </w:tcPr>
          <w:p w14:paraId="4A04A9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vMerge w:val="continue"/>
            <w:noWrap w:val="0"/>
            <w:vAlign w:val="center"/>
          </w:tcPr>
          <w:p w14:paraId="0DC66B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vMerge w:val="continue"/>
            <w:noWrap w:val="0"/>
            <w:vAlign w:val="center"/>
          </w:tcPr>
          <w:p w14:paraId="278B91A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vMerge w:val="continue"/>
            <w:noWrap w:val="0"/>
            <w:vAlign w:val="center"/>
          </w:tcPr>
          <w:p w14:paraId="1D2810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vMerge w:val="continue"/>
            <w:noWrap w:val="0"/>
            <w:vAlign w:val="center"/>
          </w:tcPr>
          <w:p w14:paraId="7668AF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vMerge w:val="continue"/>
            <w:noWrap w:val="0"/>
            <w:vAlign w:val="center"/>
          </w:tcPr>
          <w:p w14:paraId="6B3DEF4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vMerge w:val="continue"/>
            <w:noWrap w:val="0"/>
            <w:vAlign w:val="center"/>
          </w:tcPr>
          <w:p w14:paraId="46793E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68F8E87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自有</w:t>
            </w:r>
          </w:p>
        </w:tc>
        <w:tc>
          <w:tcPr>
            <w:tcW w:w="559" w:type="dxa"/>
            <w:noWrap w:val="0"/>
            <w:vAlign w:val="center"/>
          </w:tcPr>
          <w:p w14:paraId="02D5FA8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新购</w:t>
            </w:r>
          </w:p>
        </w:tc>
        <w:tc>
          <w:tcPr>
            <w:tcW w:w="561" w:type="dxa"/>
            <w:noWrap w:val="0"/>
            <w:vAlign w:val="center"/>
          </w:tcPr>
          <w:p w14:paraId="688C3B2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租赁</w:t>
            </w:r>
          </w:p>
        </w:tc>
        <w:tc>
          <w:tcPr>
            <w:tcW w:w="948" w:type="dxa"/>
            <w:vMerge w:val="continue"/>
            <w:noWrap w:val="0"/>
            <w:vAlign w:val="center"/>
          </w:tcPr>
          <w:p w14:paraId="0971F963">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380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2487A4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562E7E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6B7664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6713AD7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1DE38CC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5052FB3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184AFA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75839A4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0E98969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3FE17BF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5BAA8A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3D6965D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14EC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530AB0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center"/>
          </w:tcPr>
          <w:p w14:paraId="26FAC7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center"/>
          </w:tcPr>
          <w:p w14:paraId="04B744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center"/>
          </w:tcPr>
          <w:p w14:paraId="5B2406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center"/>
          </w:tcPr>
          <w:p w14:paraId="2BEA06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center"/>
          </w:tcPr>
          <w:p w14:paraId="0B85A2B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center"/>
          </w:tcPr>
          <w:p w14:paraId="62084B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center"/>
          </w:tcPr>
          <w:p w14:paraId="3C8B0B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center"/>
          </w:tcPr>
          <w:p w14:paraId="18A0F24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center"/>
          </w:tcPr>
          <w:p w14:paraId="00B7C5C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center"/>
          </w:tcPr>
          <w:p w14:paraId="6C06CC5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center"/>
          </w:tcPr>
          <w:p w14:paraId="77D6F1BE">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42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C57198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8FE8A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AA59D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F6A39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FEEA1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D2711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EB29A2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D94D1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5F7C279">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2367D1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D19932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3BB337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3A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F07EC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C9615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F2EC28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2A3509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B85583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304278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3C86C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B9CB30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647E4C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6DCC3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12DA9D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EA5F65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11A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E3265A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65B0E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A5509C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B8BB0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F9C58F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AAD0B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B32CC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3A96A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4BEB3C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B9C0FF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3A552F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528F93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6DE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7343B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848238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9FDFD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EFA36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F4315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AFB39B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D34FE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CD67C5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9E6F7B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C8F2A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73010A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FC6163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24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691EE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27AEDC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DDDD00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39E7AF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C0042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A8EF2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D0D2A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17A35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EDD632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5A83924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FFD0F2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4A0D992">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C06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91D3F3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02561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0D5D82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332F9C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FCD349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042E40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DC1E1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15D8E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5AFC2F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3AF7C6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A5255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87C08F4">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7643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08B89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0866E0B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2F2B47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BB354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0E31F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728C676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0512FF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DE8C77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268FECB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C0304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7CF66C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1EA1DF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124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CB62CE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7EB392A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9B9454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545EB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88494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30A84C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769266D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0EAFC5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B49BCA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B4AD19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D02626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72631DB">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051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F9779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626DB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51FB29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41B256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2C7BD53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32F5A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5C4BD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101839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924699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DEA794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E77DD8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99A573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B61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9806CB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7399D8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23552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061451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130C8D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4EB31A1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30D53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63C4DD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E28D0A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73D40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AD62B1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036D4F8">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4E6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931F0D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4A08A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3601C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CD5A89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38A18B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0587AA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19C71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7509463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7000EF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435C0E66">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5FC55CE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DF9CC09">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C14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D22A3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3C077D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728A6F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417C6E5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3FC5F5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594C3F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6CFB6C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092E62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4BCC5D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78FE0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8A4A23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EEFB8E0">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4A5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853A22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21DE6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91BB79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1A5819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1FBA418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2FA0FD1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421825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3A85CC8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079BD8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BDAEE8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639D483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E8E055A">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8BD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2D54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9026F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4CD127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C37E65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317F5C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40220E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0C10E86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DE62B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3196960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549613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3A72A9B">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420B577">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730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D3866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2F691DE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367758C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D3590F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7EB2FC6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B006A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CE952E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4A0A79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4D30D6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1B301133">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38C9B2B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F1DCE3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2510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FFB5A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30119C1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FFE89B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28CCEA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6194B9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3E12D60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31841FB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1582046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4CE5845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25832CBD">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215E0E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7A2532DF">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3733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734E7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24FAB6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4A811A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288A16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1B97B3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00D3383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35F854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C98B4A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CF01C4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E203FA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C78E838">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4A9B35C1">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4990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7522ACC">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B9210F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1275686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1136F5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C9BEE3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220CF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522BC5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D815A7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7B6F936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936BE3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D82AE67">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E89160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53E6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5BF156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6A73A142">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429552C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63C88B9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0495892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7022C0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356AC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4A337B3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E32C874">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02B8862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053D4C4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54CC72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808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243322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57E867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579772F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73D28E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3E5FB5D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6F4395D9">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E2154A0">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2F8A640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49E7FF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FEB9EEC">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78926B6E">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4B0991D">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0C6C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64E81E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4C821AC3">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A606D0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179D88D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5ECF931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BD01D8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116E6D67">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05E9BDD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18468651">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3B772BD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45EDEC2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24B22B6">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FB5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EACA3CD">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1AD59C8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2508A9AF">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0DEF75D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65AD4F7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5482D1CE">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6C518B0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5314B37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5165792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7ACE6112">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1E0CF250">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6BFF28EC">
            <w:pPr>
              <w:pageBreakBefore w:val="0"/>
              <w:kinsoku/>
              <w:wordWrap w:val="0"/>
              <w:bidi w:val="0"/>
              <w:spacing w:line="400" w:lineRule="atLeast"/>
              <w:jc w:val="center"/>
              <w:rPr>
                <w:rFonts w:hint="default" w:ascii="Times New Roman" w:hAnsi="Times New Roman" w:cs="Times New Roman"/>
                <w:color w:val="auto"/>
                <w:szCs w:val="21"/>
                <w:highlight w:val="none"/>
              </w:rPr>
            </w:pPr>
          </w:p>
        </w:tc>
      </w:tr>
      <w:tr w14:paraId="6FC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6F243C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1085" w:type="dxa"/>
            <w:noWrap w:val="0"/>
            <w:vAlign w:val="top"/>
          </w:tcPr>
          <w:p w14:paraId="5D917FCB">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758" w:type="dxa"/>
            <w:noWrap w:val="0"/>
            <w:vAlign w:val="top"/>
          </w:tcPr>
          <w:p w14:paraId="79C04ED6">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70" w:type="dxa"/>
            <w:noWrap w:val="0"/>
            <w:vAlign w:val="top"/>
          </w:tcPr>
          <w:p w14:paraId="59EE0955">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59" w:type="dxa"/>
            <w:noWrap w:val="0"/>
            <w:vAlign w:val="top"/>
          </w:tcPr>
          <w:p w14:paraId="4F63F65A">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941" w:type="dxa"/>
            <w:noWrap w:val="0"/>
            <w:vAlign w:val="top"/>
          </w:tcPr>
          <w:p w14:paraId="11BAAE24">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646" w:type="dxa"/>
            <w:noWrap w:val="0"/>
            <w:vAlign w:val="top"/>
          </w:tcPr>
          <w:p w14:paraId="2CCE0DB1">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430" w:type="dxa"/>
            <w:noWrap w:val="0"/>
            <w:vAlign w:val="top"/>
          </w:tcPr>
          <w:p w14:paraId="68EF3578">
            <w:pPr>
              <w:pageBreakBefore w:val="0"/>
              <w:kinsoku/>
              <w:wordWrap w:val="0"/>
              <w:bidi w:val="0"/>
              <w:spacing w:line="400" w:lineRule="atLeast"/>
              <w:jc w:val="center"/>
              <w:rPr>
                <w:rFonts w:hint="default" w:ascii="Times New Roman" w:hAnsi="Times New Roman" w:cs="Times New Roman"/>
                <w:color w:val="auto"/>
                <w:szCs w:val="21"/>
                <w:highlight w:val="none"/>
              </w:rPr>
            </w:pPr>
          </w:p>
        </w:tc>
        <w:tc>
          <w:tcPr>
            <w:tcW w:w="559" w:type="dxa"/>
            <w:noWrap w:val="0"/>
            <w:vAlign w:val="top"/>
          </w:tcPr>
          <w:p w14:paraId="653D86DA">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59" w:type="dxa"/>
            <w:noWrap w:val="0"/>
            <w:vAlign w:val="top"/>
          </w:tcPr>
          <w:p w14:paraId="6CE39825">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561" w:type="dxa"/>
            <w:noWrap w:val="0"/>
            <w:vAlign w:val="top"/>
          </w:tcPr>
          <w:p w14:paraId="22CAB68F">
            <w:pPr>
              <w:pageBreakBefore w:val="0"/>
              <w:kinsoku/>
              <w:wordWrap w:val="0"/>
              <w:bidi w:val="0"/>
              <w:spacing w:line="400" w:lineRule="atLeast"/>
              <w:ind w:left="-105" w:leftChars="-50" w:right="-105" w:rightChars="-50"/>
              <w:jc w:val="center"/>
              <w:rPr>
                <w:rFonts w:hint="default" w:ascii="Times New Roman" w:hAnsi="Times New Roman" w:cs="Times New Roman"/>
                <w:color w:val="auto"/>
                <w:szCs w:val="21"/>
                <w:highlight w:val="none"/>
              </w:rPr>
            </w:pPr>
          </w:p>
        </w:tc>
        <w:tc>
          <w:tcPr>
            <w:tcW w:w="948" w:type="dxa"/>
            <w:noWrap w:val="0"/>
            <w:vAlign w:val="top"/>
          </w:tcPr>
          <w:p w14:paraId="2218F8F4">
            <w:pPr>
              <w:pageBreakBefore w:val="0"/>
              <w:kinsoku/>
              <w:wordWrap w:val="0"/>
              <w:bidi w:val="0"/>
              <w:spacing w:line="400" w:lineRule="atLeast"/>
              <w:jc w:val="center"/>
              <w:rPr>
                <w:rFonts w:hint="default" w:ascii="Times New Roman" w:hAnsi="Times New Roman" w:cs="Times New Roman"/>
                <w:color w:val="auto"/>
                <w:szCs w:val="21"/>
                <w:highlight w:val="none"/>
              </w:rPr>
            </w:pPr>
          </w:p>
        </w:tc>
      </w:tr>
    </w:tbl>
    <w:p w14:paraId="1F2A34F1">
      <w:pPr>
        <w:pStyle w:val="17"/>
        <w:pageBreakBefore w:val="0"/>
        <w:kinsoku/>
        <w:wordWrap w:val="0"/>
        <w:bidi w:val="0"/>
        <w:spacing w:after="0" w:line="400" w:lineRule="atLeast"/>
        <w:ind w:left="735" w:leftChars="0" w:hanging="735" w:hangingChars="350"/>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6C286FAA">
      <w:pPr>
        <w:pageBreakBefore w:val="0"/>
        <w:kinsoku/>
        <w:wordWrap w:val="0"/>
        <w:topLinePunct/>
        <w:bidi w:val="0"/>
        <w:spacing w:line="400" w:lineRule="atLeast"/>
        <w:rPr>
          <w:rFonts w:hint="default" w:ascii="Times New Roman" w:hAnsi="Times New Roman" w:cs="Times New Roman"/>
          <w:color w:val="auto"/>
          <w:sz w:val="23"/>
          <w:szCs w:val="23"/>
          <w:highlight w:val="none"/>
        </w:rPr>
      </w:pPr>
    </w:p>
    <w:p w14:paraId="467A4783">
      <w:pPr>
        <w:pStyle w:val="2"/>
        <w:pageBreakBefore w:val="0"/>
        <w:kinsoku/>
        <w:wordWrap w:val="0"/>
        <w:bidi w:val="0"/>
        <w:spacing w:before="0" w:after="0" w:line="380" w:lineRule="atLeast"/>
        <w:jc w:val="center"/>
        <w:outlineLvl w:val="2"/>
        <w:rPr>
          <w:rFonts w:hint="default" w:ascii="Times New Roman" w:hAnsi="Times New Roman" w:eastAsia="黑体" w:cs="Times New Roman"/>
          <w:b w:val="0"/>
          <w:color w:val="auto"/>
          <w:sz w:val="24"/>
          <w:szCs w:val="24"/>
          <w:highlight w:val="none"/>
        </w:rPr>
      </w:pPr>
      <w:bookmarkStart w:id="2008" w:name="_Toc19215"/>
      <w:bookmarkStart w:id="2009" w:name="_Toc32334"/>
      <w:bookmarkStart w:id="2010" w:name="_Toc234833289"/>
      <w:bookmarkStart w:id="2011" w:name="_Toc27702"/>
      <w:r>
        <w:rPr>
          <w:rFonts w:hint="default" w:ascii="Times New Roman" w:hAnsi="Times New Roman" w:eastAsia="黑体" w:cs="Times New Roman"/>
          <w:b w:val="0"/>
          <w:color w:val="auto"/>
          <w:sz w:val="24"/>
          <w:szCs w:val="24"/>
          <w:highlight w:val="none"/>
        </w:rPr>
        <w:t>（十） 拟配备本标段的主要材料试验、测量、质检仪器设备表</w:t>
      </w:r>
      <w:r>
        <w:rPr>
          <w:rFonts w:hint="default" w:ascii="Times New Roman" w:hAnsi="Times New Roman" w:eastAsia="黑体" w:cs="Times New Roman"/>
          <w:b w:val="0"/>
          <w:color w:val="auto"/>
          <w:sz w:val="24"/>
          <w:szCs w:val="24"/>
          <w:highlight w:val="none"/>
          <w:vertAlign w:val="superscript"/>
        </w:rPr>
        <w:footnoteReference w:id="63"/>
      </w:r>
      <w:bookmarkEnd w:id="2008"/>
      <w:bookmarkEnd w:id="2009"/>
      <w:bookmarkEnd w:id="2010"/>
      <w:bookmarkEnd w:id="2011"/>
    </w:p>
    <w:p w14:paraId="313118EB">
      <w:pPr>
        <w:pageBreakBefore w:val="0"/>
        <w:kinsoku/>
        <w:wordWrap w:val="0"/>
        <w:bidi w:val="0"/>
        <w:spacing w:line="400" w:lineRule="atLeast"/>
        <w:rPr>
          <w:rFonts w:hint="default" w:ascii="Times New Roman" w:hAnsi="Times New Roman" w:cs="Times New Roman"/>
          <w:color w:val="auto"/>
          <w:sz w:val="20"/>
          <w:szCs w:val="20"/>
          <w:highlight w:val="none"/>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637E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503D223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617" w:type="dxa"/>
            <w:noWrap w:val="0"/>
            <w:vAlign w:val="center"/>
          </w:tcPr>
          <w:p w14:paraId="2141B46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仪器设备名称</w:t>
            </w:r>
          </w:p>
        </w:tc>
        <w:tc>
          <w:tcPr>
            <w:tcW w:w="1030" w:type="dxa"/>
            <w:noWrap w:val="0"/>
            <w:vAlign w:val="center"/>
          </w:tcPr>
          <w:p w14:paraId="2B1210A8">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型号规格</w:t>
            </w:r>
          </w:p>
        </w:tc>
        <w:tc>
          <w:tcPr>
            <w:tcW w:w="1016" w:type="dxa"/>
            <w:noWrap w:val="0"/>
            <w:vAlign w:val="center"/>
          </w:tcPr>
          <w:p w14:paraId="238CFAB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1026" w:type="dxa"/>
            <w:noWrap w:val="0"/>
            <w:vAlign w:val="center"/>
          </w:tcPr>
          <w:p w14:paraId="6BEEB64A">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国别产地</w:t>
            </w:r>
          </w:p>
        </w:tc>
        <w:tc>
          <w:tcPr>
            <w:tcW w:w="1026" w:type="dxa"/>
            <w:noWrap w:val="0"/>
            <w:vAlign w:val="center"/>
          </w:tcPr>
          <w:p w14:paraId="3EEAF37E">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制造年份</w:t>
            </w:r>
          </w:p>
        </w:tc>
        <w:tc>
          <w:tcPr>
            <w:tcW w:w="1693" w:type="dxa"/>
            <w:noWrap w:val="0"/>
            <w:vAlign w:val="center"/>
          </w:tcPr>
          <w:p w14:paraId="529D7A6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用途</w:t>
            </w:r>
          </w:p>
        </w:tc>
        <w:tc>
          <w:tcPr>
            <w:tcW w:w="697" w:type="dxa"/>
            <w:noWrap w:val="0"/>
            <w:vAlign w:val="center"/>
          </w:tcPr>
          <w:p w14:paraId="2EE9C3F7">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备注</w:t>
            </w:r>
          </w:p>
        </w:tc>
      </w:tr>
      <w:tr w14:paraId="7F2A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AD9B5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65305E5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0A20BA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32BB92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2359E0F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3173BFC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3E04640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636FC99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A9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87F0A8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center"/>
          </w:tcPr>
          <w:p w14:paraId="5543BC9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center"/>
          </w:tcPr>
          <w:p w14:paraId="04B9C91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center"/>
          </w:tcPr>
          <w:p w14:paraId="2AE08B5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134A886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center"/>
          </w:tcPr>
          <w:p w14:paraId="68A879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center"/>
          </w:tcPr>
          <w:p w14:paraId="6249686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center"/>
          </w:tcPr>
          <w:p w14:paraId="7CCBE1C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817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91D11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EC9B07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3CF5C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CFA6A5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331100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C6782E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652CD0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5BB42D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2335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5F75C1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34566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B7469C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DCB42F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21CB5D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4549F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54AA07B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45D5B75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986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B8AEA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575CAB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6DD7664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6B76323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A5A763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9C814A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3C3B724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5570E19">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CA3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5FAEC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073C0D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3921076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630FE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A9D6F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17D67E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412A02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F47FC7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76BE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DEFF6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36A8F7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5DE6E9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05E50A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1511E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1820B5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18C4AC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5AADE4D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38B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8DDD6B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C770A0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47E96D1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1339D1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0D5B57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C67E8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1A8FE31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FBC0DF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53CE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C4E18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9CB35A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762480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2CC301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8CD038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4EB7F5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7D95A4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18DBC2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1505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39AC29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1BB0206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A4398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596DD6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D22F21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0B028B3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51888C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C7D49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2C0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EFC95F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48EB9BC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2B8FEB0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4B6E010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C55DD9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ED7F9E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7AE0309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63337D9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602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211B93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374BC4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014EAF2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2A304EF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A24A0E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47F691B">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D58901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739971A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3BD5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088ED8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D4E557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D725A7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725E66F6">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5E07B82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217F3AC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6396C12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3FAD816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81C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1BC7A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244F3D7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4D6B48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01811B9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A1CEF0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634F041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56F49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B7BD9B1">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002B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71724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79F87A24">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1BE467C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3ECD30AD">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1672BDDF">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75C352E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4EC39BA8">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2DF051C2">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r w14:paraId="4636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82C50F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17" w:type="dxa"/>
            <w:noWrap w:val="0"/>
            <w:vAlign w:val="top"/>
          </w:tcPr>
          <w:p w14:paraId="6BC0672E">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30" w:type="dxa"/>
            <w:noWrap w:val="0"/>
            <w:vAlign w:val="top"/>
          </w:tcPr>
          <w:p w14:paraId="5364E95C">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16" w:type="dxa"/>
            <w:noWrap w:val="0"/>
            <w:vAlign w:val="top"/>
          </w:tcPr>
          <w:p w14:paraId="56EC0E93">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32889880">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026" w:type="dxa"/>
            <w:noWrap w:val="0"/>
            <w:vAlign w:val="top"/>
          </w:tcPr>
          <w:p w14:paraId="41BD9DB5">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1693" w:type="dxa"/>
            <w:noWrap w:val="0"/>
            <w:vAlign w:val="top"/>
          </w:tcPr>
          <w:p w14:paraId="2D012937">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c>
          <w:tcPr>
            <w:tcW w:w="697" w:type="dxa"/>
            <w:noWrap w:val="0"/>
            <w:vAlign w:val="top"/>
          </w:tcPr>
          <w:p w14:paraId="0DBDCAAA">
            <w:pPr>
              <w:pageBreakBefore w:val="0"/>
              <w:kinsoku/>
              <w:wordWrap w:val="0"/>
              <w:bidi w:val="0"/>
              <w:spacing w:before="120" w:beforeLines="50" w:after="120" w:afterLines="50" w:line="400" w:lineRule="atLeast"/>
              <w:jc w:val="center"/>
              <w:rPr>
                <w:rFonts w:hint="default" w:ascii="Times New Roman" w:hAnsi="Times New Roman" w:cs="Times New Roman"/>
                <w:color w:val="auto"/>
                <w:szCs w:val="21"/>
                <w:highlight w:val="none"/>
              </w:rPr>
            </w:pPr>
          </w:p>
        </w:tc>
      </w:tr>
    </w:tbl>
    <w:p w14:paraId="25088CC4">
      <w:pPr>
        <w:pStyle w:val="17"/>
        <w:pageBreakBefore w:val="0"/>
        <w:kinsoku/>
        <w:wordWrap w:val="0"/>
        <w:bidi w:val="0"/>
        <w:spacing w:after="0" w:line="400" w:lineRule="atLeast"/>
        <w:ind w:left="735" w:leftChars="0" w:hanging="735" w:hangingChars="35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注：本表填报的设备应满足招标文件第二章</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投标人须知</w:t>
      </w:r>
      <w:r>
        <w:rPr>
          <w:rFonts w:hint="eastAsia" w:ascii="宋体" w:hAnsi="宋体" w:eastAsia="宋体" w:cs="宋体"/>
          <w:color w:val="auto"/>
          <w:szCs w:val="21"/>
          <w:highlight w:val="none"/>
        </w:rPr>
        <w:t>”</w:t>
      </w:r>
      <w:r>
        <w:rPr>
          <w:rFonts w:hint="default" w:ascii="Times New Roman" w:hAnsi="Times New Roman" w:cs="Times New Roman"/>
          <w:color w:val="auto"/>
          <w:szCs w:val="21"/>
          <w:highlight w:val="none"/>
        </w:rPr>
        <w:t>前附表附录7的要求。</w:t>
      </w:r>
    </w:p>
    <w:p w14:paraId="3F5BA925">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1"/>
        <w:rPr>
          <w:rFonts w:hint="default" w:ascii="Times New Roman" w:hAnsi="Times New Roman" w:eastAsia="黑体" w:cs="Times New Roman"/>
          <w:color w:val="auto"/>
          <w:kern w:val="0"/>
          <w:sz w:val="28"/>
          <w:szCs w:val="20"/>
          <w:highlight w:val="none"/>
        </w:rPr>
      </w:pPr>
      <w:r>
        <w:rPr>
          <w:rFonts w:hint="default" w:ascii="Times New Roman" w:hAnsi="Times New Roman" w:cs="Times New Roman"/>
          <w:color w:val="auto"/>
          <w:sz w:val="24"/>
          <w:highlight w:val="none"/>
        </w:rPr>
        <w:br w:type="page"/>
      </w:r>
      <w:bookmarkStart w:id="2012" w:name="_Toc13139"/>
      <w:bookmarkStart w:id="2013" w:name="_Toc15816"/>
      <w:bookmarkStart w:id="2014" w:name="_Toc8012"/>
      <w:bookmarkStart w:id="2015" w:name="_Toc5710"/>
      <w:bookmarkStart w:id="2016" w:name="_Toc234833291"/>
      <w:r>
        <w:rPr>
          <w:rFonts w:hint="eastAsia" w:eastAsia="黑体" w:cs="Times New Roman"/>
          <w:color w:val="auto"/>
          <w:sz w:val="28"/>
          <w:szCs w:val="28"/>
          <w:highlight w:val="none"/>
          <w:lang w:val="en-US" w:eastAsia="zh-CN"/>
        </w:rPr>
        <w:t>九</w:t>
      </w:r>
      <w:r>
        <w:rPr>
          <w:rFonts w:hint="default" w:ascii="Times New Roman" w:hAnsi="Times New Roman" w:eastAsia="黑体" w:cs="Times New Roman"/>
          <w:b w:val="0"/>
          <w:color w:val="auto"/>
          <w:sz w:val="28"/>
          <w:szCs w:val="28"/>
          <w:highlight w:val="none"/>
        </w:rPr>
        <w:t>、</w:t>
      </w:r>
      <w:r>
        <w:rPr>
          <w:rFonts w:hint="default" w:ascii="Times New Roman" w:hAnsi="Times New Roman" w:eastAsia="黑体" w:cs="Times New Roman"/>
          <w:color w:val="auto"/>
          <w:kern w:val="0"/>
          <w:sz w:val="28"/>
          <w:szCs w:val="20"/>
          <w:highlight w:val="none"/>
        </w:rPr>
        <w:t>投标人告知承诺函</w:t>
      </w:r>
      <w:bookmarkEnd w:id="2012"/>
      <w:bookmarkEnd w:id="2013"/>
      <w:bookmarkEnd w:id="2014"/>
      <w:bookmarkEnd w:id="2015"/>
      <w:r>
        <w:rPr>
          <w:rFonts w:hint="default" w:ascii="Times New Roman" w:hAnsi="Times New Roman" w:eastAsia="宋体" w:cs="Times New Roman"/>
          <w:color w:val="auto"/>
          <w:kern w:val="0"/>
          <w:sz w:val="24"/>
          <w:highlight w:val="none"/>
          <w:u w:val="single"/>
          <w:vertAlign w:val="superscript"/>
          <w:lang w:val="zh-CN" w:bidi="zh-CN"/>
        </w:rPr>
        <w:footnoteReference w:id="64"/>
      </w:r>
    </w:p>
    <w:p w14:paraId="361AB61E">
      <w:pPr>
        <w:spacing w:line="380" w:lineRule="exact"/>
        <w:rPr>
          <w:rFonts w:hint="default" w:ascii="Times New Roman" w:hAnsi="Times New Roman" w:cs="Times New Roman"/>
          <w:color w:val="auto"/>
          <w:sz w:val="24"/>
          <w:highlight w:val="none"/>
          <w:u w:val="single"/>
        </w:rPr>
      </w:pPr>
    </w:p>
    <w:p w14:paraId="72E856AF">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（监管部门名称）：</w:t>
      </w:r>
    </w:p>
    <w:p w14:paraId="430721BC">
      <w:pPr>
        <w:wordWrap w:val="0"/>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我单位参与</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u w:val="none"/>
        </w:rPr>
        <w:t>（标段名称）</w:t>
      </w:r>
      <w:r>
        <w:rPr>
          <w:rFonts w:hint="eastAsia" w:cs="Times New Roman"/>
          <w:color w:val="auto"/>
          <w:sz w:val="24"/>
          <w:highlight w:val="none"/>
          <w:u w:val="none"/>
          <w:lang w:val="en-US" w:eastAsia="zh-CN"/>
        </w:rPr>
        <w:t>施工</w:t>
      </w:r>
      <w:r>
        <w:rPr>
          <w:rFonts w:hint="default" w:ascii="Times New Roman" w:hAnsi="Times New Roman" w:cs="Times New Roman"/>
          <w:color w:val="auto"/>
          <w:sz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2DD7A06B">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一、我单位和我本人遵循公开、公平、公正、诚实守信的原则，依法依规参与本项目投标。</w:t>
      </w:r>
    </w:p>
    <w:p w14:paraId="0F689F1A">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二、我单位具有参与本次投标的资质和能力，公司运营状况良好，不存在挂靠投标、不受让、租借、出租、出借资格或资质证书，无处罚期内的不良行为。</w:t>
      </w:r>
    </w:p>
    <w:p w14:paraId="0E629BAB">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三、我单位在本项目投标过程中从招标公告列明的渠道获取招标文件，没有通过其他不正当渠道获取招标文件。</w:t>
      </w:r>
    </w:p>
    <w:p w14:paraId="5CCB1877">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四、我单位承诺投标文件由本单位员工独立编制，严格遵守保密义务。所提供的一切投标相关材料都是真实、有效、合法的。</w:t>
      </w:r>
    </w:p>
    <w:p w14:paraId="4A513BF1">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五、我单位不与其他投标人相互串通投标报价，不恶意压低或抬高投标报价，不排挤其他投标人的公平竞争，不损害招标人或其他投标人的合法权益。</w:t>
      </w:r>
    </w:p>
    <w:p w14:paraId="5263580D">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六、我单位不与招标人或招标代理机构串通投标，损害国家利益、社会公共利益或者他人的合法权益。</w:t>
      </w:r>
    </w:p>
    <w:p w14:paraId="4FD7BEE3">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七、我单位不向招标人或者评标委员会成员行贿以牟取中标，不在开标后进行虚假恶意投诉。</w:t>
      </w:r>
    </w:p>
    <w:p w14:paraId="0D5E9168">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八、我单位和我个人清楚并知晓《中华人民共和国刑法》第二百二十三条</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的规定。</w:t>
      </w:r>
    </w:p>
    <w:p w14:paraId="069961C5">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九、我单位如在本项目招标投标活动评标工作中存在串通投标、弄虚作假等行为的，本单位及本人自愿承担法律责任，接受相应刑事、纪律和行政处罚以及失信惩戒。</w:t>
      </w:r>
    </w:p>
    <w:p w14:paraId="51C5E6B7">
      <w:pPr>
        <w:spacing w:line="3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十、本承诺函由我单位盖章及法定代表人（授权委托人）本人</w:t>
      </w:r>
      <w:r>
        <w:rPr>
          <w:rFonts w:hint="eastAsia" w:cs="Times New Roman"/>
          <w:color w:val="auto"/>
          <w:sz w:val="24"/>
          <w:highlight w:val="none"/>
          <w:lang w:val="en-US" w:eastAsia="zh-CN"/>
        </w:rPr>
        <w:t>电子</w:t>
      </w:r>
      <w:r>
        <w:rPr>
          <w:rFonts w:hint="default" w:ascii="Times New Roman" w:hAnsi="Times New Roman" w:cs="Times New Roman"/>
          <w:color w:val="auto"/>
          <w:sz w:val="24"/>
          <w:highlight w:val="none"/>
        </w:rPr>
        <w:t>确认。</w:t>
      </w:r>
    </w:p>
    <w:p w14:paraId="0AC15268">
      <w:pPr>
        <w:spacing w:line="380" w:lineRule="exact"/>
        <w:ind w:firstLine="480" w:firstLineChars="200"/>
        <w:rPr>
          <w:rFonts w:hint="default" w:ascii="Times New Roman" w:hAnsi="Times New Roman" w:cs="Times New Roman"/>
          <w:color w:val="auto"/>
          <w:sz w:val="24"/>
          <w:highlight w:val="none"/>
        </w:rPr>
      </w:pPr>
    </w:p>
    <w:p w14:paraId="7C2931FE">
      <w:pPr>
        <w:widowControl/>
        <w:spacing w:line="380" w:lineRule="exact"/>
        <w:jc w:val="right"/>
        <w:rPr>
          <w:rFonts w:hint="default" w:ascii="Times New Roman" w:hAnsi="Times New Roman" w:cs="Times New Roman"/>
          <w:color w:val="auto"/>
          <w:kern w:val="0"/>
          <w:sz w:val="24"/>
          <w:highlight w:val="none"/>
          <w:u w:val="single"/>
          <w:lang w:val="zh-CN" w:bidi="zh-CN"/>
        </w:rPr>
      </w:pPr>
      <w:r>
        <w:rPr>
          <w:rFonts w:hint="default" w:ascii="Times New Roman" w:hAnsi="Times New Roman" w:cs="Times New Roman"/>
          <w:color w:val="auto"/>
          <w:kern w:val="0"/>
          <w:sz w:val="24"/>
          <w:highlight w:val="none"/>
          <w:lang w:val="zh-CN" w:bidi="zh-CN"/>
        </w:rPr>
        <w:t>投标人：</w:t>
      </w:r>
      <w:r>
        <w:rPr>
          <w:rFonts w:hint="default" w:ascii="Times New Roman" w:hAnsi="Times New Roman" w:cs="Times New Roman"/>
          <w:color w:val="auto"/>
          <w:kern w:val="0"/>
          <w:sz w:val="24"/>
          <w:highlight w:val="none"/>
          <w:u w:val="single"/>
          <w:lang w:val="zh-CN" w:bidi="zh-CN"/>
        </w:rPr>
        <w:t>投标人全称（加盖单位</w:t>
      </w:r>
      <w:r>
        <w:rPr>
          <w:rFonts w:hint="default" w:ascii="Times New Roman" w:hAnsi="Times New Roman" w:cs="Times New Roman"/>
          <w:color w:val="auto"/>
          <w:kern w:val="0"/>
          <w:sz w:val="24"/>
          <w:highlight w:val="none"/>
          <w:u w:val="single"/>
          <w:lang w:val="en-US" w:bidi="zh-CN"/>
        </w:rPr>
        <w:t>电子印</w:t>
      </w:r>
      <w:r>
        <w:rPr>
          <w:rFonts w:hint="default" w:ascii="Times New Roman" w:hAnsi="Times New Roman" w:cs="Times New Roman"/>
          <w:color w:val="auto"/>
          <w:kern w:val="0"/>
          <w:sz w:val="24"/>
          <w:highlight w:val="none"/>
          <w:u w:val="single"/>
          <w:lang w:val="zh-CN" w:bidi="zh-CN"/>
        </w:rPr>
        <w:t>章）</w:t>
      </w:r>
    </w:p>
    <w:p w14:paraId="012DC6BA">
      <w:pPr>
        <w:keepNext w:val="0"/>
        <w:keepLines w:val="0"/>
        <w:pageBreakBefore w:val="0"/>
        <w:widowControl/>
        <w:kinsoku/>
        <w:wordWrap w:val="0"/>
        <w:overflowPunct/>
        <w:topLinePunct w:val="0"/>
        <w:autoSpaceDE/>
        <w:autoSpaceDN/>
        <w:bidi w:val="0"/>
        <w:adjustRightInd/>
        <w:snapToGrid/>
        <w:spacing w:line="380" w:lineRule="exact"/>
        <w:jc w:val="right"/>
        <w:textAlignment w:val="auto"/>
        <w:outlineLvl w:val="9"/>
        <w:rPr>
          <w:rFonts w:hint="default" w:ascii="Times New Roman" w:hAnsi="Times New Roman" w:cs="Times New Roman"/>
          <w:color w:val="auto"/>
          <w:kern w:val="0"/>
          <w:sz w:val="24"/>
          <w:highlight w:val="none"/>
          <w:lang w:val="zh-CN" w:bidi="zh-CN"/>
        </w:rPr>
      </w:pPr>
      <w:r>
        <w:rPr>
          <w:rFonts w:hint="default" w:ascii="Times New Roman" w:hAnsi="Times New Roman" w:cs="Times New Roman"/>
          <w:color w:val="auto"/>
          <w:kern w:val="0"/>
          <w:sz w:val="24"/>
          <w:highlight w:val="none"/>
          <w:lang w:val="zh-CN" w:bidi="zh-CN"/>
        </w:rPr>
        <w:t>法定代表人（或授权委托人）：</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r>
        <w:rPr>
          <w:rFonts w:hint="default" w:ascii="Times New Roman" w:hAnsi="Times New Roman" w:cs="Times New Roman"/>
          <w:color w:val="auto"/>
          <w:kern w:val="0"/>
          <w:sz w:val="24"/>
          <w:highlight w:val="none"/>
          <w:lang w:val="zh-CN" w:bidi="zh-CN"/>
        </w:rPr>
        <w:t>）</w:t>
      </w:r>
    </w:p>
    <w:p w14:paraId="427E6D2C">
      <w:pPr>
        <w:widowControl/>
        <w:wordWrap w:val="0"/>
        <w:spacing w:line="380" w:lineRule="exact"/>
        <w:jc w:val="right"/>
        <w:rPr>
          <w:rFonts w:hint="default" w:ascii="Times New Roman" w:hAnsi="Times New Roman" w:eastAsia="黑体" w:cs="Times New Roman"/>
          <w:b w:val="0"/>
          <w:color w:val="auto"/>
          <w:sz w:val="28"/>
          <w:szCs w:val="28"/>
          <w:highlight w:val="none"/>
        </w:rPr>
      </w:pPr>
      <w:r>
        <w:rPr>
          <w:rFonts w:hint="default" w:ascii="Times New Roman" w:hAnsi="Times New Roman" w:cs="Times New Roman"/>
          <w:color w:val="auto"/>
          <w:kern w:val="0"/>
          <w:sz w:val="24"/>
          <w:highlight w:val="none"/>
          <w:lang w:val="zh-CN" w:bidi="zh-CN"/>
        </w:rPr>
        <w:t>承诺日期：</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年</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月</w:t>
      </w:r>
      <w:r>
        <w:rPr>
          <w:rFonts w:hint="default" w:ascii="Times New Roman" w:hAnsi="Times New Roman" w:cs="Times New Roman"/>
          <w:color w:val="auto"/>
          <w:kern w:val="0"/>
          <w:sz w:val="24"/>
          <w:highlight w:val="none"/>
          <w:u w:val="single"/>
          <w:lang w:val="zh-CN" w:bidi="zh-CN"/>
        </w:rPr>
        <w:t xml:space="preserve">    </w:t>
      </w:r>
      <w:r>
        <w:rPr>
          <w:rFonts w:hint="default" w:ascii="Times New Roman" w:hAnsi="Times New Roman" w:cs="Times New Roman"/>
          <w:color w:val="auto"/>
          <w:kern w:val="0"/>
          <w:sz w:val="24"/>
          <w:highlight w:val="none"/>
          <w:lang w:val="zh-CN" w:bidi="zh-CN"/>
        </w:rPr>
        <w:t>日</w:t>
      </w:r>
    </w:p>
    <w:p w14:paraId="25A7656C">
      <w:pPr>
        <w:pStyle w:val="2"/>
        <w:pageBreakBefore w:val="0"/>
        <w:kinsoku/>
        <w:wordWrap w:val="0"/>
        <w:overflowPunct/>
        <w:bidi w:val="0"/>
        <w:spacing w:before="0" w:after="0" w:line="380" w:lineRule="atLeast"/>
        <w:jc w:val="center"/>
        <w:outlineLvl w:val="9"/>
        <w:rPr>
          <w:rFonts w:hint="default" w:ascii="Times New Roman" w:hAnsi="Times New Roman" w:cs="Times New Roman"/>
          <w:b w:val="0"/>
          <w:color w:val="auto"/>
          <w:sz w:val="28"/>
          <w:szCs w:val="28"/>
          <w:highlight w:val="none"/>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61ECDAFE">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bookmarkStart w:id="2017" w:name="_Toc29420"/>
      <w:bookmarkStart w:id="2018" w:name="_Toc18802"/>
      <w:bookmarkStart w:id="2019" w:name="_Toc3120"/>
      <w:r>
        <w:rPr>
          <w:rFonts w:hint="eastAsia" w:cs="Times New Roman"/>
          <w:color w:val="auto"/>
          <w:sz w:val="28"/>
          <w:szCs w:val="28"/>
          <w:highlight w:val="none"/>
          <w:lang w:val="en-US" w:eastAsia="zh-CN"/>
        </w:rPr>
        <w:t>十</w:t>
      </w:r>
      <w:r>
        <w:rPr>
          <w:rFonts w:hint="default" w:ascii="Times New Roman" w:hAnsi="Times New Roman" w:eastAsia="黑体" w:cs="Times New Roman"/>
          <w:b w:val="0"/>
          <w:color w:val="auto"/>
          <w:sz w:val="28"/>
          <w:szCs w:val="28"/>
          <w:highlight w:val="none"/>
        </w:rPr>
        <w:t>、其他</w:t>
      </w:r>
      <w:bookmarkEnd w:id="2016"/>
      <w:r>
        <w:rPr>
          <w:rFonts w:hint="default" w:ascii="Times New Roman" w:hAnsi="Times New Roman" w:eastAsia="黑体" w:cs="Times New Roman"/>
          <w:b w:val="0"/>
          <w:color w:val="auto"/>
          <w:sz w:val="28"/>
          <w:szCs w:val="28"/>
          <w:highlight w:val="none"/>
          <w:lang w:eastAsia="zh-CN"/>
        </w:rPr>
        <w:t>资料</w:t>
      </w:r>
      <w:bookmarkEnd w:id="2017"/>
      <w:bookmarkEnd w:id="2018"/>
      <w:bookmarkEnd w:id="2019"/>
    </w:p>
    <w:p w14:paraId="2B44E78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F0148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A6CB36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E46AC1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D2849C1">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1F9B6C02">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黑体" w:cs="Times New Roman"/>
          <w:color w:val="auto"/>
          <w:sz w:val="31"/>
          <w:szCs w:val="31"/>
          <w:highlight w:val="none"/>
          <w:lang w:eastAsia="zh-CN"/>
        </w:rPr>
      </w:pPr>
      <w:r>
        <w:rPr>
          <w:rFonts w:hint="eastAsia" w:ascii="Times New Roman" w:eastAsia="黑体" w:cs="Times New Roman"/>
          <w:color w:val="auto"/>
          <w:sz w:val="31"/>
          <w:szCs w:val="31"/>
          <w:highlight w:val="none"/>
          <w:u w:val="single"/>
          <w:lang w:eastAsia="zh-CN"/>
        </w:rPr>
        <w:t>辽宁省</w:t>
      </w:r>
    </w:p>
    <w:p w14:paraId="50F2614A">
      <w:pPr>
        <w:pageBreakBefore w:val="0"/>
        <w:kinsoku/>
        <w:wordWrap w:val="0"/>
        <w:bidi w:val="0"/>
        <w:spacing w:line="440" w:lineRule="exact"/>
        <w:rPr>
          <w:rFonts w:hint="default" w:ascii="Times New Roman" w:hAnsi="Times New Roman" w:eastAsia="黑体" w:cs="Times New Roman"/>
          <w:color w:val="auto"/>
          <w:sz w:val="24"/>
          <w:highlight w:val="none"/>
          <w:lang w:val="en-US" w:eastAsia="zh-CN"/>
        </w:rPr>
      </w:pP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（项目名称）</w:t>
      </w:r>
      <w:r>
        <w:rPr>
          <w:rFonts w:hint="default" w:ascii="Times New Roman" w:hAnsi="Times New Roman" w:eastAsia="黑体" w:cs="Times New Roman"/>
          <w:b w:val="0"/>
          <w:bCs w:val="0"/>
          <w:color w:val="auto"/>
          <w:sz w:val="31"/>
          <w:szCs w:val="31"/>
          <w:highlight w:val="none"/>
          <w:u w:val="single"/>
        </w:rPr>
        <w:t xml:space="preserve">          </w:t>
      </w:r>
      <w:r>
        <w:rPr>
          <w:rFonts w:hint="default" w:ascii="Times New Roman" w:hAnsi="Times New Roman" w:eastAsia="黑体" w:cs="Times New Roman"/>
          <w:b w:val="0"/>
          <w:bCs w:val="0"/>
          <w:color w:val="auto"/>
          <w:sz w:val="31"/>
          <w:szCs w:val="31"/>
          <w:highlight w:val="none"/>
        </w:rPr>
        <w:t>（</w:t>
      </w:r>
      <w:r>
        <w:rPr>
          <w:rFonts w:hint="default" w:ascii="Times New Roman" w:hAnsi="Times New Roman" w:eastAsia="黑体" w:cs="Times New Roman"/>
          <w:b w:val="0"/>
          <w:bCs w:val="0"/>
          <w:color w:val="auto"/>
          <w:sz w:val="31"/>
          <w:szCs w:val="31"/>
          <w:highlight w:val="none"/>
          <w:lang w:val="en-US" w:eastAsia="zh-CN"/>
        </w:rPr>
        <w:t>标段</w:t>
      </w:r>
      <w:r>
        <w:rPr>
          <w:rFonts w:hint="default" w:ascii="Times New Roman" w:hAnsi="Times New Roman" w:eastAsia="黑体" w:cs="Times New Roman"/>
          <w:b w:val="0"/>
          <w:bCs w:val="0"/>
          <w:color w:val="auto"/>
          <w:sz w:val="31"/>
          <w:szCs w:val="31"/>
          <w:highlight w:val="none"/>
        </w:rPr>
        <w:t>名称）</w:t>
      </w:r>
      <w:r>
        <w:rPr>
          <w:rFonts w:hint="default" w:ascii="Times New Roman" w:hAnsi="Times New Roman" w:eastAsia="黑体" w:cs="Times New Roman"/>
          <w:b w:val="0"/>
          <w:bCs w:val="0"/>
          <w:color w:val="auto"/>
          <w:sz w:val="31"/>
          <w:szCs w:val="31"/>
          <w:highlight w:val="none"/>
          <w:lang w:val="en-US" w:eastAsia="zh-CN"/>
        </w:rPr>
        <w:t>施工招标</w:t>
      </w:r>
    </w:p>
    <w:p w14:paraId="77BEB596">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t xml:space="preserve"> </w:t>
      </w:r>
    </w:p>
    <w:p w14:paraId="25D2DA84">
      <w:pPr>
        <w:pageBreakBefore w:val="0"/>
        <w:kinsoku/>
        <w:wordWrap w:val="0"/>
        <w:bidi w:val="0"/>
        <w:spacing w:line="440" w:lineRule="exact"/>
        <w:rPr>
          <w:rFonts w:hint="default" w:ascii="Times New Roman" w:hAnsi="Times New Roman" w:eastAsia="黑体" w:cs="Times New Roman"/>
          <w:color w:val="auto"/>
          <w:sz w:val="40"/>
          <w:szCs w:val="40"/>
          <w:highlight w:val="none"/>
        </w:rPr>
      </w:pPr>
    </w:p>
    <w:p w14:paraId="652DC11E">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5E096B26">
      <w:pPr>
        <w:pStyle w:val="16"/>
        <w:rPr>
          <w:rFonts w:hint="default" w:ascii="Times New Roman" w:hAnsi="Times New Roman" w:eastAsia="黑体" w:cs="Times New Roman"/>
          <w:color w:val="auto"/>
          <w:sz w:val="40"/>
          <w:szCs w:val="40"/>
          <w:highlight w:val="none"/>
        </w:rPr>
      </w:pPr>
    </w:p>
    <w:p w14:paraId="62D5BA10">
      <w:pPr>
        <w:pStyle w:val="16"/>
        <w:rPr>
          <w:rFonts w:hint="default" w:ascii="Times New Roman" w:hAnsi="Times New Roman" w:eastAsia="黑体" w:cs="Times New Roman"/>
          <w:color w:val="auto"/>
          <w:sz w:val="40"/>
          <w:szCs w:val="40"/>
          <w:highlight w:val="none"/>
        </w:rPr>
      </w:pPr>
    </w:p>
    <w:p w14:paraId="5EB813B7">
      <w:pPr>
        <w:pStyle w:val="16"/>
        <w:rPr>
          <w:rFonts w:hint="default" w:ascii="Times New Roman" w:hAnsi="Times New Roman" w:eastAsia="黑体" w:cs="Times New Roman"/>
          <w:color w:val="auto"/>
          <w:sz w:val="40"/>
          <w:szCs w:val="40"/>
          <w:highlight w:val="none"/>
        </w:rPr>
      </w:pPr>
    </w:p>
    <w:p w14:paraId="0DF6DD8E">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5F2783BF">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72"/>
          <w:szCs w:val="72"/>
          <w:highlight w:val="none"/>
        </w:rPr>
      </w:pPr>
      <w:bookmarkStart w:id="2020" w:name="_Toc9419"/>
      <w:bookmarkStart w:id="2021" w:name="_Toc11826"/>
      <w:bookmarkStart w:id="2022" w:name="_Toc25715"/>
      <w:r>
        <w:rPr>
          <w:rFonts w:hint="default" w:ascii="Times New Roman" w:hAnsi="Times New Roman" w:eastAsia="黑体" w:cs="Times New Roman"/>
          <w:b w:val="0"/>
          <w:color w:val="auto"/>
          <w:sz w:val="72"/>
          <w:szCs w:val="72"/>
          <w:highlight w:val="none"/>
        </w:rPr>
        <w:t>投  标  文  件</w:t>
      </w:r>
      <w:bookmarkEnd w:id="2020"/>
      <w:bookmarkEnd w:id="2021"/>
      <w:bookmarkEnd w:id="2022"/>
    </w:p>
    <w:p w14:paraId="4CDAA7EC">
      <w:pPr>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outlineLvl w:val="9"/>
        <w:rPr>
          <w:rFonts w:hint="default" w:ascii="Times New Roman" w:hAnsi="Times New Roman" w:eastAsia="黑体" w:cs="Times New Roman"/>
          <w:b w:val="0"/>
          <w:color w:val="auto"/>
          <w:sz w:val="30"/>
          <w:szCs w:val="30"/>
          <w:highlight w:val="none"/>
        </w:rPr>
      </w:pPr>
      <w:bookmarkStart w:id="2023" w:name="_Toc16866"/>
      <w:bookmarkStart w:id="2024" w:name="_Toc5781"/>
      <w:r>
        <w:rPr>
          <w:rFonts w:hint="default" w:ascii="Times New Roman" w:hAnsi="Times New Roman" w:eastAsia="黑体" w:cs="Times New Roman"/>
          <w:b w:val="0"/>
          <w:color w:val="auto"/>
          <w:sz w:val="32"/>
          <w:szCs w:val="32"/>
          <w:highlight w:val="none"/>
        </w:rPr>
        <w:t>（</w:t>
      </w:r>
      <w:r>
        <w:rPr>
          <w:rFonts w:hint="default" w:ascii="Times New Roman" w:hAnsi="Times New Roman" w:eastAsia="黑体" w:cs="Times New Roman"/>
          <w:b w:val="0"/>
          <w:color w:val="auto"/>
          <w:sz w:val="32"/>
          <w:szCs w:val="32"/>
          <w:highlight w:val="none"/>
          <w:lang w:val="en-US" w:eastAsia="zh-CN"/>
        </w:rPr>
        <w:t>第二个信封</w:t>
      </w:r>
      <w:r>
        <w:rPr>
          <w:rFonts w:hint="default" w:ascii="Times New Roman" w:hAnsi="Times New Roman" w:cs="Times New Roman"/>
          <w:b w:val="0"/>
          <w:color w:val="auto"/>
          <w:sz w:val="32"/>
          <w:szCs w:val="32"/>
          <w:highlight w:val="none"/>
          <w:lang w:val="en-US" w:eastAsia="zh-CN"/>
        </w:rPr>
        <w:t xml:space="preserve"> </w:t>
      </w:r>
      <w:r>
        <w:rPr>
          <w:rFonts w:hint="default" w:ascii="Times New Roman" w:hAnsi="Times New Roman" w:eastAsia="黑体" w:cs="Times New Roman"/>
          <w:b w:val="0"/>
          <w:color w:val="auto"/>
          <w:sz w:val="32"/>
          <w:szCs w:val="32"/>
          <w:highlight w:val="none"/>
        </w:rPr>
        <w:t>报价文件）</w:t>
      </w:r>
      <w:bookmarkEnd w:id="2023"/>
      <w:bookmarkEnd w:id="2024"/>
    </w:p>
    <w:p w14:paraId="27BB5677">
      <w:pPr>
        <w:pageBreakBefore w:val="0"/>
        <w:kinsoku/>
        <w:wordWrap w:val="0"/>
        <w:bidi w:val="0"/>
        <w:spacing w:line="440" w:lineRule="exact"/>
        <w:jc w:val="center"/>
        <w:rPr>
          <w:rFonts w:hint="default" w:ascii="Times New Roman" w:hAnsi="Times New Roman" w:eastAsia="黑体" w:cs="Times New Roman"/>
          <w:color w:val="auto"/>
          <w:sz w:val="40"/>
          <w:szCs w:val="40"/>
          <w:highlight w:val="none"/>
        </w:rPr>
      </w:pPr>
    </w:p>
    <w:p w14:paraId="4F08158C">
      <w:pPr>
        <w:pageBreakBefore w:val="0"/>
        <w:kinsoku/>
        <w:wordWrap w:val="0"/>
        <w:bidi w:val="0"/>
        <w:spacing w:line="440" w:lineRule="exact"/>
        <w:jc w:val="center"/>
        <w:rPr>
          <w:rFonts w:hint="default" w:ascii="Times New Roman" w:hAnsi="Times New Roman" w:eastAsia="黑体" w:cs="Times New Roman"/>
          <w:color w:val="auto"/>
          <w:sz w:val="36"/>
          <w:szCs w:val="36"/>
          <w:highlight w:val="none"/>
        </w:rPr>
      </w:pPr>
    </w:p>
    <w:p w14:paraId="071247D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86760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FD54645">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0A698C4">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33F2FFC">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297573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11540D3">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6F72ED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2A7417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投标人：</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w:t>
      </w:r>
      <w:r>
        <w:rPr>
          <w:rFonts w:hint="default" w:ascii="Times New Roman" w:hAnsi="Times New Roman" w:eastAsia="黑体" w:cs="Times New Roman"/>
          <w:color w:val="auto"/>
          <w:sz w:val="28"/>
          <w:szCs w:val="28"/>
          <w:highlight w:val="none"/>
          <w:lang w:eastAsia="zh-CN"/>
        </w:rPr>
        <w:t>盖单位电子印章</w:t>
      </w:r>
      <w:r>
        <w:rPr>
          <w:rFonts w:hint="default" w:ascii="Times New Roman" w:hAnsi="Times New Roman" w:eastAsia="黑体" w:cs="Times New Roman"/>
          <w:color w:val="auto"/>
          <w:sz w:val="28"/>
          <w:szCs w:val="28"/>
          <w:highlight w:val="none"/>
        </w:rPr>
        <w:t>）</w:t>
      </w:r>
    </w:p>
    <w:p w14:paraId="4F64EE06">
      <w:pPr>
        <w:pageBreakBefore w:val="0"/>
        <w:kinsoku/>
        <w:wordWrap w:val="0"/>
        <w:bidi w:val="0"/>
        <w:spacing w:line="440" w:lineRule="exact"/>
        <w:rPr>
          <w:rFonts w:hint="default" w:ascii="Times New Roman" w:hAnsi="Times New Roman" w:eastAsia="黑体" w:cs="Times New Roman"/>
          <w:color w:val="auto"/>
          <w:sz w:val="28"/>
          <w:szCs w:val="28"/>
          <w:highlight w:val="none"/>
        </w:rPr>
      </w:pPr>
    </w:p>
    <w:p w14:paraId="6E14B25A">
      <w:pPr>
        <w:pageBreakBefore w:val="0"/>
        <w:kinsoku/>
        <w:wordWrap w:val="0"/>
        <w:bidi w:val="0"/>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年</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月</w:t>
      </w:r>
      <w:r>
        <w:rPr>
          <w:rFonts w:hint="default" w:ascii="Times New Roman" w:hAnsi="Times New Roman" w:eastAsia="黑体" w:cs="Times New Roman"/>
          <w:color w:val="auto"/>
          <w:sz w:val="28"/>
          <w:szCs w:val="28"/>
          <w:highlight w:val="none"/>
          <w:u w:val="single"/>
        </w:rPr>
        <w:t xml:space="preserve">         </w:t>
      </w:r>
      <w:r>
        <w:rPr>
          <w:rFonts w:hint="default" w:ascii="Times New Roman" w:hAnsi="Times New Roman" w:eastAsia="黑体" w:cs="Times New Roman"/>
          <w:color w:val="auto"/>
          <w:sz w:val="28"/>
          <w:szCs w:val="28"/>
          <w:highlight w:val="none"/>
        </w:rPr>
        <w:t>日</w:t>
      </w:r>
    </w:p>
    <w:p w14:paraId="3EB6319F">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br w:type="page"/>
      </w:r>
    </w:p>
    <w:p w14:paraId="4D083798">
      <w:pPr>
        <w:pageBreakBefore w:val="0"/>
        <w:kinsoku/>
        <w:wordWrap w:val="0"/>
        <w:bidi w:val="0"/>
        <w:spacing w:line="440" w:lineRule="exact"/>
        <w:ind w:firstLine="140" w:firstLineChars="50"/>
        <w:jc w:val="center"/>
        <w:rPr>
          <w:rFonts w:hint="default" w:ascii="Times New Roman" w:hAnsi="Times New Roman" w:eastAsia="黑体" w:cs="Times New Roman"/>
          <w:color w:val="auto"/>
          <w:sz w:val="28"/>
          <w:szCs w:val="28"/>
          <w:highlight w:val="none"/>
        </w:rPr>
      </w:pPr>
    </w:p>
    <w:p w14:paraId="544FBB27">
      <w:pPr>
        <w:pageBreakBefore w:val="0"/>
        <w:kinsoku/>
        <w:wordWrap w:val="0"/>
        <w:bidi w:val="0"/>
        <w:spacing w:line="440" w:lineRule="exact"/>
        <w:ind w:firstLine="151" w:firstLineChars="50"/>
        <w:jc w:val="center"/>
        <w:rPr>
          <w:rFonts w:hint="default" w:ascii="Times New Roman" w:hAnsi="Times New Roman" w:eastAsia="黑体" w:cs="Times New Roman"/>
          <w:b/>
          <w:color w:val="auto"/>
          <w:sz w:val="30"/>
          <w:szCs w:val="30"/>
          <w:highlight w:val="none"/>
        </w:rPr>
      </w:pPr>
      <w:r>
        <w:rPr>
          <w:rFonts w:hint="default" w:ascii="Times New Roman" w:hAnsi="Times New Roman" w:eastAsia="黑体" w:cs="Times New Roman"/>
          <w:b/>
          <w:color w:val="auto"/>
          <w:sz w:val="30"/>
          <w:szCs w:val="30"/>
          <w:highlight w:val="none"/>
        </w:rPr>
        <w:t>目     录</w:t>
      </w:r>
    </w:p>
    <w:p w14:paraId="0EB30EF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C0E1049">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一、投标函</w:t>
      </w:r>
    </w:p>
    <w:p w14:paraId="6D164009">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二、已标价工程量清单</w:t>
      </w:r>
    </w:p>
    <w:p w14:paraId="5B048D72">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三、合同用款估算表</w:t>
      </w:r>
    </w:p>
    <w:p w14:paraId="50004866">
      <w:pPr>
        <w:pageBreakBefore w:val="0"/>
        <w:kinsoku/>
        <w:wordWrap w:val="0"/>
        <w:bidi w:val="0"/>
        <w:spacing w:line="440" w:lineRule="exact"/>
        <w:ind w:left="1619" w:leftChars="771" w:firstLine="1"/>
        <w:rPr>
          <w:rFonts w:hint="default" w:ascii="Times New Roman" w:hAnsi="Times New Roman" w:cs="Times New Roman"/>
          <w:color w:val="auto"/>
          <w:sz w:val="24"/>
          <w:highlight w:val="none"/>
        </w:rPr>
      </w:pPr>
    </w:p>
    <w:p w14:paraId="6B21FD38">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color w:val="auto"/>
          <w:sz w:val="20"/>
          <w:szCs w:val="20"/>
          <w:highlight w:val="none"/>
        </w:rPr>
      </w:pPr>
    </w:p>
    <w:p w14:paraId="4843641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2BD1DBE">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7B0FD10">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1F60BAB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6AA6AC7">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1211FAB">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0A25FFD2">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2446043F">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7298824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63853A2A">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3EA42C5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B866321">
      <w:pPr>
        <w:pageBreakBefore w:val="0"/>
        <w:kinsoku/>
        <w:wordWrap w:val="0"/>
        <w:bidi w:val="0"/>
        <w:spacing w:line="440" w:lineRule="exact"/>
        <w:rPr>
          <w:rFonts w:hint="default" w:ascii="Times New Roman" w:hAnsi="Times New Roman" w:eastAsia="黑体" w:cs="Times New Roman"/>
          <w:color w:val="auto"/>
          <w:sz w:val="20"/>
          <w:szCs w:val="20"/>
          <w:highlight w:val="none"/>
        </w:rPr>
      </w:pPr>
    </w:p>
    <w:p w14:paraId="4AB9FDEB">
      <w:pPr>
        <w:pageBreakBefore w:val="0"/>
        <w:kinsoku/>
        <w:wordWrap w:val="0"/>
        <w:bidi w:val="0"/>
        <w:spacing w:line="440" w:lineRule="exact"/>
        <w:rPr>
          <w:rFonts w:hint="default" w:ascii="Times New Roman" w:hAnsi="Times New Roman" w:eastAsia="黑体" w:cs="Times New Roman"/>
          <w:color w:val="auto"/>
          <w:sz w:val="20"/>
          <w:szCs w:val="20"/>
          <w:highlight w:val="none"/>
        </w:rPr>
      </w:pPr>
      <w:r>
        <w:rPr>
          <w:rFonts w:hint="default" w:ascii="Times New Roman" w:hAnsi="Times New Roman" w:eastAsia="黑体" w:cs="Times New Roman"/>
          <w:color w:val="auto"/>
          <w:sz w:val="20"/>
          <w:szCs w:val="20"/>
          <w:highlight w:val="none"/>
        </w:rPr>
        <w:br w:type="page"/>
      </w:r>
    </w:p>
    <w:p w14:paraId="4EBF799D">
      <w:pPr>
        <w:pStyle w:val="2"/>
        <w:pageBreakBefore w:val="0"/>
        <w:kinsoku/>
        <w:wordWrap w:val="0"/>
        <w:bidi w:val="0"/>
        <w:spacing w:before="0" w:after="0" w:line="400" w:lineRule="atLeast"/>
        <w:jc w:val="center"/>
        <w:outlineLvl w:val="1"/>
        <w:rPr>
          <w:rFonts w:hint="default" w:ascii="Times New Roman" w:hAnsi="Times New Roman" w:eastAsia="黑体" w:cs="Times New Roman"/>
          <w:b w:val="0"/>
          <w:color w:val="auto"/>
          <w:sz w:val="30"/>
          <w:szCs w:val="30"/>
          <w:highlight w:val="none"/>
        </w:rPr>
      </w:pPr>
      <w:bookmarkStart w:id="2025" w:name="_Toc13802"/>
      <w:bookmarkStart w:id="2026" w:name="_Toc9512"/>
      <w:bookmarkStart w:id="2027" w:name="_Toc29275"/>
      <w:r>
        <w:rPr>
          <w:rFonts w:hint="default" w:ascii="Times New Roman" w:hAnsi="Times New Roman" w:eastAsia="黑体" w:cs="Times New Roman"/>
          <w:b w:val="0"/>
          <w:color w:val="auto"/>
          <w:sz w:val="30"/>
          <w:szCs w:val="30"/>
          <w:highlight w:val="none"/>
        </w:rPr>
        <w:t>一、投标函</w:t>
      </w:r>
      <w:bookmarkEnd w:id="2025"/>
      <w:bookmarkEnd w:id="2026"/>
      <w:bookmarkEnd w:id="2027"/>
    </w:p>
    <w:p w14:paraId="7BEC6797">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color w:val="auto"/>
          <w:sz w:val="28"/>
          <w:szCs w:val="28"/>
          <w:highlight w:val="none"/>
        </w:rPr>
      </w:pPr>
    </w:p>
    <w:p w14:paraId="114E2F96">
      <w:pPr>
        <w:pageBreakBefore w:val="0"/>
        <w:kinsoku/>
        <w:wordWrap w:val="0"/>
        <w:bidi w:val="0"/>
        <w:spacing w:before="240" w:beforeLines="100" w:after="120" w:afterLines="50" w:line="400" w:lineRule="atLeas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（招标人名称）：</w:t>
      </w:r>
    </w:p>
    <w:p w14:paraId="7CA2557A">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1．我方已仔细研究</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（项目名称）</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标段名称</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施工招标文件的全部内容（含补遗书第___号至第___号），在考察工程现场后，愿意以人民币（大写）</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元（¥</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）的投标总报价（或根据招标文件规定修正核实后确定的另一金额，其中，增值税税率为</w:t>
      </w:r>
      <w:r>
        <w:rPr>
          <w:rFonts w:hint="default" w:ascii="Times New Roman" w:hAnsi="Times New Roman" w:eastAsia="黑体" w:cs="Times New Roman"/>
          <w:color w:val="auto"/>
          <w:sz w:val="24"/>
          <w:highlight w:val="none"/>
          <w:u w:val="single"/>
        </w:rPr>
        <w:t xml:space="preserve">         </w:t>
      </w:r>
      <w:r>
        <w:rPr>
          <w:rFonts w:hint="default" w:ascii="Times New Roman" w:hAnsi="Times New Roman" w:cs="Times New Roman"/>
          <w:color w:val="auto"/>
          <w:sz w:val="24"/>
          <w:highlight w:val="none"/>
        </w:rPr>
        <w:t>），按合同约定实施和完成承包工程，修补工程中的任何缺陷。</w:t>
      </w:r>
    </w:p>
    <w:p w14:paraId="1A4A95B7">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2．在合同协议书正式签署生效之前，本投标函连同你方的中标通知书将构成我们双方之间共同遵守的文件，对双方具有约束力。</w:t>
      </w:r>
    </w:p>
    <w:p w14:paraId="4F4751D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（其他补充说明）。</w:t>
      </w:r>
    </w:p>
    <w:p w14:paraId="086AB515">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p w14:paraId="78882A2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 标 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（盖单位</w:t>
      </w:r>
      <w:r>
        <w:rPr>
          <w:rFonts w:hint="default" w:ascii="Times New Roman" w:hAnsi="Times New Roman" w:cs="Times New Roman"/>
          <w:color w:val="auto"/>
          <w:sz w:val="24"/>
          <w:highlight w:val="none"/>
          <w:lang w:val="en-US" w:eastAsia="zh-CN"/>
        </w:rPr>
        <w:t>电子印</w:t>
      </w:r>
      <w:r>
        <w:rPr>
          <w:rFonts w:hint="default" w:ascii="Times New Roman" w:hAnsi="Times New Roman" w:cs="Times New Roman"/>
          <w:color w:val="auto"/>
          <w:sz w:val="24"/>
          <w:highlight w:val="none"/>
        </w:rPr>
        <w:t>章）</w:t>
      </w:r>
    </w:p>
    <w:p w14:paraId="3D52CB9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法定代表人或其委托代理人：</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（个人</w:t>
      </w:r>
      <w:r>
        <w:rPr>
          <w:rFonts w:hint="eastAsia" w:cs="Times New Roman"/>
          <w:color w:val="auto"/>
          <w:sz w:val="24"/>
          <w:highlight w:val="none"/>
          <w:lang w:eastAsia="zh-CN"/>
        </w:rPr>
        <w:t>电子签名</w:t>
      </w:r>
      <w:r>
        <w:rPr>
          <w:rFonts w:hint="default" w:ascii="Times New Roman" w:hAnsi="Times New Roman" w:cs="Times New Roman"/>
          <w:color w:val="auto"/>
          <w:sz w:val="24"/>
          <w:highlight w:val="none"/>
        </w:rPr>
        <w:t>或个人电子印章）</w:t>
      </w:r>
    </w:p>
    <w:p w14:paraId="6B784F3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    址：</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54E4302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网    址：</w:t>
      </w:r>
      <w:r>
        <w:rPr>
          <w:rFonts w:hint="default" w:ascii="Times New Roman" w:hAnsi="Times New Roman" w:cs="Times New Roman"/>
          <w:color w:val="auto"/>
          <w:sz w:val="24"/>
          <w:highlight w:val="none"/>
          <w:u w:val="single"/>
        </w:rPr>
        <w:t xml:space="preserve">                                     </w:t>
      </w:r>
    </w:p>
    <w:p w14:paraId="5978E4C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电    话：</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65412BD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传    真：</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 xml:space="preserve"> </w:t>
      </w:r>
    </w:p>
    <w:p w14:paraId="3BFC4A02">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邮政编码：</w:t>
      </w:r>
      <w:r>
        <w:rPr>
          <w:rFonts w:hint="default" w:ascii="Times New Roman" w:hAnsi="Times New Roman" w:cs="Times New Roman"/>
          <w:color w:val="auto"/>
          <w:sz w:val="24"/>
          <w:highlight w:val="none"/>
          <w:u w:val="single"/>
        </w:rPr>
        <w:t xml:space="preserve">                                  </w:t>
      </w:r>
    </w:p>
    <w:p w14:paraId="4F50FCB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color w:val="auto"/>
          <w:sz w:val="24"/>
          <w:highlight w:val="none"/>
        </w:rPr>
      </w:pPr>
    </w:p>
    <w:p w14:paraId="2A7F5289">
      <w:pPr>
        <w:pageBreakBefore w:val="0"/>
        <w:kinsoku/>
        <w:wordWrap w:val="0"/>
        <w:bidi w:val="0"/>
        <w:spacing w:line="400" w:lineRule="atLeast"/>
        <w:ind w:firstLine="4740" w:firstLineChars="1975"/>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u w:val="single"/>
        </w:rPr>
        <w:t xml:space="preserve">       </w:t>
      </w:r>
      <w:r>
        <w:rPr>
          <w:rFonts w:hint="default" w:ascii="Times New Roman" w:hAnsi="Times New Roman" w:cs="Times New Roman"/>
          <w:color w:val="auto"/>
          <w:sz w:val="24"/>
          <w:highlight w:val="none"/>
        </w:rPr>
        <w:t>日</w:t>
      </w:r>
      <w:r>
        <w:rPr>
          <w:rFonts w:hint="default" w:ascii="Times New Roman" w:hAnsi="Times New Roman" w:cs="Times New Roman"/>
          <w:color w:val="auto"/>
          <w:sz w:val="24"/>
          <w:highlight w:val="none"/>
        </w:rPr>
        <w:br w:type="page"/>
      </w:r>
    </w:p>
    <w:p w14:paraId="424CC64B">
      <w:pPr>
        <w:pStyle w:val="2"/>
        <w:pageBreakBefore w:val="0"/>
        <w:kinsoku/>
        <w:wordWrap w:val="0"/>
        <w:bidi w:val="0"/>
        <w:spacing w:before="360" w:beforeLines="150" w:after="240" w:afterLines="100" w:line="380" w:lineRule="atLeast"/>
        <w:jc w:val="center"/>
        <w:outlineLvl w:val="1"/>
        <w:rPr>
          <w:rFonts w:hint="default" w:ascii="Times New Roman" w:hAnsi="Times New Roman" w:eastAsia="黑体" w:cs="Times New Roman"/>
          <w:b w:val="0"/>
          <w:color w:val="auto"/>
          <w:sz w:val="28"/>
          <w:szCs w:val="28"/>
          <w:highlight w:val="none"/>
        </w:rPr>
      </w:pPr>
      <w:bookmarkStart w:id="2028" w:name="_Toc27163"/>
      <w:bookmarkStart w:id="2029" w:name="_Toc9477"/>
      <w:bookmarkStart w:id="2030" w:name="_Toc14806"/>
      <w:bookmarkStart w:id="2031" w:name="_Toc234833263"/>
      <w:r>
        <w:rPr>
          <w:rFonts w:hint="default" w:ascii="Times New Roman" w:hAnsi="Times New Roman" w:eastAsia="黑体" w:cs="Times New Roman"/>
          <w:b w:val="0"/>
          <w:color w:val="auto"/>
          <w:sz w:val="28"/>
          <w:szCs w:val="28"/>
          <w:highlight w:val="none"/>
        </w:rPr>
        <w:t>二、已标价工程量清单</w:t>
      </w:r>
      <w:bookmarkEnd w:id="2028"/>
      <w:bookmarkEnd w:id="2029"/>
      <w:bookmarkEnd w:id="2030"/>
      <w:bookmarkEnd w:id="2031"/>
    </w:p>
    <w:p w14:paraId="60F2955B">
      <w:pPr>
        <w:pageBreakBefore w:val="0"/>
        <w:kinsoku/>
        <w:wordWrap w:val="0"/>
        <w:bidi w:val="0"/>
        <w:spacing w:line="440" w:lineRule="exact"/>
        <w:rPr>
          <w:rFonts w:hint="default" w:ascii="Times New Roman" w:hAnsi="Times New Roman" w:eastAsia="黑体" w:cs="Times New Roman"/>
          <w:color w:val="auto"/>
          <w:sz w:val="24"/>
          <w:highlight w:val="none"/>
        </w:rPr>
      </w:pPr>
    </w:p>
    <w:p w14:paraId="5B31553D">
      <w:pPr>
        <w:pageBreakBefore w:val="0"/>
        <w:kinsoku/>
        <w:wordWrap w:val="0"/>
        <w:bidi w:val="0"/>
        <w:spacing w:line="44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投标人应按照第五章</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工程量清单</w:t>
      </w:r>
      <w:r>
        <w:rPr>
          <w:rFonts w:hint="eastAsia" w:ascii="宋体" w:hAnsi="宋体" w:eastAsia="宋体" w:cs="宋体"/>
          <w:color w:val="auto"/>
          <w:sz w:val="24"/>
          <w:highlight w:val="none"/>
        </w:rPr>
        <w:t>”</w:t>
      </w:r>
      <w:r>
        <w:rPr>
          <w:rFonts w:hint="default" w:ascii="Times New Roman" w:hAnsi="Times New Roman" w:cs="Times New Roman"/>
          <w:color w:val="auto"/>
          <w:sz w:val="24"/>
          <w:highlight w:val="none"/>
        </w:rPr>
        <w:t>的要求逐项填报工程量清单，包括工程量清单说明、投标报价说明、计日工说明、其他说明及工程量清单各项表格（工程量清单表5.1～表5.5）。</w:t>
      </w:r>
    </w:p>
    <w:p w14:paraId="65627B0A">
      <w:pPr>
        <w:pStyle w:val="2"/>
        <w:pageBreakBefore w:val="0"/>
        <w:kinsoku/>
        <w:wordWrap w:val="0"/>
        <w:bidi w:val="0"/>
        <w:spacing w:before="0" w:after="0" w:line="380" w:lineRule="atLeast"/>
        <w:jc w:val="center"/>
        <w:outlineLvl w:val="1"/>
        <w:rPr>
          <w:rFonts w:hint="default" w:ascii="Times New Roman" w:hAnsi="Times New Roman" w:eastAsia="黑体" w:cs="Times New Roman"/>
          <w:b w:val="0"/>
          <w:color w:val="auto"/>
          <w:sz w:val="28"/>
          <w:szCs w:val="28"/>
          <w:highlight w:val="none"/>
        </w:rPr>
      </w:pPr>
      <w:r>
        <w:rPr>
          <w:rFonts w:hint="default" w:ascii="Times New Roman" w:hAnsi="Times New Roman" w:eastAsia="黑体" w:cs="Times New Roman"/>
          <w:color w:val="auto"/>
          <w:sz w:val="24"/>
          <w:highlight w:val="none"/>
        </w:rPr>
        <w:br w:type="page"/>
      </w:r>
      <w:bookmarkStart w:id="2032" w:name="_Toc933"/>
      <w:bookmarkStart w:id="2033" w:name="_Toc6563"/>
      <w:bookmarkStart w:id="2034" w:name="_Toc25809"/>
      <w:bookmarkStart w:id="2035" w:name="_Toc234833274"/>
      <w:r>
        <w:rPr>
          <w:rFonts w:hint="default" w:ascii="Times New Roman" w:hAnsi="Times New Roman" w:eastAsia="黑体" w:cs="Times New Roman"/>
          <w:b w:val="0"/>
          <w:color w:val="auto"/>
          <w:sz w:val="28"/>
          <w:szCs w:val="28"/>
          <w:highlight w:val="none"/>
        </w:rPr>
        <w:t>三、合同用款估算表</w:t>
      </w:r>
      <w:bookmarkEnd w:id="2032"/>
      <w:bookmarkEnd w:id="2033"/>
      <w:bookmarkEnd w:id="2034"/>
      <w:bookmarkEnd w:id="2035"/>
    </w:p>
    <w:p w14:paraId="340808C7">
      <w:pPr>
        <w:pStyle w:val="80"/>
        <w:pageBreakBefore w:val="0"/>
        <w:kinsoku/>
        <w:wordWrap w:val="0"/>
        <w:bidi w:val="0"/>
        <w:snapToGrid w:val="0"/>
        <w:spacing w:before="0" w:after="0" w:line="400" w:lineRule="atLeast"/>
        <w:jc w:val="center"/>
        <w:rPr>
          <w:rFonts w:hint="default" w:ascii="Times New Roman" w:hAnsi="Times New Roman" w:cs="Times New Roman"/>
          <w:b w:val="0"/>
          <w:color w:val="auto"/>
          <w:highlight w:val="none"/>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569D5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1DBC750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从开工月算起的时间</w:t>
            </w:r>
          </w:p>
          <w:p w14:paraId="19A811D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w:t>
            </w:r>
          </w:p>
        </w:tc>
        <w:tc>
          <w:tcPr>
            <w:tcW w:w="6191" w:type="dxa"/>
            <w:gridSpan w:val="4"/>
            <w:tcBorders>
              <w:left w:val="single" w:color="auto" w:sz="6" w:space="0"/>
            </w:tcBorders>
            <w:noWrap w:val="0"/>
            <w:vAlign w:val="center"/>
          </w:tcPr>
          <w:p w14:paraId="2CF624B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投标人的估算</w:t>
            </w:r>
          </w:p>
        </w:tc>
      </w:tr>
      <w:tr w14:paraId="578B5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7483B5E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25C5624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     期</w:t>
            </w:r>
          </w:p>
        </w:tc>
        <w:tc>
          <w:tcPr>
            <w:tcW w:w="3096" w:type="dxa"/>
            <w:gridSpan w:val="2"/>
            <w:tcBorders>
              <w:left w:val="single" w:color="auto" w:sz="6" w:space="0"/>
            </w:tcBorders>
            <w:noWrap w:val="0"/>
            <w:vAlign w:val="center"/>
          </w:tcPr>
          <w:p w14:paraId="55CAD1C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累     计</w:t>
            </w:r>
          </w:p>
        </w:tc>
      </w:tr>
      <w:tr w14:paraId="6737A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0CDE2F9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tcBorders>
              <w:top w:val="single" w:color="auto" w:sz="6" w:space="0"/>
              <w:left w:val="single" w:color="auto" w:sz="6" w:space="0"/>
            </w:tcBorders>
            <w:noWrap w:val="0"/>
            <w:vAlign w:val="center"/>
          </w:tcPr>
          <w:p w14:paraId="4FE4B16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tcBorders>
              <w:top w:val="single" w:color="auto" w:sz="6" w:space="0"/>
            </w:tcBorders>
            <w:noWrap w:val="0"/>
            <w:vAlign w:val="center"/>
          </w:tcPr>
          <w:p w14:paraId="47963EE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8" w:type="dxa"/>
            <w:noWrap w:val="0"/>
            <w:vAlign w:val="center"/>
          </w:tcPr>
          <w:p w14:paraId="698693B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金额（元）</w:t>
            </w:r>
          </w:p>
        </w:tc>
        <w:tc>
          <w:tcPr>
            <w:tcW w:w="1548" w:type="dxa"/>
            <w:noWrap w:val="0"/>
            <w:vAlign w:val="center"/>
          </w:tcPr>
          <w:p w14:paraId="5E47288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360D9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301CD3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第一次开工预付款</w:t>
            </w:r>
          </w:p>
        </w:tc>
        <w:tc>
          <w:tcPr>
            <w:tcW w:w="1547" w:type="dxa"/>
            <w:noWrap w:val="0"/>
            <w:vAlign w:val="center"/>
          </w:tcPr>
          <w:p w14:paraId="3AE9744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0287AE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0F50F0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5520BE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63A11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AD23F3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 ~ 3</w:t>
            </w:r>
          </w:p>
        </w:tc>
        <w:tc>
          <w:tcPr>
            <w:tcW w:w="1547" w:type="dxa"/>
            <w:noWrap w:val="0"/>
            <w:vAlign w:val="center"/>
          </w:tcPr>
          <w:p w14:paraId="3452E63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B809F6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0A4DB4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D62463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C291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E8883A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 ~ 6</w:t>
            </w:r>
          </w:p>
        </w:tc>
        <w:tc>
          <w:tcPr>
            <w:tcW w:w="1547" w:type="dxa"/>
            <w:noWrap w:val="0"/>
            <w:vAlign w:val="center"/>
          </w:tcPr>
          <w:p w14:paraId="1AF090E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D2C375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6147E7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9B2EE9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97B3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A8863A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 ~ 9</w:t>
            </w:r>
          </w:p>
        </w:tc>
        <w:tc>
          <w:tcPr>
            <w:tcW w:w="1547" w:type="dxa"/>
            <w:noWrap w:val="0"/>
            <w:vAlign w:val="center"/>
          </w:tcPr>
          <w:p w14:paraId="2627D55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13742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11B729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434C35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1E6FD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5AA4F98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 ~ 12</w:t>
            </w:r>
          </w:p>
        </w:tc>
        <w:tc>
          <w:tcPr>
            <w:tcW w:w="1547" w:type="dxa"/>
            <w:noWrap w:val="0"/>
            <w:vAlign w:val="center"/>
          </w:tcPr>
          <w:p w14:paraId="2F03065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9E1457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4CC744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608289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599F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AFF7CA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13 ~ 15</w:t>
            </w:r>
          </w:p>
        </w:tc>
        <w:tc>
          <w:tcPr>
            <w:tcW w:w="1547" w:type="dxa"/>
            <w:noWrap w:val="0"/>
            <w:vAlign w:val="center"/>
          </w:tcPr>
          <w:p w14:paraId="3BA8991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9EB4A4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CBBE5FB">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296A95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D38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BA377B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0F162434">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822DDC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3C1A029">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EB7A437">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74FE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EF21E95">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47" w:type="dxa"/>
            <w:noWrap w:val="0"/>
            <w:vAlign w:val="center"/>
          </w:tcPr>
          <w:p w14:paraId="2469ACF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8EEE0D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0E849E3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A10AA2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3A647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E6DB55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7" w:type="dxa"/>
            <w:noWrap w:val="0"/>
            <w:vAlign w:val="center"/>
          </w:tcPr>
          <w:p w14:paraId="0D9117F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F462F5F">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694F08DA">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27C689A3">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51A24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290D430">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缺陷责任期</w:t>
            </w:r>
          </w:p>
        </w:tc>
        <w:tc>
          <w:tcPr>
            <w:tcW w:w="1547" w:type="dxa"/>
            <w:noWrap w:val="0"/>
            <w:vAlign w:val="center"/>
          </w:tcPr>
          <w:p w14:paraId="1F618A02">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379B8078">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78BB1D2D">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1FAED18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7BE5E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EB26D01">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小      计</w:t>
            </w:r>
          </w:p>
        </w:tc>
        <w:tc>
          <w:tcPr>
            <w:tcW w:w="1547" w:type="dxa"/>
            <w:noWrap w:val="0"/>
            <w:vAlign w:val="center"/>
          </w:tcPr>
          <w:p w14:paraId="3BF011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5339ACB6">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100.00</w:t>
            </w:r>
          </w:p>
        </w:tc>
        <w:tc>
          <w:tcPr>
            <w:tcW w:w="1548" w:type="dxa"/>
            <w:noWrap w:val="0"/>
            <w:vAlign w:val="center"/>
          </w:tcPr>
          <w:p w14:paraId="401FE4EE">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c>
          <w:tcPr>
            <w:tcW w:w="1548" w:type="dxa"/>
            <w:noWrap w:val="0"/>
            <w:vAlign w:val="center"/>
          </w:tcPr>
          <w:p w14:paraId="4AAED4CC">
            <w:pPr>
              <w:pageBreakBefore w:val="0"/>
              <w:kinsoku/>
              <w:wordWrap w:val="0"/>
              <w:bidi w:val="0"/>
              <w:snapToGrid w:val="0"/>
              <w:spacing w:before="60" w:beforeLines="25" w:after="60" w:afterLines="25" w:line="400" w:lineRule="atLeast"/>
              <w:jc w:val="center"/>
              <w:rPr>
                <w:rFonts w:hint="default" w:ascii="Times New Roman" w:hAnsi="Times New Roman" w:cs="Times New Roman"/>
                <w:color w:val="auto"/>
                <w:szCs w:val="21"/>
                <w:highlight w:val="none"/>
              </w:rPr>
            </w:pPr>
          </w:p>
        </w:tc>
      </w:tr>
      <w:tr w14:paraId="4080A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7B15BAFD">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投标价：</w:t>
            </w:r>
          </w:p>
        </w:tc>
      </w:tr>
      <w:tr w14:paraId="54BB5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53A034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说</w:t>
            </w:r>
          </w:p>
          <w:p w14:paraId="66C5997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23617CCE">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00334D16">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33EADB80">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明</w:t>
            </w:r>
          </w:p>
        </w:tc>
        <w:tc>
          <w:tcPr>
            <w:tcW w:w="8216" w:type="dxa"/>
            <w:gridSpan w:val="5"/>
            <w:noWrap w:val="0"/>
            <w:vAlign w:val="center"/>
          </w:tcPr>
          <w:p w14:paraId="2654650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19BDD4AF">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p w14:paraId="23961B21">
            <w:pPr>
              <w:pageBreakBefore w:val="0"/>
              <w:kinsoku/>
              <w:wordWrap w:val="0"/>
              <w:bidi w:val="0"/>
              <w:snapToGrid w:val="0"/>
              <w:spacing w:line="400" w:lineRule="atLeast"/>
              <w:jc w:val="center"/>
              <w:rPr>
                <w:rFonts w:hint="default" w:ascii="Times New Roman" w:hAnsi="Times New Roman" w:cs="Times New Roman"/>
                <w:color w:val="auto"/>
                <w:szCs w:val="21"/>
                <w:highlight w:val="none"/>
              </w:rPr>
            </w:pPr>
          </w:p>
        </w:tc>
      </w:tr>
    </w:tbl>
    <w:p w14:paraId="62D94483">
      <w:pPr>
        <w:pageBreakBefore w:val="0"/>
        <w:kinsoku/>
        <w:wordWrap w:val="0"/>
        <w:bidi w:val="0"/>
        <w:snapToGrid w:val="0"/>
        <w:spacing w:line="340" w:lineRule="atLeast"/>
        <w:ind w:left="894" w:leftChars="100" w:hanging="684" w:hangingChars="32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注：1.投标人可按工程进度估算并填写本表。</w:t>
      </w:r>
    </w:p>
    <w:p w14:paraId="69862944">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color w:val="auto"/>
          <w:szCs w:val="21"/>
          <w:highlight w:val="none"/>
        </w:rPr>
      </w:pPr>
      <w:r>
        <w:rPr>
          <w:rFonts w:hint="default" w:ascii="Times New Roman" w:hAnsi="Times New Roman" w:cs="Times New Roman"/>
          <w:color w:val="auto"/>
          <w:szCs w:val="21"/>
          <w:highlight w:val="none"/>
        </w:rPr>
        <w:t>2.用款额按所报单价和总额价估算，不包括价格调整和暂列金额、暂估价，但应考虑开工预付款的扣回以及签发付款证书后到实际支付的时间间隔。</w:t>
      </w:r>
    </w:p>
    <w:p w14:paraId="74ED0CFC">
      <w:pPr>
        <w:pageBreakBefore w:val="0"/>
        <w:kinsoku/>
        <w:wordWrap w:val="0"/>
        <w:bidi w:val="0"/>
        <w:spacing w:line="400" w:lineRule="atLeast"/>
        <w:ind w:firstLine="480" w:firstLineChars="200"/>
        <w:rPr>
          <w:rFonts w:hint="default" w:ascii="Times New Roman" w:hAnsi="Times New Roman" w:cs="Times New Roman"/>
          <w:color w:val="auto"/>
          <w:sz w:val="24"/>
          <w:highlight w:val="none"/>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2E902F-B1FA-44FC-97F0-A7F72C8B6217}"/>
  </w:font>
  <w:font w:name="黑体">
    <w:panose1 w:val="02010609060101010101"/>
    <w:charset w:val="86"/>
    <w:family w:val="auto"/>
    <w:pitch w:val="default"/>
    <w:sig w:usb0="800002BF" w:usb1="38CF7CFA" w:usb2="00000016" w:usb3="00000000" w:csb0="00040001" w:csb1="00000000"/>
    <w:embedRegular r:id="rId2" w:fontKey="{C6A6CC38-2EDD-45B5-B607-1352F28F46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04F48EAB-624F-42DD-9A44-AA54A1BDE2F1}"/>
  </w:font>
  <w:font w:name="Calibri">
    <w:panose1 w:val="020F0502020204030204"/>
    <w:charset w:val="00"/>
    <w:family w:val="swiss"/>
    <w:pitch w:val="default"/>
    <w:sig w:usb0="E4002EFF" w:usb1="C000247B" w:usb2="00000009" w:usb3="00000000" w:csb0="200001FF" w:csb1="00000000"/>
    <w:embedRegular r:id="rId4" w:fontKey="{932BC394-62EB-4D36-B060-13CA7EE9CBD9}"/>
  </w:font>
  <w:font w:name="仿宋_GB2312">
    <w:altName w:val="仿宋"/>
    <w:panose1 w:val="02010609030101010101"/>
    <w:charset w:val="86"/>
    <w:family w:val="modern"/>
    <w:pitch w:val="default"/>
    <w:sig w:usb0="00000000" w:usb1="00000000" w:usb2="00000000" w:usb3="00000000" w:csb0="00040000" w:csb1="00000000"/>
    <w:embedRegular r:id="rId5" w:fontKey="{B245F802-27DE-414F-9911-93CAAE92B481}"/>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6" w:fontKey="{40C87C17-BC89-485E-97D6-1B03A4D270D3}"/>
  </w:font>
  <w:font w:name="MS Gothic">
    <w:panose1 w:val="020B0609070205080204"/>
    <w:charset w:val="80"/>
    <w:family w:val="modern"/>
    <w:pitch w:val="default"/>
    <w:sig w:usb0="E00002FF" w:usb1="6AC7FDFB" w:usb2="08000012" w:usb3="00000000" w:csb0="4002009F" w:csb1="DFD70000"/>
    <w:embedRegular r:id="rId7" w:fontKey="{19C761A9-C833-4483-8B09-51478BD60AE2}"/>
  </w:font>
  <w:font w:name="宋体-18030">
    <w:altName w:val="宋体"/>
    <w:panose1 w:val="00000000000000000000"/>
    <w:charset w:val="86"/>
    <w:family w:val="modern"/>
    <w:pitch w:val="default"/>
    <w:sig w:usb0="00000000" w:usb1="00000000" w:usb2="000A005E" w:usb3="00000000" w:csb0="00040001" w:csb1="00000000"/>
    <w:embedRegular r:id="rId8" w:fontKey="{C9ED9DE2-432D-47A9-BF15-607D0102E71B}"/>
  </w:font>
  <w:font w:name="隶书">
    <w:panose1 w:val="02010509060101010101"/>
    <w:charset w:val="86"/>
    <w:family w:val="modern"/>
    <w:pitch w:val="default"/>
    <w:sig w:usb0="00000001" w:usb1="080E0000" w:usb2="00000000" w:usb3="00000000" w:csb0="00040000" w:csb1="00000000"/>
    <w:embedRegular r:id="rId9" w:fontKey="{2E68F86A-981C-4039-918C-86C8A4F1603D}"/>
  </w:font>
  <w:font w:name="华文隶书">
    <w:panose1 w:val="02010800040101010101"/>
    <w:charset w:val="86"/>
    <w:family w:val="auto"/>
    <w:pitch w:val="default"/>
    <w:sig w:usb0="00000001" w:usb1="080F0000" w:usb2="00000000" w:usb3="00000000" w:csb0="00040000" w:csb1="00000000"/>
    <w:embedRegular r:id="rId10" w:fontKey="{64AEB160-0BC8-460F-98CA-5681658A6564}"/>
  </w:font>
  <w:font w:name="宋体 ，Arial">
    <w:altName w:val="宋体"/>
    <w:panose1 w:val="00000000000000000000"/>
    <w:charset w:val="86"/>
    <w:family w:val="roman"/>
    <w:pitch w:val="default"/>
    <w:sig w:usb0="00000000" w:usb1="00000000" w:usb2="00000010" w:usb3="00000000" w:csb0="00040000" w:csb1="00000000"/>
    <w:embedRegular r:id="rId11" w:fontKey="{10E9BDF3-1296-4B4A-B7AD-532112C77D57}"/>
  </w:font>
  <w:font w:name="Roman">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embedRegular r:id="rId12" w:fontKey="{EF86047B-07DA-4B4E-AAB1-90649974DCD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0FBF9">
    <w:pPr>
      <w:pStyle w:val="26"/>
      <w:spacing w:line="240" w:lineRule="exact"/>
      <w:ind w:right="360" w:firstLine="360"/>
      <w:rPr>
        <w:rFonts w:hint="eastAsia" w:eastAsia="黑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C96B">
    <w:pPr>
      <w:pStyle w:val="26"/>
      <w:rPr>
        <w:rStyle w:val="43"/>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E243">
                          <w:pPr>
                            <w:pStyle w:val="2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B1E243">
                    <w:pPr>
                      <w:pStyle w:val="26"/>
                    </w:pPr>
                    <w:r>
                      <w:fldChar w:fldCharType="begin"/>
                    </w:r>
                    <w:r>
                      <w:instrText xml:space="preserve"> PAGE  \* MERGEFORMAT </w:instrText>
                    </w:r>
                    <w:r>
                      <w:fldChar w:fldCharType="separate"/>
                    </w:r>
                    <w:r>
                      <w:t>8</w:t>
                    </w:r>
                    <w:r>
                      <w:fldChar w:fldCharType="end"/>
                    </w:r>
                  </w:p>
                </w:txbxContent>
              </v:textbox>
            </v:shape>
          </w:pict>
        </mc:Fallback>
      </mc:AlternateContent>
    </w:r>
  </w:p>
  <w:p w14:paraId="0C974E7F">
    <w:pPr>
      <w:pStyle w:val="26"/>
      <w:spacing w:line="240" w:lineRule="exact"/>
      <w:ind w:right="360" w:firstLine="360"/>
      <w:jc w:val="center"/>
      <w:rPr>
        <w:rFonts w:hint="eastAsia" w:eastAsia="黑体"/>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EA72B">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9538E">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BD9538E">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933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15ED6">
                          <w:pPr>
                            <w:pStyle w:val="2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FC15ED6">
                    <w:pPr>
                      <w:pStyle w:val="2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BA98">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E9468">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E4E9468">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3118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4BD28">
                          <w:pPr>
                            <w:pStyle w:val="2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164BD28">
                    <w:pPr>
                      <w:pStyle w:val="2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407AD">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B4DAB">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EAB4DAB">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7631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F07D2">
                          <w:pPr>
                            <w:pStyle w:val="2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0FF07D2">
                    <w:pPr>
                      <w:pStyle w:val="2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B8F6A">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D8067">
                          <w:pPr>
                            <w:pStyle w:val="2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9BD8067">
                    <w:pPr>
                      <w:pStyle w:val="26"/>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35A1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B054F">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2BB054F">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9212">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6A48">
                          <w:pPr>
                            <w:pStyle w:val="26"/>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E36A48">
                    <w:pPr>
                      <w:pStyle w:val="26"/>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C90BB">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9FE7">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E5B32">
                          <w:pPr>
                            <w:pStyle w:val="26"/>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D8E5B32">
                    <w:pPr>
                      <w:pStyle w:val="26"/>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D8136">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88725">
                          <w:pPr>
                            <w:pStyle w:val="26"/>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8F88725">
                    <w:pPr>
                      <w:pStyle w:val="26"/>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9A7D8">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CDCB8">
                          <w:pPr>
                            <w:pStyle w:val="26"/>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BECDCB8">
                    <w:pPr>
                      <w:pStyle w:val="26"/>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B78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AC9C8">
                          <w:pPr>
                            <w:pStyle w:val="26"/>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45AC9C8">
                    <w:pPr>
                      <w:pStyle w:val="26"/>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1572">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267A2">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213267A2">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675E2">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72D60">
                          <w:pPr>
                            <w:pStyle w:val="26"/>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0572D60">
                    <w:pPr>
                      <w:pStyle w:val="2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B96A">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8E79">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D078E79">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3FB24">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C9E0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3C9E0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8AA99">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51484">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B851484">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E1736">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F459C">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34F459C">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716B">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04D18">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7D04D18">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C5B87">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D000D">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96D000D">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D34C">
    <w:pPr>
      <w:pStyle w:val="2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F7A1F">
                          <w:pPr>
                            <w:pStyle w:val="2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2DF7A1F">
                    <w:pPr>
                      <w:pStyle w:val="2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30">
    <w:p>
      <w:r>
        <w:separator/>
      </w:r>
    </w:p>
  </w:footnote>
  <w:footnote w:type="continuationSeparator" w:id="131">
    <w:p>
      <w:r>
        <w:continuationSeparator/>
      </w:r>
    </w:p>
  </w:footnote>
  <w:footnote w:id="0">
    <w:p w14:paraId="14B3F32A">
      <w:pPr>
        <w:pStyle w:val="30"/>
        <w:spacing w:line="300" w:lineRule="atLeast"/>
        <w:ind w:left="180" w:hanging="180" w:hangingChars="10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招标人可根据项目具体特点和实际需要对本章内容进行补充、细化，但应遵守有关法律法规、部门规章和行政规范性文件的规定。</w:t>
      </w:r>
    </w:p>
  </w:footnote>
  <w:footnote w:id="1">
    <w:p w14:paraId="000E0A2F">
      <w:pPr>
        <w:pStyle w:val="30"/>
        <w:spacing w:line="300" w:lineRule="atLeast"/>
        <w:ind w:left="180" w:hanging="180" w:hangingChars="100"/>
        <w:jc w:val="both"/>
        <w:rPr>
          <w:rFonts w:hint="eastAsia"/>
          <w:szCs w:val="18"/>
        </w:rPr>
      </w:pPr>
      <w:r>
        <w:rPr>
          <w:rStyle w:val="47"/>
        </w:rPr>
        <w:footnoteRef/>
      </w:r>
      <w:r>
        <w:t xml:space="preserve"> </w:t>
      </w:r>
      <w:r>
        <w:rPr>
          <w:rFonts w:hint="eastAsia"/>
          <w:szCs w:val="18"/>
        </w:rPr>
        <w:t>招标人应自招标文件开始发售之日起，将招标文件的关键内容上传至</w:t>
      </w:r>
      <w:r>
        <w:rPr>
          <w:rFonts w:hint="eastAsia"/>
          <w:szCs w:val="18"/>
          <w:lang w:val="en-US" w:eastAsia="zh-CN"/>
        </w:rPr>
        <w:t>电子交易平台和</w:t>
      </w:r>
      <w:r>
        <w:rPr>
          <w:rFonts w:hint="eastAsia"/>
          <w:szCs w:val="18"/>
        </w:rPr>
        <w:t>具有招标监督职责的交通运输主管部门政府网站，</w:t>
      </w:r>
      <w:r>
        <w:rPr>
          <w:rFonts w:hint="eastAsia"/>
          <w:szCs w:val="18"/>
          <w:lang w:val="en-US" w:eastAsia="zh-CN"/>
        </w:rPr>
        <w:t>公告</w:t>
      </w:r>
      <w:r>
        <w:rPr>
          <w:rFonts w:hint="eastAsia"/>
          <w:szCs w:val="18"/>
        </w:rPr>
        <w:t>内容</w:t>
      </w:r>
      <w:r>
        <w:rPr>
          <w:rFonts w:hint="eastAsia"/>
          <w:szCs w:val="18"/>
          <w:lang w:val="en-US" w:eastAsia="zh-CN"/>
        </w:rPr>
        <w:t>应当</w:t>
      </w:r>
      <w:r>
        <w:rPr>
          <w:rFonts w:hint="eastAsia"/>
          <w:szCs w:val="18"/>
        </w:rPr>
        <w:t>载明项目概况、投标人资格条件要求、评标办法、潜在投标人访问电子交易系统的网络地址和方法、异议受理联系人和招标监督部门投诉举报电话等信息，接受社会监督。招标人可将招标文件的关键内容全部载明在招标公告正文中，或作为招标公告的附件进行公开，或作为独立文件在网站上进行公开。</w:t>
      </w:r>
    </w:p>
  </w:footnote>
  <w:footnote w:id="2">
    <w:p w14:paraId="4F16DF5A">
      <w:pPr>
        <w:pStyle w:val="30"/>
        <w:snapToGrid/>
        <w:spacing w:line="300" w:lineRule="atLeast"/>
        <w:ind w:left="180" w:hanging="180" w:hangingChars="100"/>
        <w:jc w:val="both"/>
        <w:rPr>
          <w:rFonts w:hint="eastAsia"/>
          <w:szCs w:val="18"/>
        </w:rPr>
      </w:pPr>
      <w:r>
        <w:rPr>
          <w:rStyle w:val="47"/>
          <w:rFonts w:hint="eastAsia"/>
        </w:rPr>
        <w:footnoteRef/>
      </w:r>
      <w:r>
        <w:rPr>
          <w:rStyle w:val="47"/>
          <w:rFonts w:hint="eastAsia"/>
        </w:rPr>
        <w:t xml:space="preserve"> </w:t>
      </w:r>
      <w:r>
        <w:rPr>
          <w:rFonts w:hint="eastAsia"/>
          <w:szCs w:val="18"/>
        </w:rPr>
        <w:t>招标人不得在招投标过程中设置各类不合理限制和壁垒，不得存在</w:t>
      </w:r>
      <w:r>
        <w:rPr>
          <w:rFonts w:hint="eastAsia"/>
          <w:szCs w:val="18"/>
          <w:lang w:val="en-US" w:eastAsia="zh-CN"/>
        </w:rPr>
        <w:t>限制或变相限制符合准入条件的企业参与招投标采购活动</w:t>
      </w:r>
      <w:r>
        <w:rPr>
          <w:rFonts w:hint="eastAsia"/>
          <w:szCs w:val="18"/>
        </w:rPr>
        <w:t>。</w:t>
      </w:r>
    </w:p>
  </w:footnote>
  <w:footnote w:id="3">
    <w:p w14:paraId="41178275">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本段规定仅适用于</w:t>
      </w:r>
      <w:bookmarkStart w:id="2036" w:name="_Toc315861048"/>
      <w:bookmarkStart w:id="2037" w:name="_Toc411777490"/>
      <w:r>
        <w:rPr>
          <w:rFonts w:hint="eastAsia" w:ascii="Times New Roman" w:hAnsi="Times New Roman" w:eastAsia="宋体" w:cs="Times New Roman"/>
          <w:kern w:val="0"/>
          <w:sz w:val="18"/>
          <w:szCs w:val="18"/>
        </w:rPr>
        <w:t>根据《关于发布公路工程从业企业资质名录的通知》</w:t>
      </w:r>
      <w:bookmarkEnd w:id="2036"/>
      <w:bookmarkEnd w:id="2037"/>
      <w:r>
        <w:rPr>
          <w:rFonts w:hint="eastAsia" w:ascii="Times New Roman" w:hAnsi="Times New Roman" w:eastAsia="宋体" w:cs="Times New Roman"/>
          <w:kern w:val="0"/>
          <w:sz w:val="18"/>
          <w:szCs w:val="18"/>
        </w:rPr>
        <w:t>（厅公路字〔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w:t>
      </w:r>
      <w:r>
        <w:rPr>
          <w:rFonts w:hint="eastAsia" w:cs="Times New Roman"/>
          <w:kern w:val="0"/>
          <w:sz w:val="18"/>
          <w:szCs w:val="18"/>
          <w:lang w:val="en-US" w:eastAsia="zh-CN"/>
        </w:rPr>
        <w:t>不做要求</w:t>
      </w:r>
      <w:r>
        <w:rPr>
          <w:rFonts w:hint="eastAsia" w:ascii="Times New Roman" w:hAnsi="Times New Roman" w:eastAsia="宋体" w:cs="Times New Roman"/>
          <w:kern w:val="0"/>
          <w:sz w:val="18"/>
          <w:szCs w:val="18"/>
        </w:rPr>
        <w:t>。</w:t>
      </w:r>
    </w:p>
  </w:footnote>
  <w:footnote w:id="4">
    <w:p w14:paraId="6C27A4F9">
      <w:pPr>
        <w:pStyle w:val="30"/>
        <w:snapToGrid w:val="0"/>
        <w:ind w:firstLine="0"/>
        <w:rPr>
          <w:rFonts w:hint="eastAsia" w:eastAsia="宋体"/>
          <w:szCs w:val="18"/>
          <w:lang w:eastAsia="zh-CN"/>
        </w:rPr>
      </w:pPr>
      <w:r>
        <w:rPr>
          <w:rStyle w:val="47"/>
        </w:rPr>
        <w:footnoteRef/>
      </w:r>
      <w:r>
        <w:t xml:space="preserve"> </w:t>
      </w:r>
      <w:r>
        <w:rPr>
          <w:rFonts w:hint="eastAsia"/>
        </w:rPr>
        <w:t>施工招标项目存在多个同一类型专业工程和同等资格条件要求标段的，</w:t>
      </w:r>
      <w:r>
        <w:rPr>
          <w:rFonts w:hint="eastAsia"/>
          <w:lang w:val="en-US" w:eastAsia="zh-CN"/>
        </w:rPr>
        <w:t>推荐</w:t>
      </w:r>
      <w:r>
        <w:rPr>
          <w:rFonts w:hint="eastAsia"/>
        </w:rPr>
        <w:t>采用随机分配投标标段方式</w:t>
      </w:r>
      <w:r>
        <w:rPr>
          <w:rFonts w:hint="eastAsia"/>
          <w:lang w:eastAsia="zh-CN"/>
        </w:rPr>
        <w:t>，</w:t>
      </w:r>
      <w:r>
        <w:rPr>
          <w:rFonts w:hint="eastAsia"/>
          <w:szCs w:val="18"/>
        </w:rPr>
        <w:t>其他情况由招标人自行确定</w:t>
      </w:r>
      <w:r>
        <w:rPr>
          <w:rFonts w:hint="eastAsia"/>
          <w:szCs w:val="18"/>
          <w:lang w:eastAsia="zh-CN"/>
        </w:rPr>
        <w:t>。</w:t>
      </w:r>
    </w:p>
  </w:footnote>
  <w:footnote w:id="5">
    <w:p w14:paraId="4E7EA012">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49BB5295">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6">
    <w:p w14:paraId="19C8DCE5">
      <w:pPr>
        <w:pStyle w:val="30"/>
        <w:spacing w:line="280" w:lineRule="atLeast"/>
        <w:ind w:left="180" w:hanging="180" w:hangingChars="100"/>
        <w:rPr>
          <w:szCs w:val="18"/>
        </w:rPr>
      </w:pPr>
      <w:r>
        <w:rPr>
          <w:rStyle w:val="47"/>
          <w:szCs w:val="18"/>
        </w:rPr>
        <w:footnoteRef/>
      </w:r>
      <w:r>
        <w:rPr>
          <w:szCs w:val="18"/>
        </w:rPr>
        <w:t xml:space="preserve"> </w:t>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7">
    <w:p w14:paraId="528E6346">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8">
    <w:p w14:paraId="4A6D914E">
      <w:pPr>
        <w:pStyle w:val="30"/>
        <w:spacing w:line="320" w:lineRule="atLeast"/>
        <w:ind w:left="180" w:hanging="180" w:hangingChars="100"/>
        <w:rPr>
          <w:szCs w:val="18"/>
        </w:rPr>
      </w:pPr>
      <w:r>
        <w:rPr>
          <w:rStyle w:val="47"/>
          <w:szCs w:val="18"/>
        </w:rPr>
        <w:footnoteRef/>
      </w:r>
      <w:r>
        <w:rPr>
          <w:rFonts w:hint="eastAsia"/>
        </w:rPr>
        <w:t xml:space="preserve"> 招标人应当按照国家有关规定，在招标文件中明确</w:t>
      </w:r>
      <w:r>
        <w:rPr>
          <w:rFonts w:hint="eastAsia"/>
          <w:u w:val="none"/>
          <w:lang w:val="en-US" w:eastAsia="zh-CN"/>
        </w:rPr>
        <w:t>投标</w:t>
      </w:r>
      <w:r>
        <w:rPr>
          <w:rFonts w:hint="eastAsia"/>
        </w:rPr>
        <w:t>保证金收取比例。对于</w:t>
      </w:r>
      <w:r>
        <w:rPr>
          <w:rFonts w:hint="eastAsia"/>
          <w:lang w:eastAsia="zh-CN"/>
        </w:rPr>
        <w:t>最近年度</w:t>
      </w:r>
      <w:r>
        <w:rPr>
          <w:rFonts w:hint="eastAsia"/>
        </w:rPr>
        <w:t>信用等级AA的投标人，可给予减免投标保证金。</w:t>
      </w:r>
    </w:p>
  </w:footnote>
  <w:footnote w:id="9">
    <w:p w14:paraId="67167B4D">
      <w:pPr>
        <w:pStyle w:val="30"/>
        <w:spacing w:line="320" w:lineRule="atLeast"/>
        <w:ind w:left="180" w:hanging="180" w:hangingChars="100"/>
        <w:rPr>
          <w:szCs w:val="18"/>
        </w:rPr>
      </w:pPr>
      <w:r>
        <w:rPr>
          <w:rStyle w:val="47"/>
          <w:szCs w:val="18"/>
        </w:rPr>
        <w:footnoteRef/>
      </w:r>
      <w:r>
        <w:rPr>
          <w:rFonts w:hint="eastAsia"/>
        </w:rPr>
        <w:t xml:space="preserve"> 招标人不得强制限定投标保证金必须采用现金或支票方式缴纳，</w:t>
      </w:r>
      <w:r>
        <w:t>不得拒绝银行保函形式的投标保证金</w:t>
      </w:r>
      <w:r>
        <w:rPr>
          <w:rFonts w:hint="eastAsia"/>
        </w:rPr>
        <w:t>。</w:t>
      </w:r>
    </w:p>
  </w:footnote>
  <w:footnote w:id="10">
    <w:p w14:paraId="2E0AB82E">
      <w:pPr>
        <w:pStyle w:val="30"/>
        <w:spacing w:line="320" w:lineRule="atLeast"/>
        <w:ind w:left="180" w:hanging="210" w:hangingChars="100"/>
        <w:rPr>
          <w:rFonts w:hint="eastAsia"/>
          <w:szCs w:val="18"/>
        </w:rPr>
      </w:pPr>
      <w:r>
        <w:rPr>
          <w:rStyle w:val="47"/>
          <w:kern w:val="2"/>
          <w:sz w:val="21"/>
          <w:szCs w:val="18"/>
        </w:rPr>
        <w:footnoteRef/>
      </w:r>
      <w:r>
        <w:rPr>
          <w:szCs w:val="18"/>
        </w:rPr>
        <w:t xml:space="preserve"> </w:t>
      </w:r>
      <w:r>
        <w:rPr>
          <w:rFonts w:hint="eastAsia"/>
          <w:szCs w:val="18"/>
        </w:rPr>
        <w:t>存在多个同一类型专业工程和同等资格条件要求标段的，应当采用随机分配投标标段方式。</w:t>
      </w:r>
    </w:p>
  </w:footnote>
  <w:footnote w:id="11">
    <w:p w14:paraId="38012840">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12">
    <w:p w14:paraId="03848B5D">
      <w:pPr>
        <w:pStyle w:val="30"/>
        <w:snapToGrid/>
        <w:spacing w:line="320" w:lineRule="atLeast"/>
        <w:ind w:left="180" w:hanging="180" w:hangingChars="100"/>
        <w:rPr>
          <w:rFonts w:hint="eastAsia" w:eastAsia="宋体"/>
          <w:szCs w:val="18"/>
          <w:lang w:val="en-US" w:eastAsia="zh-CN"/>
        </w:rPr>
      </w:pPr>
      <w:r>
        <w:rPr>
          <w:rStyle w:val="47"/>
          <w:rFonts w:hint="eastAsia"/>
          <w:szCs w:val="18"/>
        </w:rPr>
        <w:footnoteRef/>
      </w:r>
      <w:r>
        <w:rPr>
          <w:rFonts w:hint="eastAsia"/>
          <w:szCs w:val="18"/>
        </w:rPr>
        <w:t xml:space="preserve"> </w:t>
      </w:r>
      <w:r>
        <w:rPr>
          <w:rFonts w:hint="eastAsia"/>
          <w:szCs w:val="18"/>
          <w:lang w:val="en-US" w:eastAsia="zh-CN"/>
        </w:rPr>
        <w:t>根据《国务院办公厅关于创新完善体制机制推动招标投标市场规范健康发展的意见》（国办发〔2024〕21号）规定，招标人应结合项目特点和需求，明确定标规则。</w:t>
      </w:r>
    </w:p>
  </w:footnote>
  <w:footnote w:id="13">
    <w:p w14:paraId="16715B85">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14">
    <w:p w14:paraId="0E393B44">
      <w:pPr>
        <w:pStyle w:val="30"/>
        <w:spacing w:line="320" w:lineRule="atLeast"/>
        <w:ind w:left="180" w:right="-229" w:rightChars="-109" w:hanging="210" w:hangingChars="100"/>
        <w:rPr>
          <w:szCs w:val="18"/>
        </w:rPr>
      </w:pPr>
      <w:r>
        <w:rPr>
          <w:rStyle w:val="47"/>
          <w:kern w:val="2"/>
          <w:sz w:val="21"/>
          <w:szCs w:val="18"/>
        </w:rPr>
        <w:footnoteRef/>
      </w:r>
      <w:r>
        <w:rPr>
          <w:rFonts w:hint="eastAsia"/>
        </w:rPr>
        <w:t xml:space="preserve"> 招标人应当按照国家有关规定，在招标文件中明确履约保证金收取比例，对于</w:t>
      </w:r>
      <w:r>
        <w:rPr>
          <w:rFonts w:hint="eastAsia"/>
          <w:lang w:eastAsia="zh-CN"/>
        </w:rPr>
        <w:t>最近年度</w:t>
      </w:r>
      <w:r>
        <w:rPr>
          <w:rFonts w:hint="eastAsia"/>
        </w:rPr>
        <w:t>信用等级为AA的中标人，可给予减少履约保证金。</w:t>
      </w:r>
    </w:p>
  </w:footnote>
  <w:footnote w:id="15">
    <w:p w14:paraId="31F71302">
      <w:pPr>
        <w:pStyle w:val="30"/>
        <w:snapToGrid w:val="0"/>
        <w:rPr>
          <w:rFonts w:hint="eastAsia" w:eastAsia="宋体"/>
          <w:lang w:eastAsia="zh-CN"/>
        </w:rPr>
      </w:pPr>
      <w:r>
        <w:rPr>
          <w:rStyle w:val="47"/>
        </w:rPr>
        <w:footnoteRef/>
      </w:r>
      <w:r>
        <w:t xml:space="preserve"> </w:t>
      </w:r>
      <w:r>
        <w:rPr>
          <w:rFonts w:hint="eastAsia"/>
          <w:lang w:val="en-US" w:eastAsia="zh-CN"/>
        </w:rPr>
        <w:t>仅适用于采用</w:t>
      </w:r>
      <w:r>
        <w:rPr>
          <w:rFonts w:hint="eastAsia"/>
        </w:rPr>
        <w:t>技术评分最低标价法、技术评分合理低价法和综合评分法</w:t>
      </w:r>
      <w:r>
        <w:rPr>
          <w:rFonts w:hint="eastAsia"/>
          <w:lang w:val="en-US" w:eastAsia="zh-CN"/>
        </w:rPr>
        <w:t>的项目</w:t>
      </w:r>
      <w:r>
        <w:rPr>
          <w:rFonts w:hint="eastAsia"/>
          <w:lang w:eastAsia="zh-CN"/>
        </w:rPr>
        <w:t>。</w:t>
      </w:r>
    </w:p>
  </w:footnote>
  <w:footnote w:id="16">
    <w:p w14:paraId="4E2204A8">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7">
    <w:p w14:paraId="470B11AB">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8">
    <w:p w14:paraId="16DFA409">
      <w:pPr>
        <w:pStyle w:val="30"/>
        <w:snapToGrid w:val="0"/>
        <w:ind w:firstLine="0"/>
      </w:pPr>
      <w:r>
        <w:rPr>
          <w:rStyle w:val="47"/>
          <w:kern w:val="2"/>
          <w:sz w:val="21"/>
          <w:szCs w:val="24"/>
        </w:rPr>
        <w:footnoteRef/>
      </w:r>
      <w:r>
        <w:t xml:space="preserve"> </w:t>
      </w:r>
      <w:r>
        <w:rPr>
          <w:rFonts w:hint="eastAsia"/>
          <w:lang w:val="en-US" w:eastAsia="zh-CN"/>
        </w:rPr>
        <w:t>企业资质等级</w:t>
      </w:r>
      <w:r>
        <w:rPr>
          <w:rFonts w:hint="eastAsia"/>
        </w:rPr>
        <w:t>应当严格按照从业资质管理相关规定，提出与招标项目相适应的资质最低条件，不得提高资质等级要求。</w:t>
      </w:r>
    </w:p>
  </w:footnote>
  <w:footnote w:id="19">
    <w:p w14:paraId="22A50FA7">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w:t>
      </w:r>
    </w:p>
  </w:footnote>
  <w:footnote w:id="20">
    <w:p w14:paraId="44B7512A">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21">
    <w:p w14:paraId="65FA4A97">
      <w:pPr>
        <w:pStyle w:val="30"/>
        <w:snapToGrid w:val="0"/>
        <w:ind w:firstLine="0"/>
        <w:rPr>
          <w:rFonts w:hint="default"/>
          <w:highlight w:val="yellow"/>
          <w:lang w:val="en-US" w:eastAsia="zh-CN"/>
        </w:rPr>
      </w:pPr>
      <w:r>
        <w:rPr>
          <w:rStyle w:val="47"/>
          <w:kern w:val="2"/>
          <w:sz w:val="21"/>
          <w:szCs w:val="24"/>
        </w:rPr>
        <w:footnoteRef/>
      </w:r>
      <w:r>
        <w:t xml:space="preserve"> </w:t>
      </w:r>
      <w:r>
        <w:rPr>
          <w:rFonts w:hint="eastAsia"/>
          <w:lang w:val="en-US" w:eastAsia="zh-CN"/>
        </w:rPr>
        <w:t>业绩量化指标不得超过项目标的规模。</w:t>
      </w:r>
    </w:p>
  </w:footnote>
  <w:footnote w:id="22">
    <w:p w14:paraId="5D7E8F18">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23">
    <w:p w14:paraId="123FEA7C">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24">
    <w:p w14:paraId="504F231F">
      <w:pPr>
        <w:pStyle w:val="30"/>
        <w:snapToGrid w:val="0"/>
        <w:ind w:firstLine="0"/>
      </w:pPr>
      <w:r>
        <w:rPr>
          <w:rStyle w:val="47"/>
        </w:rPr>
        <w:footnoteRef/>
      </w:r>
      <w:r>
        <w:t xml:space="preserve"> </w:t>
      </w:r>
      <w:r>
        <w:rPr>
          <w:rFonts w:hint="eastAsia"/>
        </w:rPr>
        <w:t>项目经理应当具有注册建造师证书，其专业和等级按照相关规定根据项目实际设置，招标人不得再另行设置相应等级技术职称要求</w:t>
      </w:r>
      <w:r>
        <w:rPr>
          <w:rFonts w:hint="eastAsia"/>
          <w:lang w:eastAsia="zh-CN"/>
        </w:rPr>
        <w:t>；</w:t>
      </w:r>
      <w:r>
        <w:rPr>
          <w:rFonts w:hint="eastAsia"/>
        </w:rPr>
        <w:t>项目经理应当具有相应安全生产考核合格证书。项目总工程师一般应当设置技术职称要求。主要人员业绩量化指标不得超过项目标的规模。</w:t>
      </w:r>
    </w:p>
  </w:footnote>
  <w:footnote w:id="25">
    <w:p w14:paraId="2DE2915F">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26">
    <w:p w14:paraId="06907887">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27">
    <w:p w14:paraId="3BC179B9">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号）要求，招标人应通过名录对投标人资质条件进行审核的公路施工企业；如前款文件中规定的资质已由省级相关部门负责审核、审批，则不做要求。</w:t>
      </w:r>
    </w:p>
  </w:footnote>
  <w:footnote w:id="28">
    <w:p w14:paraId="3B8EAA4D">
      <w:pPr>
        <w:spacing w:line="320" w:lineRule="atLeast"/>
        <w:ind w:left="180" w:hanging="180" w:hangingChars="100"/>
        <w:rPr>
          <w:rFonts w:ascii="Times New Roman" w:hAnsi="Times New Roman" w:eastAsia="宋体" w:cs="Times New Roman"/>
          <w:szCs w:val="18"/>
        </w:rPr>
      </w:pPr>
      <w:r>
        <w:rPr>
          <w:rStyle w:val="47"/>
          <w:rFonts w:ascii="Times New Roman" w:hAnsi="Times New Roman" w:eastAsia="宋体" w:cs="Times New Roman"/>
          <w:bCs/>
          <w:kern w:val="0"/>
          <w:sz w:val="18"/>
          <w:szCs w:val="20"/>
        </w:rPr>
        <w:footnoteRef/>
      </w:r>
      <w:r>
        <w:rPr>
          <w:rFonts w:hint="eastAsia" w:ascii="Times New Roman" w:hAnsi="Times New Roman" w:eastAsia="宋体" w:cs="Times New Roman"/>
          <w:szCs w:val="18"/>
        </w:rPr>
        <w:t xml:space="preserve"> </w:t>
      </w:r>
      <w:r>
        <w:rPr>
          <w:rFonts w:hint="eastAsia" w:ascii="Times New Roman" w:hAnsi="Times New Roman" w:eastAsia="宋体" w:cs="Times New Roman"/>
          <w:kern w:val="0"/>
          <w:sz w:val="18"/>
          <w:szCs w:val="18"/>
        </w:rPr>
        <w:t>本</w:t>
      </w:r>
      <w:r>
        <w:rPr>
          <w:rFonts w:hint="eastAsia" w:cs="Times New Roman"/>
          <w:kern w:val="0"/>
          <w:sz w:val="18"/>
          <w:szCs w:val="18"/>
          <w:lang w:val="en-US" w:eastAsia="zh-CN"/>
        </w:rPr>
        <w:t>项</w:t>
      </w:r>
      <w:r>
        <w:rPr>
          <w:rFonts w:hint="eastAsia" w:ascii="Times New Roman" w:hAnsi="Times New Roman" w:eastAsia="宋体" w:cs="Times New Roman"/>
          <w:kern w:val="0"/>
          <w:sz w:val="18"/>
          <w:szCs w:val="18"/>
        </w:rPr>
        <w:t>规定仅适用于根据《关于发布公路工程从业企业资质名录的通知》（厅公路字〔</w:t>
      </w:r>
      <w:r>
        <w:rPr>
          <w:rFonts w:ascii="Times New Roman" w:hAnsi="Times New Roman" w:eastAsia="宋体" w:cs="Times New Roman"/>
          <w:kern w:val="0"/>
          <w:sz w:val="18"/>
          <w:szCs w:val="18"/>
        </w:rPr>
        <w:t>2011</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114</w:t>
      </w:r>
      <w:r>
        <w:rPr>
          <w:rFonts w:hint="eastAsia" w:ascii="Times New Roman" w:hAnsi="Times New Roman" w:eastAsia="宋体" w:cs="Times New Roman"/>
          <w:kern w:val="0"/>
          <w:sz w:val="18"/>
          <w:szCs w:val="18"/>
        </w:rPr>
        <w:t>号）要求，招标人应通过名录对投标人资质条件进行审核</w:t>
      </w:r>
      <w:r>
        <w:rPr>
          <w:rFonts w:hint="eastAsia" w:ascii="Times New Roman" w:hAnsi="Times New Roman" w:eastAsia="宋体" w:cs="Times New Roman"/>
          <w:kern w:val="0"/>
          <w:sz w:val="18"/>
          <w:szCs w:val="18"/>
          <w:highlight w:val="none"/>
        </w:rPr>
        <w:t>的公路施工企</w:t>
      </w:r>
      <w:r>
        <w:rPr>
          <w:rFonts w:hint="eastAsia" w:ascii="Times New Roman" w:hAnsi="Times New Roman" w:eastAsia="宋体" w:cs="Times New Roman"/>
          <w:kern w:val="0"/>
          <w:sz w:val="18"/>
          <w:szCs w:val="18"/>
        </w:rPr>
        <w:t>业</w:t>
      </w:r>
      <w:r>
        <w:rPr>
          <w:rFonts w:hint="eastAsia" w:cs="Times New Roman"/>
          <w:kern w:val="0"/>
          <w:sz w:val="18"/>
          <w:szCs w:val="18"/>
          <w:lang w:eastAsia="zh-CN"/>
        </w:rPr>
        <w:t>；</w:t>
      </w:r>
      <w:r>
        <w:rPr>
          <w:rFonts w:hint="eastAsia" w:cs="Times New Roman"/>
          <w:kern w:val="0"/>
          <w:sz w:val="18"/>
          <w:szCs w:val="18"/>
          <w:lang w:val="en-US" w:eastAsia="zh-CN"/>
        </w:rPr>
        <w:t>如前款文件中规定的资质已由省级相关部门负责审核、审批，则投标人无需提供相应资质的网页截图</w:t>
      </w:r>
      <w:r>
        <w:rPr>
          <w:rFonts w:hint="eastAsia" w:ascii="Times New Roman" w:hAnsi="Times New Roman" w:eastAsia="宋体" w:cs="Times New Roman"/>
          <w:kern w:val="0"/>
          <w:sz w:val="18"/>
          <w:szCs w:val="18"/>
        </w:rPr>
        <w:t>。</w:t>
      </w:r>
    </w:p>
  </w:footnote>
  <w:footnote w:id="29">
    <w:p w14:paraId="697AAEE1">
      <w:pPr>
        <w:pStyle w:val="30"/>
        <w:snapToGrid w:val="0"/>
        <w:rPr>
          <w:rFonts w:hint="default" w:eastAsia="宋体"/>
          <w:lang w:val="en-US" w:eastAsia="zh-CN"/>
        </w:rPr>
      </w:pPr>
      <w:r>
        <w:rPr>
          <w:rStyle w:val="47"/>
        </w:rPr>
        <w:footnoteRef/>
      </w:r>
      <w:r>
        <w:t xml:space="preserve"> </w:t>
      </w:r>
      <w:r>
        <w:rPr>
          <w:rFonts w:hint="eastAsia"/>
          <w:lang w:val="en-US" w:eastAsia="zh-CN"/>
        </w:rPr>
        <w:t>G值详见评标办法。</w:t>
      </w:r>
    </w:p>
  </w:footnote>
  <w:footnote w:id="30">
    <w:p w14:paraId="306CDECF">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31">
    <w:p w14:paraId="0E294FEC">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投标人仅须在投标文件的澄清或说明上加盖CA数字证书中的单位章，或由法定代表人或其委托代理人的个人电子印章或电子签名</w:t>
      </w:r>
      <w:r>
        <w:rPr>
          <w:rFonts w:hint="eastAsia" w:hAnsi="宋体"/>
          <w:szCs w:val="18"/>
        </w:rPr>
        <w:t>。</w:t>
      </w:r>
    </w:p>
  </w:footnote>
  <w:footnote w:id="32">
    <w:p w14:paraId="15DCF42D">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33">
    <w:p w14:paraId="6891B6E4">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34">
    <w:p w14:paraId="2978CE7D">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35">
    <w:p w14:paraId="467E3D0F">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36">
    <w:p w14:paraId="2464E6E6">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szCs w:val="18"/>
        </w:rPr>
        <w:t>工程量清单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7">
    <w:p w14:paraId="18DFE744">
      <w:pPr>
        <w:pStyle w:val="30"/>
        <w:snapToGrid w:val="0"/>
      </w:pPr>
      <w:r>
        <w:rPr>
          <w:rStyle w:val="47"/>
        </w:rPr>
        <w:footnoteRef/>
      </w:r>
      <w:r>
        <w:t xml:space="preserve"> </w:t>
      </w:r>
      <w:r>
        <w:rPr>
          <w:rFonts w:hint="eastAsia"/>
          <w:lang w:val="en-US" w:eastAsia="zh-CN"/>
        </w:rPr>
        <w:t>本合同仅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合同可</w:t>
      </w:r>
      <w:r>
        <w:rPr>
          <w:rFonts w:hint="eastAsia"/>
        </w:rPr>
        <w:t>参照</w:t>
      </w:r>
      <w:r>
        <w:rPr>
          <w:rFonts w:hint="eastAsia"/>
          <w:lang w:val="en-US" w:eastAsia="zh-CN"/>
        </w:rPr>
        <w:t>执行。</w:t>
      </w:r>
    </w:p>
  </w:footnote>
  <w:footnote w:id="38">
    <w:p w14:paraId="0A9B8031">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39">
    <w:p w14:paraId="47560969">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40">
    <w:p w14:paraId="59B30A6B">
      <w:pPr>
        <w:pStyle w:val="30"/>
        <w:spacing w:line="300" w:lineRule="atLeast"/>
        <w:ind w:left="210" w:hanging="210"/>
        <w:rPr>
          <w:rFonts w:hint="eastAsia"/>
          <w:szCs w:val="18"/>
        </w:rPr>
      </w:pPr>
      <w:r>
        <w:rPr>
          <w:rStyle w:val="47"/>
          <w:szCs w:val="18"/>
        </w:rPr>
        <w:footnoteRef/>
      </w:r>
      <w:r>
        <w:rPr>
          <w:rFonts w:hint="eastAsia" w:hAnsi="Roman"/>
          <w:szCs w:val="18"/>
        </w:rPr>
        <w:t xml:space="preserve"> 缺陷责任期一般为自实际交工日期起计算</w:t>
      </w:r>
      <w:r>
        <w:rPr>
          <w:rFonts w:hint="eastAsia" w:hAnsi="Roman"/>
          <w:szCs w:val="18"/>
          <w:lang w:eastAsia="zh-CN"/>
        </w:rPr>
        <w:t>1</w:t>
      </w:r>
      <w:r>
        <w:rPr>
          <w:rFonts w:hint="eastAsia" w:hAnsi="Roman"/>
          <w:szCs w:val="18"/>
        </w:rPr>
        <w:t>年</w:t>
      </w:r>
      <w:r>
        <w:rPr>
          <w:rFonts w:hint="eastAsia" w:hAnsi="Roman"/>
          <w:szCs w:val="18"/>
          <w:lang w:eastAsia="zh-CN"/>
        </w:rPr>
        <w:t>，</w:t>
      </w:r>
      <w:r>
        <w:rPr>
          <w:rFonts w:hint="eastAsia" w:hAnsi="Roman"/>
          <w:szCs w:val="18"/>
        </w:rPr>
        <w:t>最长不超过</w:t>
      </w:r>
      <w:r>
        <w:rPr>
          <w:rFonts w:hint="eastAsia" w:hAnsi="Roman"/>
          <w:szCs w:val="18"/>
          <w:lang w:eastAsia="zh-CN"/>
        </w:rPr>
        <w:t>2年</w:t>
      </w:r>
      <w:r>
        <w:rPr>
          <w:rFonts w:hint="eastAsia" w:hAnsi="Roman"/>
          <w:szCs w:val="18"/>
        </w:rPr>
        <w:t>。</w:t>
      </w:r>
    </w:p>
  </w:footnote>
  <w:footnote w:id="41">
    <w:p w14:paraId="3D01E3A6">
      <w:pPr>
        <w:pStyle w:val="30"/>
        <w:spacing w:line="300" w:lineRule="atLeast"/>
        <w:ind w:left="210" w:hanging="210"/>
        <w:rPr>
          <w:rFonts w:hint="eastAsia"/>
          <w:szCs w:val="18"/>
        </w:rPr>
      </w:pPr>
      <w:r>
        <w:rPr>
          <w:rStyle w:val="47"/>
          <w:szCs w:val="18"/>
        </w:rPr>
        <w:footnoteRef/>
      </w:r>
      <w:r>
        <w:rPr>
          <w:rFonts w:hint="eastAsia" w:hAnsi="Roman"/>
          <w:szCs w:val="18"/>
        </w:rPr>
        <w:t xml:space="preserve"> </w:t>
      </w:r>
      <w:r>
        <w:rPr>
          <w:rFonts w:hAnsi="Roman"/>
          <w:szCs w:val="18"/>
        </w:rPr>
        <w:t>逾期交工违约金限额</w:t>
      </w:r>
      <w:r>
        <w:rPr>
          <w:rFonts w:hint="eastAsia" w:hAnsi="Roman"/>
          <w:szCs w:val="18"/>
        </w:rPr>
        <w:t>一般应为10</w:t>
      </w:r>
      <w:r>
        <w:rPr>
          <w:rFonts w:hAnsi="Roman"/>
          <w:szCs w:val="18"/>
        </w:rPr>
        <w:t>%签约合同价</w:t>
      </w:r>
      <w:r>
        <w:rPr>
          <w:rFonts w:hint="eastAsia" w:hAnsi="Roman"/>
          <w:szCs w:val="18"/>
        </w:rPr>
        <w:t>。</w:t>
      </w:r>
    </w:p>
  </w:footnote>
  <w:footnote w:id="42">
    <w:p w14:paraId="5BAFE167">
      <w:pPr>
        <w:pStyle w:val="30"/>
        <w:spacing w:line="280" w:lineRule="atLeast"/>
        <w:ind w:left="210" w:hanging="210"/>
        <w:rPr>
          <w:rFonts w:hint="eastAsia"/>
          <w:szCs w:val="18"/>
        </w:rPr>
      </w:pPr>
      <w:r>
        <w:rPr>
          <w:rStyle w:val="47"/>
          <w:szCs w:val="18"/>
        </w:rPr>
        <w:footnoteRef/>
      </w:r>
      <w:r>
        <w:rPr>
          <w:rFonts w:hint="eastAsia" w:hAnsi="Roman"/>
          <w:szCs w:val="18"/>
        </w:rPr>
        <w:t xml:space="preserve">  对于工程规模不大、工期较短的工程（例如工期不超过12个月的），可以不进行调价。</w:t>
      </w:r>
    </w:p>
  </w:footnote>
  <w:footnote w:id="43">
    <w:p w14:paraId="31455935">
      <w:pPr>
        <w:pStyle w:val="30"/>
        <w:spacing w:line="280" w:lineRule="atLeast"/>
        <w:ind w:left="210" w:hanging="210"/>
        <w:rPr>
          <w:rFonts w:hint="eastAsia"/>
          <w:szCs w:val="18"/>
        </w:rPr>
      </w:pPr>
      <w:r>
        <w:rPr>
          <w:rStyle w:val="47"/>
          <w:szCs w:val="18"/>
        </w:rPr>
        <w:footnoteRef/>
      </w:r>
      <w:r>
        <w:rPr>
          <w:szCs w:val="18"/>
        </w:rPr>
        <w:t xml:space="preserve"> </w:t>
      </w:r>
      <w:r>
        <w:rPr>
          <w:rFonts w:hint="eastAsia"/>
          <w:szCs w:val="18"/>
        </w:rPr>
        <w:t xml:space="preserve"> </w:t>
      </w:r>
      <w:r>
        <w:rPr>
          <w:rFonts w:hint="eastAsia" w:hAnsi="Roman"/>
          <w:szCs w:val="18"/>
        </w:rPr>
        <w:t>开工预付款金额一般应为10％签约合同价。</w:t>
      </w:r>
    </w:p>
  </w:footnote>
  <w:footnote w:id="44">
    <w:p w14:paraId="47E88392">
      <w:pPr>
        <w:pStyle w:val="30"/>
        <w:spacing w:line="280" w:lineRule="atLeast"/>
        <w:ind w:left="210" w:hanging="210"/>
        <w:rPr>
          <w:rFonts w:hint="eastAsia"/>
          <w:szCs w:val="18"/>
        </w:rPr>
      </w:pPr>
      <w:r>
        <w:rPr>
          <w:rStyle w:val="47"/>
          <w:szCs w:val="18"/>
        </w:rPr>
        <w:footnoteRef/>
      </w:r>
      <w:r>
        <w:rPr>
          <w:rFonts w:hint="eastAsia" w:hAnsi="Roman"/>
          <w:szCs w:val="18"/>
        </w:rPr>
        <w:t xml:space="preserve">  指主要材料，一般应为70%～75%，最低不少于60%。</w:t>
      </w:r>
    </w:p>
  </w:footnote>
  <w:footnote w:id="45">
    <w:p w14:paraId="610F8F46">
      <w:pPr>
        <w:pStyle w:val="30"/>
        <w:spacing w:line="280" w:lineRule="atLeast"/>
        <w:ind w:left="210" w:hanging="210"/>
        <w:rPr>
          <w:rFonts w:hint="eastAsia"/>
          <w:szCs w:val="18"/>
        </w:rPr>
      </w:pPr>
      <w:r>
        <w:rPr>
          <w:rStyle w:val="47"/>
          <w:szCs w:val="18"/>
        </w:rPr>
        <w:footnoteRef/>
      </w:r>
      <w:r>
        <w:rPr>
          <w:rFonts w:hint="eastAsia" w:hAnsi="Roman"/>
          <w:szCs w:val="18"/>
        </w:rPr>
        <w:t xml:space="preserve">  国际上一般按月平均支付额的0.3</w:t>
      </w:r>
      <w:r>
        <w:rPr>
          <w:rFonts w:hint="eastAsia" w:hAnsi="Roman"/>
          <w:szCs w:val="18"/>
        </w:rPr>
        <w:sym w:font="Symbol" w:char="F07E"/>
      </w:r>
      <w:r>
        <w:rPr>
          <w:rFonts w:hint="eastAsia" w:hAnsi="Roman"/>
          <w:szCs w:val="18"/>
        </w:rPr>
        <w:t>0.5倍计算，我国可按0.2</w:t>
      </w:r>
      <w:r>
        <w:rPr>
          <w:rFonts w:hint="eastAsia" w:hAnsi="Roman"/>
          <w:szCs w:val="18"/>
        </w:rPr>
        <w:sym w:font="Symbol" w:char="F07E"/>
      </w:r>
      <w:r>
        <w:rPr>
          <w:rFonts w:hAnsi="Roman"/>
          <w:szCs w:val="18"/>
        </w:rPr>
        <w:t>0.3倍</w:t>
      </w:r>
      <w:r>
        <w:rPr>
          <w:rFonts w:hint="eastAsia" w:hAnsi="Roman"/>
          <w:szCs w:val="18"/>
        </w:rPr>
        <w:t>计</w:t>
      </w:r>
      <w:r>
        <w:rPr>
          <w:rFonts w:hint="eastAsia" w:hAnsi="Roman"/>
          <w:szCs w:val="18"/>
          <w:lang w:eastAsia="zh-CN"/>
        </w:rPr>
        <w:t>，</w:t>
      </w:r>
      <w:r>
        <w:rPr>
          <w:rFonts w:hint="eastAsia" w:hAnsi="Roman"/>
          <w:szCs w:val="18"/>
        </w:rPr>
        <w:t>以利承包人资金周转。</w:t>
      </w:r>
    </w:p>
  </w:footnote>
  <w:footnote w:id="46">
    <w:p w14:paraId="18F578A1">
      <w:pPr>
        <w:pStyle w:val="30"/>
        <w:spacing w:line="280" w:lineRule="atLeast"/>
        <w:ind w:left="210" w:hanging="210"/>
        <w:rPr>
          <w:rFonts w:hint="eastAsia"/>
          <w:szCs w:val="18"/>
        </w:rPr>
      </w:pPr>
      <w:r>
        <w:rPr>
          <w:rStyle w:val="47"/>
          <w:szCs w:val="18"/>
        </w:rPr>
        <w:footnoteRef/>
      </w:r>
      <w:r>
        <w:rPr>
          <w:rFonts w:hint="eastAsia" w:hAnsi="Roman"/>
          <w:szCs w:val="18"/>
        </w:rPr>
        <w:t xml:space="preserve">  相当于中国人民银行短期贷款利率加手续费。招标人不能自行取消本项内容或降低利率。</w:t>
      </w:r>
    </w:p>
  </w:footnote>
  <w:footnote w:id="47">
    <w:p w14:paraId="49BAD4BA">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w:t>
      </w:r>
      <w:r>
        <w:rPr>
          <w:rFonts w:hint="eastAsia"/>
          <w:lang w:eastAsia="zh-CN"/>
        </w:rPr>
        <w:t>、招标项目具体特点和实际需要</w:t>
      </w:r>
      <w:r>
        <w:rPr>
          <w:rFonts w:hint="eastAsia"/>
        </w:rPr>
        <w:t>对项目专用合同条款进行补充、细化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48">
    <w:p w14:paraId="7AA3231E">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68D58D99">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49">
    <w:p w14:paraId="7F449AE8">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093AA926">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621D0745">
      <w:pPr>
        <w:pStyle w:val="30"/>
        <w:ind w:left="210" w:hanging="210"/>
        <w:rPr>
          <w:rFonts w:hint="eastAsia"/>
          <w:sz w:val="21"/>
          <w:szCs w:val="21"/>
        </w:rPr>
      </w:pPr>
    </w:p>
  </w:footnote>
  <w:footnote w:id="50">
    <w:p w14:paraId="5F77C787">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51">
    <w:p w14:paraId="4A7CFD37">
      <w:pPr>
        <w:pStyle w:val="30"/>
        <w:snapToGrid w:val="0"/>
      </w:pPr>
      <w:r>
        <w:rPr>
          <w:rStyle w:val="47"/>
          <w:kern w:val="2"/>
          <w:sz w:val="21"/>
          <w:szCs w:val="24"/>
        </w:rPr>
        <w:footnoteRef/>
      </w:r>
      <w:r>
        <w:t xml:space="preserve"> </w:t>
      </w:r>
      <w:r>
        <w:rPr>
          <w:rFonts w:hint="eastAsia"/>
          <w:lang w:val="en-US" w:eastAsia="zh-CN"/>
        </w:rPr>
        <w:t>本工程量清单仅</w:t>
      </w:r>
      <w:r>
        <w:rPr>
          <w:rFonts w:hint="eastAsia"/>
        </w:rPr>
        <w:t>适用</w:t>
      </w:r>
      <w:r>
        <w:rPr>
          <w:rFonts w:hint="eastAsia"/>
          <w:lang w:val="en-US" w:eastAsia="zh-CN"/>
        </w:rPr>
        <w:t>于</w:t>
      </w:r>
      <w:r>
        <w:rPr>
          <w:rFonts w:hint="eastAsia"/>
        </w:rPr>
        <w:t>建设项目，养护工程项目</w:t>
      </w:r>
      <w:r>
        <w:rPr>
          <w:rFonts w:hint="eastAsia"/>
          <w:lang w:eastAsia="zh-CN"/>
        </w:rPr>
        <w:t>的</w:t>
      </w:r>
      <w:r>
        <w:rPr>
          <w:rFonts w:hint="eastAsia"/>
          <w:lang w:val="en-US" w:eastAsia="zh-CN"/>
        </w:rPr>
        <w:t>工程量清单应</w:t>
      </w:r>
      <w:r>
        <w:rPr>
          <w:rFonts w:hint="eastAsia"/>
        </w:rPr>
        <w:t>参照</w:t>
      </w:r>
      <w:r>
        <w:rPr>
          <w:rFonts w:hint="eastAsia"/>
          <w:lang w:val="en-US" w:eastAsia="zh-CN"/>
        </w:rPr>
        <w:t>执行</w:t>
      </w:r>
    </w:p>
  </w:footnote>
  <w:footnote w:id="52">
    <w:p w14:paraId="126D06F2">
      <w:pPr>
        <w:pStyle w:val="30"/>
        <w:ind w:left="210" w:hanging="210"/>
        <w:rPr>
          <w:rFonts w:hint="eastAsia"/>
          <w:lang w:eastAsia="zh-CN"/>
        </w:rPr>
      </w:pPr>
      <w:r>
        <w:rPr>
          <w:rStyle w:val="47"/>
        </w:rPr>
        <w:footnoteRef/>
      </w:r>
      <w:r>
        <w:t xml:space="preserve"> </w:t>
      </w:r>
      <w:r>
        <w:rPr>
          <w:rFonts w:hint="eastAsia"/>
          <w:lang w:eastAsia="zh-CN"/>
        </w:rPr>
        <w:t>暂列金额的设置不宜超过工程量清单</w:t>
      </w:r>
      <w:r>
        <w:rPr>
          <w:szCs w:val="21"/>
        </w:rPr>
        <w:t>第100章</w:t>
      </w:r>
      <w:r>
        <w:rPr>
          <w:rFonts w:hint="eastAsia"/>
          <w:szCs w:val="21"/>
          <w:lang w:eastAsia="zh-CN"/>
        </w:rPr>
        <w:t>~</w:t>
      </w:r>
      <w:r>
        <w:rPr>
          <w:szCs w:val="21"/>
        </w:rPr>
        <w:t>700章合计金额的</w:t>
      </w:r>
      <w:r>
        <w:rPr>
          <w:rFonts w:hint="eastAsia"/>
          <w:szCs w:val="21"/>
          <w:lang w:eastAsia="zh-CN"/>
        </w:rPr>
        <w:t>3%。</w:t>
      </w:r>
    </w:p>
  </w:footnote>
  <w:footnote w:id="53">
    <w:p w14:paraId="6633A2D5">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w:t>
      </w:r>
      <w:r>
        <w:rPr>
          <w:rFonts w:hint="eastAsia" w:cs="Times New Roman"/>
          <w:kern w:val="0"/>
          <w:sz w:val="18"/>
          <w:szCs w:val="20"/>
          <w:lang w:val="en-US" w:eastAsia="zh-CN" w:bidi="ar-SA"/>
        </w:rPr>
        <w:t>二</w:t>
      </w:r>
      <w:r>
        <w:rPr>
          <w:rFonts w:hint="eastAsia" w:ascii="Times New Roman" w:hAnsi="Times New Roman" w:eastAsia="宋体" w:cs="Times New Roman"/>
          <w:kern w:val="0"/>
          <w:sz w:val="18"/>
          <w:szCs w:val="20"/>
          <w:lang w:val="en-US" w:eastAsia="zh-CN" w:bidi="ar-SA"/>
        </w:rPr>
        <w:t>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 技术规范”、“第八章 工程量清单计量规则”中相关规定，根据项目特点和实际情况进行编制，向投标人免费提供下载。</w:t>
      </w:r>
    </w:p>
  </w:footnote>
  <w:footnote w:id="54">
    <w:p w14:paraId="10BF0FCB">
      <w:pPr>
        <w:widowControl w:val="0"/>
        <w:adjustRightInd w:val="0"/>
        <w:snapToGrid w:val="0"/>
        <w:spacing w:line="240" w:lineRule="auto"/>
        <w:ind w:left="126" w:hanging="147" w:hangingChars="70"/>
        <w:jc w:val="both"/>
        <w:textAlignment w:val="baseline"/>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详见《公路工程标准施工招标文件》（2018年版第三册），</w:t>
      </w:r>
      <w:r>
        <w:rPr>
          <w:rFonts w:ascii="Times New Roman" w:hAnsi="Times New Roman" w:eastAsia="宋体" w:cs="Times New Roman"/>
          <w:kern w:val="0"/>
          <w:sz w:val="18"/>
          <w:szCs w:val="20"/>
          <w:lang w:val="en-US" w:eastAsia="zh-CN" w:bidi="ar-SA"/>
        </w:rPr>
        <w:t>招标人或</w:t>
      </w:r>
      <w:r>
        <w:rPr>
          <w:rFonts w:hint="eastAsia" w:ascii="Times New Roman" w:hAnsi="Times New Roman" w:eastAsia="宋体" w:cs="Times New Roman"/>
          <w:kern w:val="0"/>
          <w:sz w:val="18"/>
          <w:szCs w:val="20"/>
          <w:lang w:val="en-US" w:eastAsia="zh-CN" w:bidi="ar-SA"/>
        </w:rPr>
        <w:t>招标人</w:t>
      </w:r>
      <w:r>
        <w:rPr>
          <w:rFonts w:ascii="Times New Roman" w:hAnsi="Times New Roman" w:eastAsia="宋体" w:cs="Times New Roman"/>
          <w:kern w:val="0"/>
          <w:sz w:val="18"/>
          <w:szCs w:val="20"/>
          <w:lang w:val="en-US" w:eastAsia="zh-CN" w:bidi="ar-SA"/>
        </w:rPr>
        <w:t>委托的</w:t>
      </w:r>
      <w:r>
        <w:rPr>
          <w:rFonts w:hint="eastAsia" w:ascii="Times New Roman" w:hAnsi="Times New Roman" w:eastAsia="宋体" w:cs="Times New Roman"/>
          <w:kern w:val="0"/>
          <w:sz w:val="18"/>
          <w:szCs w:val="20"/>
          <w:lang w:val="en-US" w:eastAsia="zh-CN" w:bidi="ar-SA"/>
        </w:rPr>
        <w:t>咨询</w:t>
      </w:r>
      <w:r>
        <w:rPr>
          <w:rFonts w:ascii="Times New Roman" w:hAnsi="Times New Roman" w:eastAsia="宋体" w:cs="Times New Roman"/>
          <w:kern w:val="0"/>
          <w:sz w:val="18"/>
          <w:szCs w:val="20"/>
          <w:lang w:val="en-US" w:eastAsia="zh-CN" w:bidi="ar-SA"/>
        </w:rPr>
        <w:t>单位</w:t>
      </w:r>
      <w:r>
        <w:rPr>
          <w:rFonts w:hint="eastAsia" w:ascii="Times New Roman" w:hAnsi="Times New Roman" w:eastAsia="宋体" w:cs="Times New Roman"/>
          <w:kern w:val="0"/>
          <w:sz w:val="18"/>
          <w:szCs w:val="20"/>
          <w:lang w:val="en-US" w:eastAsia="zh-CN" w:bidi="ar-SA"/>
        </w:rPr>
        <w:t>可</w:t>
      </w:r>
      <w:r>
        <w:rPr>
          <w:rFonts w:ascii="Times New Roman" w:hAnsi="Times New Roman" w:eastAsia="宋体" w:cs="Times New Roman"/>
          <w:kern w:val="0"/>
          <w:sz w:val="18"/>
          <w:szCs w:val="20"/>
          <w:lang w:val="en-US" w:eastAsia="zh-CN" w:bidi="ar-SA"/>
        </w:rPr>
        <w:t>依据招标图纸文件，按照交通运输部《公路工程标准施工招标文件》“第七章 技术规范”、“第八章 工程量清单计量规则”中相关规定，根据项目特点和实际情况进行编制，向投标人免费提供下载。</w:t>
      </w:r>
    </w:p>
  </w:footnote>
  <w:footnote w:id="55">
    <w:p w14:paraId="5D52AF59">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56">
    <w:p w14:paraId="1EFD6949">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57">
    <w:p w14:paraId="5DF9C02F">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58">
    <w:p w14:paraId="7B03FED2">
      <w:pPr>
        <w:pStyle w:val="30"/>
        <w:snapToGrid w:val="0"/>
        <w:ind w:firstLine="0"/>
        <w:rPr>
          <w:rFonts w:hint="default" w:eastAsia="宋体"/>
          <w:lang w:val="en-US" w:eastAsia="zh-CN"/>
        </w:rPr>
      </w:pPr>
      <w:r>
        <w:rPr>
          <w:rStyle w:val="47"/>
        </w:rPr>
        <w:footnoteRef/>
      </w:r>
      <w:r>
        <w:t xml:space="preserve"> </w:t>
      </w:r>
      <w:r>
        <w:rPr>
          <w:rFonts w:hint="eastAsia"/>
          <w:lang w:val="en-US" w:eastAsia="zh-CN"/>
        </w:rPr>
        <w:t>牵头人承担施工的份额不得低于联合体其他成员。</w:t>
      </w:r>
    </w:p>
  </w:footnote>
  <w:footnote w:id="59">
    <w:p w14:paraId="75988817">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60">
    <w:p w14:paraId="7B05DDBF">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61">
    <w:p w14:paraId="0EB27F2C">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62">
    <w:p w14:paraId="584722E4">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63">
    <w:p w14:paraId="1D02DD29">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64">
    <w:p w14:paraId="164982FA">
      <w:pPr>
        <w:widowControl w:val="0"/>
        <w:adjustRightInd w:val="0"/>
        <w:snapToGrid w:val="0"/>
        <w:spacing w:line="420" w:lineRule="atLeast"/>
        <w:ind w:firstLine="454"/>
        <w:jc w:val="left"/>
        <w:textAlignment w:val="baseline"/>
        <w:rPr>
          <w:rFonts w:hint="default"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zh-CN" w:eastAsia="zh-CN" w:bidi="ar-SA"/>
        </w:rPr>
        <w:t xml:space="preserve"> </w:t>
      </w:r>
      <w:r>
        <w:rPr>
          <w:rFonts w:hint="eastAsia" w:ascii="Times New Roman" w:hAnsi="Times New Roman" w:eastAsia="宋体" w:cs="Times New Roman"/>
          <w:kern w:val="0"/>
          <w:sz w:val="18"/>
          <w:szCs w:val="20"/>
          <w:lang w:val="en-US" w:eastAsia="zh-CN" w:bidi="ar-SA"/>
        </w:rPr>
        <w:t>若本次招标接受联合体投标，以联合体形式参与投标的投标人，联合体各成员应分别填写信息。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03D8A">
    <w:pPr>
      <w:pStyle w:val="27"/>
      <w:pBdr>
        <w:bottom w:val="none" w:color="auto" w:sz="0" w:space="0"/>
      </w:pBdr>
      <w:tabs>
        <w:tab w:val="left" w:pos="464"/>
        <w:tab w:val="center" w:pos="4397"/>
        <w:tab w:val="right" w:pos="8675"/>
        <w:tab w:val="clear" w:pos="8306"/>
      </w:tabs>
      <w:jc w:val="left"/>
      <w:rPr>
        <w:u w:val="single"/>
      </w:rPr>
    </w:pPr>
    <w:r>
      <w:rPr>
        <w:rFonts w:hint="eastAsia" w:eastAsia="黑体" w:cs="Times New Roman"/>
        <w:sz w:val="20"/>
        <w:szCs w:val="21"/>
        <w:u w:val="single"/>
        <w:lang w:eastAsia="zh-CN"/>
      </w:rPr>
      <w:t>辽宁省公路工程标准施工电子招标文件（2025年版）</w:t>
    </w:r>
    <w:r>
      <w:rPr>
        <w:rFonts w:hint="eastAsia" w:eastAsia="黑体" w:cs="Times New Roman"/>
        <w:sz w:val="20"/>
        <w:szCs w:val="21"/>
        <w:u w:val="single"/>
        <w:lang w:eastAsia="zh-C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6FBA3">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3C958F20">
    <w:pPr>
      <w:pStyle w:val="2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E12C2">
    <w:pPr>
      <w:pStyle w:val="27"/>
      <w:jc w:val="left"/>
      <w:rPr>
        <w:rFonts w:hint="eastAsia" w:eastAsia="宋体"/>
        <w:u w:val="single"/>
        <w:lang w:eastAsia="zh-CN"/>
      </w:rPr>
    </w:pPr>
    <w:r>
      <w:rPr>
        <w:rFonts w:hint="eastAsia" w:eastAsia="黑体" w:cs="Times New Roman"/>
        <w:sz w:val="20"/>
        <w:szCs w:val="21"/>
        <w:u w:val="single"/>
        <w:lang w:eastAsia="zh-CN"/>
      </w:rPr>
      <w:t>辽宁省公路工程标准施工电子招标文件（2025年版）</w:t>
    </w:r>
  </w:p>
  <w:p w14:paraId="63835BE4">
    <w:pPr>
      <w:pStyle w:val="27"/>
      <w:rPr>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72F1">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28B51BF8">
    <w:pPr>
      <w:pStyle w:val="27"/>
    </w:pPr>
  </w:p>
  <w:p w14:paraId="4C11D0E5">
    <w:pPr>
      <w:pStyle w:val="27"/>
      <w:rPr>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EA5F0">
    <w:pPr>
      <w:pStyle w:val="27"/>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5A163">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81792"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28" name="任意多边形 28"/>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81792;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R9XGUQ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WPF3ZAAAADAEAAA8AAAAAAAAA&#10;AQAgAAAAIgAAAGRycy9kb3ducmV2LnhtbFBLAQIUABQAAAAIAIdO4kD0fVxlEAIAAHsEAAAOAAAA&#10;AAAAAAEAIAAAACgBAABkcnMvZTJvRG9jLnhtbFBLBQYAAAAABgAGAFkBAACqBQ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FEE12">
    <w:pPr>
      <w:pStyle w:val="27"/>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76ADA">
    <w:pPr>
      <w:pStyle w:val="27"/>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EC098">
    <w:pPr>
      <w:pStyle w:val="27"/>
      <w:pBdr>
        <w:bottom w:val="single" w:color="auto" w:sz="4" w:space="0"/>
      </w:pBdr>
      <w:wordWrap/>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E9C3">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03F4DB4A">
    <w:pPr>
      <w:pStyle w:val="2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E30F5">
    <w:pPr>
      <w:pStyle w:val="27"/>
      <w:pBdr>
        <w:bottom w:val="single" w:color="auto" w:sz="4" w:space="0"/>
      </w:pBdr>
      <w:jc w:val="left"/>
      <w:rPr>
        <w:szCs w:val="17"/>
      </w:rPr>
    </w:pPr>
    <w:r>
      <w:rPr>
        <w:rFonts w:hint="eastAsia" w:eastAsia="黑体" w:cs="Times New Roman"/>
        <w:sz w:val="20"/>
        <w:szCs w:val="21"/>
        <w:lang w:eastAsia="zh-CN"/>
      </w:rPr>
      <w:t>辽宁省公路工程标准施工电子招标文件（2025年版）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C647">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48ABCB19">
    <w:pPr>
      <w:pStyle w:val="2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5153">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7BDF4D8F">
    <w:pPr>
      <w:pStyle w:val="27"/>
      <w:rPr>
        <w:szCs w:val="17"/>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FC090">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A680">
    <w:pPr>
      <w:pStyle w:val="27"/>
      <w:pBdr>
        <w:bottom w:val="single" w:color="auto" w:sz="4" w:space="0"/>
      </w:pBdr>
      <w:wordWrap/>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54EF9">
    <w:pPr>
      <w:pStyle w:val="27"/>
      <w:wordWrap w:val="0"/>
      <w:ind w:right="315"/>
      <w:jc w:val="right"/>
      <w:rPr>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2BFE2">
    <w:pPr>
      <w:pStyle w:val="27"/>
      <w:pBdr>
        <w:bottom w:val="single" w:color="auto" w:sz="4" w:space="0"/>
      </w:pBdr>
      <w:jc w:val="left"/>
      <w:rPr>
        <w:rFonts w:hint="eastAsia" w:ascii="Times New Roman" w:hAnsi="Times New Roman" w:eastAsia="黑体" w:cs="Times New Roman"/>
        <w:sz w:val="20"/>
        <w:szCs w:val="21"/>
        <w:lang w:eastAsia="zh-CN"/>
      </w:rPr>
    </w:pPr>
    <w:r>
      <w:rPr>
        <w:rFonts w:hint="eastAsia" w:eastAsia="黑体" w:cs="Times New Roman"/>
        <w:sz w:val="20"/>
        <w:szCs w:val="21"/>
        <w:lang w:eastAsia="zh-CN"/>
      </w:rPr>
      <w:t>辽宁省公路工程标准施工电子招标文件（2025年版）</w:t>
    </w:r>
  </w:p>
  <w:p w14:paraId="5B99211C">
    <w:pPr>
      <w:pStyle w:val="27"/>
    </w:pPr>
  </w:p>
  <w:p w14:paraId="0BE5D19F">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51ABC">
    <w:pPr>
      <w:pStyle w:val="27"/>
      <w:pBdr>
        <w:bottom w:val="single" w:color="auto" w:sz="4" w:space="0"/>
      </w:pBdr>
      <w:topLinePunct/>
      <w:spacing w:line="240" w:lineRule="atLeast"/>
      <w:ind w:right="0"/>
      <w:jc w:val="left"/>
      <w:rPr>
        <w:sz w:val="17"/>
        <w:szCs w:val="17"/>
      </w:rPr>
    </w:pPr>
    <w:r>
      <w:rPr>
        <w:rFonts w:hint="default" w:ascii="Times New Roman" w:hAnsi="Times New Roman" w:eastAsia="黑体" w:cs="Times New Roman"/>
        <w:sz w:val="20"/>
        <w:szCs w:val="21"/>
      </w:rPr>
      <w:t>辽宁省公路工程标准施工电子招标文件（</w:t>
    </w:r>
    <w:r>
      <w:rPr>
        <w:rFonts w:hint="eastAsia" w:eastAsia="黑体" w:cs="Times New Roman"/>
        <w:sz w:val="20"/>
        <w:szCs w:val="21"/>
        <w:lang w:eastAsia="zh-CN"/>
      </w:rPr>
      <w:t>2025年版</w:t>
    </w:r>
    <w:r>
      <w:rPr>
        <w:rFonts w:hint="default" w:ascii="Times New Roman" w:hAnsi="Times New Roman" w:eastAsia="黑体" w:cs="Times New Roman"/>
        <w:sz w:val="20"/>
        <w:szCs w:val="21"/>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84519">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4EF60988">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5EC2">
    <w:pPr>
      <w:pBdr>
        <w:bottom w:val="single" w:color="auto" w:sz="4" w:space="1"/>
      </w:pBdr>
      <w:topLinePunct/>
      <w:spacing w:line="240" w:lineRule="atLeast"/>
      <w:ind w:right="190"/>
      <w:jc w:val="left"/>
      <w:rPr>
        <w:rFonts w:hint="eastAsia" w:eastAsia="黑体"/>
        <w:sz w:val="17"/>
        <w:szCs w:val="17"/>
        <w:lang w:val="en-US" w:eastAsia="zh-CN"/>
      </w:rPr>
    </w:pPr>
    <w:r>
      <w:rPr>
        <w:rStyle w:val="52"/>
        <w:rFonts w:hint="eastAsia" w:eastAsia="黑体"/>
        <w:b w:val="0"/>
        <w:bCs w:val="0"/>
        <w:kern w:val="10"/>
        <w:sz w:val="22"/>
        <w:szCs w:val="22"/>
        <w:lang w:eastAsia="zh-CN"/>
      </w:rPr>
      <w:t>辽宁省公路工程标准施工电子招标文件（2025年版）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F4EA9">
    <w:pPr>
      <w:pStyle w:val="27"/>
      <w:rPr>
        <w:rFonts w:hint="eastAsia" w:eastAsia="宋体"/>
        <w:lang w:eastAsia="zh-CN"/>
      </w:rPr>
    </w:pPr>
    <w:r>
      <w:rPr>
        <w:rFonts w:hint="eastAsia" w:eastAsia="黑体" w:cs="Times New Roman"/>
        <w:sz w:val="20"/>
        <w:szCs w:val="21"/>
        <w:lang w:eastAsia="zh-CN"/>
      </w:rPr>
      <w:t>辽宁省公路工程标准施工电子招标文件（2025年版）</w:t>
    </w:r>
  </w:p>
  <w:p w14:paraId="6D45BB87">
    <w:pPr>
      <w:pStyle w:val="27"/>
    </w:pPr>
  </w:p>
  <w:p w14:paraId="4F940A40">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13E4">
    <w:pPr>
      <w:pStyle w:val="27"/>
      <w:pBdr>
        <w:bottom w:val="single" w:color="auto" w:sz="4" w:space="0"/>
      </w:pBdr>
      <w:topLinePunct/>
      <w:spacing w:line="240" w:lineRule="atLeast"/>
      <w:ind w:right="0"/>
      <w:jc w:val="left"/>
      <w:rPr>
        <w:sz w:val="17"/>
        <w:szCs w:val="17"/>
      </w:rPr>
    </w:pPr>
    <w:r>
      <w:rPr>
        <w:rFonts w:hint="eastAsia" w:eastAsia="黑体" w:cs="Times New Roman"/>
        <w:sz w:val="20"/>
        <w:szCs w:val="21"/>
        <w:lang w:eastAsia="zh-CN"/>
      </w:rPr>
      <w:t>辽宁省公路工程标准施工电子招标文件（2025年版）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8C048"/>
    <w:multiLevelType w:val="singleLevel"/>
    <w:tmpl w:val="AA78C048"/>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numRestart w:val="eachPage"/>
    <w:footnote w:id="130"/>
    <w:footnote w:id="13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ZTQ4Y2Y2NGEzY2MxZDQyNGU0OThlOWNkMmVjZTM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19"/>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4A14D6"/>
    <w:rsid w:val="01761461"/>
    <w:rsid w:val="01CF0D89"/>
    <w:rsid w:val="020D657A"/>
    <w:rsid w:val="0223236F"/>
    <w:rsid w:val="022624E7"/>
    <w:rsid w:val="02287C7B"/>
    <w:rsid w:val="02952C5E"/>
    <w:rsid w:val="02BC242F"/>
    <w:rsid w:val="02E465FD"/>
    <w:rsid w:val="02FB5F01"/>
    <w:rsid w:val="03CA0201"/>
    <w:rsid w:val="04250D9C"/>
    <w:rsid w:val="046E5030"/>
    <w:rsid w:val="047C774D"/>
    <w:rsid w:val="049B596F"/>
    <w:rsid w:val="04CC1D57"/>
    <w:rsid w:val="05105453"/>
    <w:rsid w:val="053A2227"/>
    <w:rsid w:val="059A5C98"/>
    <w:rsid w:val="05E41A1D"/>
    <w:rsid w:val="065B4DA2"/>
    <w:rsid w:val="06636FB2"/>
    <w:rsid w:val="06A64F55"/>
    <w:rsid w:val="06B55198"/>
    <w:rsid w:val="06C66471"/>
    <w:rsid w:val="07041C7C"/>
    <w:rsid w:val="07222102"/>
    <w:rsid w:val="073B6441"/>
    <w:rsid w:val="07D97889"/>
    <w:rsid w:val="07E30E61"/>
    <w:rsid w:val="07F461D2"/>
    <w:rsid w:val="089B2A84"/>
    <w:rsid w:val="08AB319A"/>
    <w:rsid w:val="092142EF"/>
    <w:rsid w:val="09525099"/>
    <w:rsid w:val="09774987"/>
    <w:rsid w:val="09B8437B"/>
    <w:rsid w:val="0A294445"/>
    <w:rsid w:val="0A456833"/>
    <w:rsid w:val="0A785EBE"/>
    <w:rsid w:val="0AC54D37"/>
    <w:rsid w:val="0B544A8F"/>
    <w:rsid w:val="0B5A4560"/>
    <w:rsid w:val="0B952081"/>
    <w:rsid w:val="0B960351"/>
    <w:rsid w:val="0CB8497B"/>
    <w:rsid w:val="0CF555B7"/>
    <w:rsid w:val="0CF57E91"/>
    <w:rsid w:val="0D305579"/>
    <w:rsid w:val="0D5867A2"/>
    <w:rsid w:val="0D5B47C8"/>
    <w:rsid w:val="0DB25FD8"/>
    <w:rsid w:val="0E7A1107"/>
    <w:rsid w:val="0ECD60CB"/>
    <w:rsid w:val="0ED57398"/>
    <w:rsid w:val="0ED87C76"/>
    <w:rsid w:val="0EE53CAA"/>
    <w:rsid w:val="0F342827"/>
    <w:rsid w:val="0F630EB1"/>
    <w:rsid w:val="0F6A1754"/>
    <w:rsid w:val="0F6B6962"/>
    <w:rsid w:val="0FBE2456"/>
    <w:rsid w:val="0FBF030D"/>
    <w:rsid w:val="0FCF7A0F"/>
    <w:rsid w:val="0FE443F8"/>
    <w:rsid w:val="0FE53F92"/>
    <w:rsid w:val="0FED5C57"/>
    <w:rsid w:val="10075607"/>
    <w:rsid w:val="101501AD"/>
    <w:rsid w:val="106F0518"/>
    <w:rsid w:val="10807302"/>
    <w:rsid w:val="1083627A"/>
    <w:rsid w:val="113349F9"/>
    <w:rsid w:val="116515C8"/>
    <w:rsid w:val="11EE5EEA"/>
    <w:rsid w:val="12284C92"/>
    <w:rsid w:val="129E4D82"/>
    <w:rsid w:val="12AC31BF"/>
    <w:rsid w:val="12D84F2E"/>
    <w:rsid w:val="12D940DE"/>
    <w:rsid w:val="12F6691D"/>
    <w:rsid w:val="1303121D"/>
    <w:rsid w:val="13555C66"/>
    <w:rsid w:val="1379754E"/>
    <w:rsid w:val="137E6702"/>
    <w:rsid w:val="139B3968"/>
    <w:rsid w:val="13AA0314"/>
    <w:rsid w:val="13BF31B2"/>
    <w:rsid w:val="13BF47FD"/>
    <w:rsid w:val="13D12EE6"/>
    <w:rsid w:val="13FA2E27"/>
    <w:rsid w:val="14382F65"/>
    <w:rsid w:val="14787805"/>
    <w:rsid w:val="1486741F"/>
    <w:rsid w:val="14A012B1"/>
    <w:rsid w:val="14E13D7A"/>
    <w:rsid w:val="15320AA9"/>
    <w:rsid w:val="154B447A"/>
    <w:rsid w:val="15D46D50"/>
    <w:rsid w:val="15F34711"/>
    <w:rsid w:val="16077093"/>
    <w:rsid w:val="160F7CF5"/>
    <w:rsid w:val="162166CB"/>
    <w:rsid w:val="16B40898"/>
    <w:rsid w:val="16C968FB"/>
    <w:rsid w:val="1705493D"/>
    <w:rsid w:val="1736653A"/>
    <w:rsid w:val="177A699D"/>
    <w:rsid w:val="17B46CFB"/>
    <w:rsid w:val="17D8243D"/>
    <w:rsid w:val="18367024"/>
    <w:rsid w:val="18381BC6"/>
    <w:rsid w:val="185F0EA1"/>
    <w:rsid w:val="18624A54"/>
    <w:rsid w:val="18851D55"/>
    <w:rsid w:val="18C13618"/>
    <w:rsid w:val="18F460C2"/>
    <w:rsid w:val="19051B6A"/>
    <w:rsid w:val="19150E7F"/>
    <w:rsid w:val="193E287A"/>
    <w:rsid w:val="19622356"/>
    <w:rsid w:val="19802244"/>
    <w:rsid w:val="198028E2"/>
    <w:rsid w:val="19930475"/>
    <w:rsid w:val="19E1230A"/>
    <w:rsid w:val="1A352354"/>
    <w:rsid w:val="1A47372A"/>
    <w:rsid w:val="1A7D03A7"/>
    <w:rsid w:val="1B3452EB"/>
    <w:rsid w:val="1B8013F7"/>
    <w:rsid w:val="1B9B0E19"/>
    <w:rsid w:val="1BB13295"/>
    <w:rsid w:val="1BB9498B"/>
    <w:rsid w:val="1BDC4942"/>
    <w:rsid w:val="1BF80445"/>
    <w:rsid w:val="1C2E32EC"/>
    <w:rsid w:val="1C8F12C8"/>
    <w:rsid w:val="1C9A707C"/>
    <w:rsid w:val="1CF63BC0"/>
    <w:rsid w:val="1D72244E"/>
    <w:rsid w:val="1D8A5E16"/>
    <w:rsid w:val="1D9F3C04"/>
    <w:rsid w:val="1DB91B5D"/>
    <w:rsid w:val="1DFC3698"/>
    <w:rsid w:val="1E0647C5"/>
    <w:rsid w:val="1EBF46A7"/>
    <w:rsid w:val="1F200154"/>
    <w:rsid w:val="1F417171"/>
    <w:rsid w:val="1F582468"/>
    <w:rsid w:val="1F8C2A73"/>
    <w:rsid w:val="1F8D6BFE"/>
    <w:rsid w:val="1FCD2AA2"/>
    <w:rsid w:val="200B7C2C"/>
    <w:rsid w:val="20567506"/>
    <w:rsid w:val="205A2A93"/>
    <w:rsid w:val="21EF7359"/>
    <w:rsid w:val="22206454"/>
    <w:rsid w:val="22241AE3"/>
    <w:rsid w:val="22360C22"/>
    <w:rsid w:val="22397D58"/>
    <w:rsid w:val="225B3EBB"/>
    <w:rsid w:val="22832D4C"/>
    <w:rsid w:val="22920A1B"/>
    <w:rsid w:val="22DB0789"/>
    <w:rsid w:val="2307194D"/>
    <w:rsid w:val="231F117D"/>
    <w:rsid w:val="234500A6"/>
    <w:rsid w:val="23640EA6"/>
    <w:rsid w:val="238547DE"/>
    <w:rsid w:val="23CA2319"/>
    <w:rsid w:val="23F24EDE"/>
    <w:rsid w:val="24352EBB"/>
    <w:rsid w:val="247C0254"/>
    <w:rsid w:val="24E85830"/>
    <w:rsid w:val="2500391B"/>
    <w:rsid w:val="25043B62"/>
    <w:rsid w:val="25295B12"/>
    <w:rsid w:val="252A328F"/>
    <w:rsid w:val="25503253"/>
    <w:rsid w:val="25787F96"/>
    <w:rsid w:val="25CF3ED6"/>
    <w:rsid w:val="25D725DE"/>
    <w:rsid w:val="26341C2C"/>
    <w:rsid w:val="263961BD"/>
    <w:rsid w:val="2666008D"/>
    <w:rsid w:val="26A52B1C"/>
    <w:rsid w:val="26E21CEE"/>
    <w:rsid w:val="272938E6"/>
    <w:rsid w:val="273713E4"/>
    <w:rsid w:val="274769D1"/>
    <w:rsid w:val="27BD3A55"/>
    <w:rsid w:val="28056DA0"/>
    <w:rsid w:val="282E0A77"/>
    <w:rsid w:val="283261F1"/>
    <w:rsid w:val="28987C75"/>
    <w:rsid w:val="28D00AD7"/>
    <w:rsid w:val="2908745E"/>
    <w:rsid w:val="29D84B76"/>
    <w:rsid w:val="29F83574"/>
    <w:rsid w:val="2A0B5E22"/>
    <w:rsid w:val="2A1262DA"/>
    <w:rsid w:val="2A1C3B9F"/>
    <w:rsid w:val="2A367F13"/>
    <w:rsid w:val="2A6571D9"/>
    <w:rsid w:val="2AA077A9"/>
    <w:rsid w:val="2AA1765E"/>
    <w:rsid w:val="2AF459E0"/>
    <w:rsid w:val="2B6F71A6"/>
    <w:rsid w:val="2B9F589A"/>
    <w:rsid w:val="2BBE286E"/>
    <w:rsid w:val="2BFD78DC"/>
    <w:rsid w:val="2C7F52AD"/>
    <w:rsid w:val="2CE4003B"/>
    <w:rsid w:val="2D5B7F98"/>
    <w:rsid w:val="2D8868B3"/>
    <w:rsid w:val="2D957CF5"/>
    <w:rsid w:val="2DDD37EA"/>
    <w:rsid w:val="2DEF2F2B"/>
    <w:rsid w:val="2DF13843"/>
    <w:rsid w:val="2EFE144D"/>
    <w:rsid w:val="2F1D3524"/>
    <w:rsid w:val="2FD72080"/>
    <w:rsid w:val="2FEA2E83"/>
    <w:rsid w:val="301E35DD"/>
    <w:rsid w:val="30AA4E20"/>
    <w:rsid w:val="30B5232B"/>
    <w:rsid w:val="314F1BC2"/>
    <w:rsid w:val="31666628"/>
    <w:rsid w:val="3172765E"/>
    <w:rsid w:val="31E30425"/>
    <w:rsid w:val="33613FFE"/>
    <w:rsid w:val="336143E6"/>
    <w:rsid w:val="337445BC"/>
    <w:rsid w:val="34692E8B"/>
    <w:rsid w:val="34886BFB"/>
    <w:rsid w:val="348C6C89"/>
    <w:rsid w:val="34957CEA"/>
    <w:rsid w:val="34EF4842"/>
    <w:rsid w:val="34F66FC6"/>
    <w:rsid w:val="3537548D"/>
    <w:rsid w:val="35414F6E"/>
    <w:rsid w:val="3576279B"/>
    <w:rsid w:val="357A2DF7"/>
    <w:rsid w:val="359327CA"/>
    <w:rsid w:val="35A41BC7"/>
    <w:rsid w:val="35C70A00"/>
    <w:rsid w:val="35E37C57"/>
    <w:rsid w:val="36320DCE"/>
    <w:rsid w:val="36940077"/>
    <w:rsid w:val="36993E75"/>
    <w:rsid w:val="36D3445E"/>
    <w:rsid w:val="37075C97"/>
    <w:rsid w:val="374B13F0"/>
    <w:rsid w:val="3756191A"/>
    <w:rsid w:val="37671737"/>
    <w:rsid w:val="37B704C1"/>
    <w:rsid w:val="37D75647"/>
    <w:rsid w:val="37DB681C"/>
    <w:rsid w:val="38141101"/>
    <w:rsid w:val="384C15E7"/>
    <w:rsid w:val="3862042D"/>
    <w:rsid w:val="38C01602"/>
    <w:rsid w:val="39243B3D"/>
    <w:rsid w:val="396B3311"/>
    <w:rsid w:val="39A14223"/>
    <w:rsid w:val="39A828A4"/>
    <w:rsid w:val="39E24842"/>
    <w:rsid w:val="3A0E1EEE"/>
    <w:rsid w:val="3A346490"/>
    <w:rsid w:val="3A8B1791"/>
    <w:rsid w:val="3AC56C4A"/>
    <w:rsid w:val="3AE73B09"/>
    <w:rsid w:val="3B011BDC"/>
    <w:rsid w:val="3B217D32"/>
    <w:rsid w:val="3B6B584A"/>
    <w:rsid w:val="3BFA7031"/>
    <w:rsid w:val="3CC2593E"/>
    <w:rsid w:val="3D1433A2"/>
    <w:rsid w:val="3D29758D"/>
    <w:rsid w:val="3D93125D"/>
    <w:rsid w:val="3D9C2ADA"/>
    <w:rsid w:val="3DC93E69"/>
    <w:rsid w:val="3E2724E7"/>
    <w:rsid w:val="3E27676D"/>
    <w:rsid w:val="3E795988"/>
    <w:rsid w:val="3E907376"/>
    <w:rsid w:val="3ECB4852"/>
    <w:rsid w:val="3EDE3CCE"/>
    <w:rsid w:val="3F177A97"/>
    <w:rsid w:val="3F213F04"/>
    <w:rsid w:val="3F421D64"/>
    <w:rsid w:val="3F951D52"/>
    <w:rsid w:val="3FC901E2"/>
    <w:rsid w:val="40AF00F4"/>
    <w:rsid w:val="40C1415E"/>
    <w:rsid w:val="410D3D4D"/>
    <w:rsid w:val="41112B20"/>
    <w:rsid w:val="41377EA7"/>
    <w:rsid w:val="413F78B7"/>
    <w:rsid w:val="415914C1"/>
    <w:rsid w:val="41766CF7"/>
    <w:rsid w:val="418677AA"/>
    <w:rsid w:val="41B25855"/>
    <w:rsid w:val="41BC374E"/>
    <w:rsid w:val="41C90103"/>
    <w:rsid w:val="429B3FD5"/>
    <w:rsid w:val="42C822A4"/>
    <w:rsid w:val="434846C3"/>
    <w:rsid w:val="434B078A"/>
    <w:rsid w:val="438870AF"/>
    <w:rsid w:val="43BA2B9E"/>
    <w:rsid w:val="43E80323"/>
    <w:rsid w:val="43EA6644"/>
    <w:rsid w:val="43FA5FE2"/>
    <w:rsid w:val="44322D4A"/>
    <w:rsid w:val="444A6219"/>
    <w:rsid w:val="44F77F05"/>
    <w:rsid w:val="45D8555E"/>
    <w:rsid w:val="45F770E7"/>
    <w:rsid w:val="463351B6"/>
    <w:rsid w:val="469D4D26"/>
    <w:rsid w:val="46AB6703"/>
    <w:rsid w:val="46BC589A"/>
    <w:rsid w:val="4736312B"/>
    <w:rsid w:val="476602F6"/>
    <w:rsid w:val="478F0B12"/>
    <w:rsid w:val="4791079B"/>
    <w:rsid w:val="47A869D1"/>
    <w:rsid w:val="47AC1243"/>
    <w:rsid w:val="47C02B27"/>
    <w:rsid w:val="47C031D6"/>
    <w:rsid w:val="47FF5F01"/>
    <w:rsid w:val="481B23A3"/>
    <w:rsid w:val="485B2011"/>
    <w:rsid w:val="489F24E0"/>
    <w:rsid w:val="48AC1C02"/>
    <w:rsid w:val="4948005A"/>
    <w:rsid w:val="498E6BA8"/>
    <w:rsid w:val="49AE1FB3"/>
    <w:rsid w:val="49D74501"/>
    <w:rsid w:val="4A3634C7"/>
    <w:rsid w:val="4A3B4A5C"/>
    <w:rsid w:val="4AAB53E3"/>
    <w:rsid w:val="4AEF36A5"/>
    <w:rsid w:val="4AF306B5"/>
    <w:rsid w:val="4B0522CA"/>
    <w:rsid w:val="4C8B5BC6"/>
    <w:rsid w:val="4D081D6E"/>
    <w:rsid w:val="4D3B0DF4"/>
    <w:rsid w:val="4D4C3002"/>
    <w:rsid w:val="4D5214EF"/>
    <w:rsid w:val="4D79052A"/>
    <w:rsid w:val="4D7E0E31"/>
    <w:rsid w:val="4DD82969"/>
    <w:rsid w:val="4E025A20"/>
    <w:rsid w:val="4E4C43BA"/>
    <w:rsid w:val="4E7B0D91"/>
    <w:rsid w:val="4E997359"/>
    <w:rsid w:val="4ED92F65"/>
    <w:rsid w:val="4F0D3938"/>
    <w:rsid w:val="4F3E57BE"/>
    <w:rsid w:val="4F46001C"/>
    <w:rsid w:val="4F766E4A"/>
    <w:rsid w:val="4F7D13F7"/>
    <w:rsid w:val="4FFF6735"/>
    <w:rsid w:val="50224539"/>
    <w:rsid w:val="503B7ECA"/>
    <w:rsid w:val="50562373"/>
    <w:rsid w:val="50D15CF8"/>
    <w:rsid w:val="512962D7"/>
    <w:rsid w:val="51501312"/>
    <w:rsid w:val="518D4B89"/>
    <w:rsid w:val="519059F2"/>
    <w:rsid w:val="51A72DA3"/>
    <w:rsid w:val="51D718C7"/>
    <w:rsid w:val="51FB0B52"/>
    <w:rsid w:val="52CF44B9"/>
    <w:rsid w:val="52E863D3"/>
    <w:rsid w:val="532A2A4A"/>
    <w:rsid w:val="536426E8"/>
    <w:rsid w:val="53C71634"/>
    <w:rsid w:val="547D2C1A"/>
    <w:rsid w:val="54D83366"/>
    <w:rsid w:val="54F324F8"/>
    <w:rsid w:val="55381ED8"/>
    <w:rsid w:val="5543788A"/>
    <w:rsid w:val="554F18E1"/>
    <w:rsid w:val="563E7AA9"/>
    <w:rsid w:val="568850AA"/>
    <w:rsid w:val="56C25B6C"/>
    <w:rsid w:val="56F22E81"/>
    <w:rsid w:val="57140367"/>
    <w:rsid w:val="57154464"/>
    <w:rsid w:val="57313F33"/>
    <w:rsid w:val="575D6106"/>
    <w:rsid w:val="57A35F14"/>
    <w:rsid w:val="57B9772B"/>
    <w:rsid w:val="57E01E89"/>
    <w:rsid w:val="5805272B"/>
    <w:rsid w:val="58207C04"/>
    <w:rsid w:val="582912B6"/>
    <w:rsid w:val="585A4F2F"/>
    <w:rsid w:val="595765E7"/>
    <w:rsid w:val="597638E0"/>
    <w:rsid w:val="59A05FAE"/>
    <w:rsid w:val="59A349B6"/>
    <w:rsid w:val="59CB2704"/>
    <w:rsid w:val="59E1204C"/>
    <w:rsid w:val="5A0A04CC"/>
    <w:rsid w:val="5B1F079D"/>
    <w:rsid w:val="5B526733"/>
    <w:rsid w:val="5B562F03"/>
    <w:rsid w:val="5B5F03A4"/>
    <w:rsid w:val="5B8A1310"/>
    <w:rsid w:val="5BF1122A"/>
    <w:rsid w:val="5C080114"/>
    <w:rsid w:val="5C12295F"/>
    <w:rsid w:val="5C283EC9"/>
    <w:rsid w:val="5C437174"/>
    <w:rsid w:val="5D0E7222"/>
    <w:rsid w:val="5D51434E"/>
    <w:rsid w:val="5DB71AE2"/>
    <w:rsid w:val="5DBF46C1"/>
    <w:rsid w:val="5DC23EA0"/>
    <w:rsid w:val="5DC866D4"/>
    <w:rsid w:val="5E50108F"/>
    <w:rsid w:val="5EA12E97"/>
    <w:rsid w:val="5EDB4749"/>
    <w:rsid w:val="5F2416FD"/>
    <w:rsid w:val="5F29531B"/>
    <w:rsid w:val="5F2D2C93"/>
    <w:rsid w:val="5F9F09A1"/>
    <w:rsid w:val="5FD737D1"/>
    <w:rsid w:val="603077A1"/>
    <w:rsid w:val="606968D4"/>
    <w:rsid w:val="60A11A1B"/>
    <w:rsid w:val="60A26FD1"/>
    <w:rsid w:val="60DA6DED"/>
    <w:rsid w:val="612B7408"/>
    <w:rsid w:val="617B7D81"/>
    <w:rsid w:val="61A90EE7"/>
    <w:rsid w:val="61B70402"/>
    <w:rsid w:val="61FB55A6"/>
    <w:rsid w:val="62610F56"/>
    <w:rsid w:val="6275524C"/>
    <w:rsid w:val="628462D0"/>
    <w:rsid w:val="62EE44E7"/>
    <w:rsid w:val="62F6602C"/>
    <w:rsid w:val="630B0D25"/>
    <w:rsid w:val="633B5253"/>
    <w:rsid w:val="639D576F"/>
    <w:rsid w:val="63EC3E4B"/>
    <w:rsid w:val="644D16E1"/>
    <w:rsid w:val="648D6455"/>
    <w:rsid w:val="65742EC7"/>
    <w:rsid w:val="6580369E"/>
    <w:rsid w:val="65931376"/>
    <w:rsid w:val="660E7CE2"/>
    <w:rsid w:val="666D68AF"/>
    <w:rsid w:val="66C8504F"/>
    <w:rsid w:val="66CC3556"/>
    <w:rsid w:val="66E638C0"/>
    <w:rsid w:val="66E95763"/>
    <w:rsid w:val="6725610F"/>
    <w:rsid w:val="6759645C"/>
    <w:rsid w:val="676C20F3"/>
    <w:rsid w:val="676C45F3"/>
    <w:rsid w:val="67801DCE"/>
    <w:rsid w:val="67F53618"/>
    <w:rsid w:val="6804655B"/>
    <w:rsid w:val="6820733F"/>
    <w:rsid w:val="68210EBB"/>
    <w:rsid w:val="688C4126"/>
    <w:rsid w:val="68F42334"/>
    <w:rsid w:val="691B590A"/>
    <w:rsid w:val="69423AFE"/>
    <w:rsid w:val="694D30F2"/>
    <w:rsid w:val="69572F2E"/>
    <w:rsid w:val="69631A3C"/>
    <w:rsid w:val="697F4AA5"/>
    <w:rsid w:val="69F13A07"/>
    <w:rsid w:val="69F45E5D"/>
    <w:rsid w:val="6A44239D"/>
    <w:rsid w:val="6A4721BE"/>
    <w:rsid w:val="6A75300F"/>
    <w:rsid w:val="6AA735D6"/>
    <w:rsid w:val="6B2D5DC9"/>
    <w:rsid w:val="6B3E69F2"/>
    <w:rsid w:val="6B6E6329"/>
    <w:rsid w:val="6BF665EC"/>
    <w:rsid w:val="6C7D68DC"/>
    <w:rsid w:val="6CAF1D3C"/>
    <w:rsid w:val="6CD40BF2"/>
    <w:rsid w:val="6CE030B0"/>
    <w:rsid w:val="6CF556F7"/>
    <w:rsid w:val="6D4A4A10"/>
    <w:rsid w:val="6D4B6130"/>
    <w:rsid w:val="6D6E4F1D"/>
    <w:rsid w:val="6D940869"/>
    <w:rsid w:val="6DA00AD4"/>
    <w:rsid w:val="6DB14A8F"/>
    <w:rsid w:val="6DB9605E"/>
    <w:rsid w:val="6E2200E3"/>
    <w:rsid w:val="6EB0094B"/>
    <w:rsid w:val="6F1B4E65"/>
    <w:rsid w:val="6F2C2BA0"/>
    <w:rsid w:val="6F2E3093"/>
    <w:rsid w:val="6F4162E7"/>
    <w:rsid w:val="6F5953DE"/>
    <w:rsid w:val="6F8259ED"/>
    <w:rsid w:val="6FD459CC"/>
    <w:rsid w:val="7054775D"/>
    <w:rsid w:val="7056191E"/>
    <w:rsid w:val="70983CE4"/>
    <w:rsid w:val="70B22023"/>
    <w:rsid w:val="70D43718"/>
    <w:rsid w:val="70D91188"/>
    <w:rsid w:val="70DC4260"/>
    <w:rsid w:val="70E22E6B"/>
    <w:rsid w:val="70E44F58"/>
    <w:rsid w:val="71265794"/>
    <w:rsid w:val="714176D5"/>
    <w:rsid w:val="71645191"/>
    <w:rsid w:val="717007BD"/>
    <w:rsid w:val="719F6A56"/>
    <w:rsid w:val="71A1306D"/>
    <w:rsid w:val="72013855"/>
    <w:rsid w:val="720D24B0"/>
    <w:rsid w:val="72802C82"/>
    <w:rsid w:val="72E451C2"/>
    <w:rsid w:val="72E804B1"/>
    <w:rsid w:val="73047407"/>
    <w:rsid w:val="73055543"/>
    <w:rsid w:val="738E367E"/>
    <w:rsid w:val="73DB1B03"/>
    <w:rsid w:val="73DB4206"/>
    <w:rsid w:val="73FE2B4F"/>
    <w:rsid w:val="747F1A52"/>
    <w:rsid w:val="74984A16"/>
    <w:rsid w:val="74C01A5C"/>
    <w:rsid w:val="74C57302"/>
    <w:rsid w:val="74D3178F"/>
    <w:rsid w:val="74F636CF"/>
    <w:rsid w:val="75604BFB"/>
    <w:rsid w:val="757F4F2B"/>
    <w:rsid w:val="75F36C04"/>
    <w:rsid w:val="75F6664F"/>
    <w:rsid w:val="76CA0970"/>
    <w:rsid w:val="7702635B"/>
    <w:rsid w:val="77694336"/>
    <w:rsid w:val="778D79A7"/>
    <w:rsid w:val="77A1279F"/>
    <w:rsid w:val="77B021B5"/>
    <w:rsid w:val="7829682B"/>
    <w:rsid w:val="78987324"/>
    <w:rsid w:val="78FB178A"/>
    <w:rsid w:val="792720A9"/>
    <w:rsid w:val="79870D9A"/>
    <w:rsid w:val="79AB2CDA"/>
    <w:rsid w:val="7A195DA1"/>
    <w:rsid w:val="7A700510"/>
    <w:rsid w:val="7A9E639B"/>
    <w:rsid w:val="7AA240DD"/>
    <w:rsid w:val="7AAB7433"/>
    <w:rsid w:val="7B2D1921"/>
    <w:rsid w:val="7B3F44E4"/>
    <w:rsid w:val="7B7E4979"/>
    <w:rsid w:val="7BCB1412"/>
    <w:rsid w:val="7BEE05A2"/>
    <w:rsid w:val="7BF3017A"/>
    <w:rsid w:val="7C0132AF"/>
    <w:rsid w:val="7C2C6727"/>
    <w:rsid w:val="7CD15B82"/>
    <w:rsid w:val="7CED7B6F"/>
    <w:rsid w:val="7D757DAE"/>
    <w:rsid w:val="7D7F24B4"/>
    <w:rsid w:val="7D7F72F7"/>
    <w:rsid w:val="7D951EC0"/>
    <w:rsid w:val="7DC9372F"/>
    <w:rsid w:val="7DDC0746"/>
    <w:rsid w:val="7DF92132"/>
    <w:rsid w:val="7E497A3C"/>
    <w:rsid w:val="7E7328E3"/>
    <w:rsid w:val="7ED5043F"/>
    <w:rsid w:val="7F2A28F3"/>
    <w:rsid w:val="7F9972B4"/>
    <w:rsid w:val="7FC3716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8"/>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2"/>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semiHidden/>
    <w:qFormat/>
    <w:uiPriority w:val="0"/>
  </w:style>
  <w:style w:type="table" w:default="1" w:styleId="3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1">
    <w:name w:val="toc 7"/>
    <w:basedOn w:val="1"/>
    <w:next w:val="1"/>
    <w:unhideWhenUsed/>
    <w:qFormat/>
    <w:uiPriority w:val="39"/>
    <w:pPr>
      <w:ind w:left="2520" w:leftChars="1200"/>
    </w:pPr>
    <w:rPr>
      <w:rFonts w:ascii="Calibri" w:hAnsi="Calibri" w:eastAsia="宋体" w:cs="Times New Roman"/>
      <w:szCs w:val="22"/>
    </w:rPr>
  </w:style>
  <w:style w:type="paragraph" w:styleId="12">
    <w:name w:val="caption"/>
    <w:basedOn w:val="1"/>
    <w:next w:val="1"/>
    <w:qFormat/>
    <w:uiPriority w:val="0"/>
    <w:rPr>
      <w:rFonts w:ascii="Arial" w:hAnsi="Arial" w:eastAsia="黑体" w:cs="Arial"/>
      <w:sz w:val="20"/>
      <w:szCs w:val="20"/>
    </w:rPr>
  </w:style>
  <w:style w:type="paragraph" w:styleId="13">
    <w:name w:val="Document Map"/>
    <w:basedOn w:val="1"/>
    <w:link w:val="56"/>
    <w:qFormat/>
    <w:uiPriority w:val="0"/>
    <w:rPr>
      <w:rFonts w:ascii="宋体"/>
      <w:sz w:val="18"/>
      <w:szCs w:val="18"/>
    </w:rPr>
  </w:style>
  <w:style w:type="paragraph" w:styleId="14">
    <w:name w:val="annotation text"/>
    <w:basedOn w:val="1"/>
    <w:link w:val="50"/>
    <w:qFormat/>
    <w:uiPriority w:val="0"/>
    <w:pPr>
      <w:jc w:val="left"/>
    </w:pPr>
  </w:style>
  <w:style w:type="paragraph" w:styleId="15">
    <w:name w:val="Body Text 3"/>
    <w:basedOn w:val="1"/>
    <w:link w:val="48"/>
    <w:qFormat/>
    <w:uiPriority w:val="0"/>
    <w:rPr>
      <w:rFonts w:ascii="宋体"/>
      <w:sz w:val="24"/>
      <w:szCs w:val="20"/>
    </w:rPr>
  </w:style>
  <w:style w:type="paragraph" w:styleId="16">
    <w:name w:val="Body Text"/>
    <w:basedOn w:val="1"/>
    <w:qFormat/>
    <w:uiPriority w:val="0"/>
    <w:pPr>
      <w:spacing w:after="120"/>
    </w:pPr>
  </w:style>
  <w:style w:type="paragraph" w:styleId="17">
    <w:name w:val="Body Text Indent"/>
    <w:basedOn w:val="1"/>
    <w:qFormat/>
    <w:uiPriority w:val="0"/>
    <w:pPr>
      <w:spacing w:after="120"/>
      <w:ind w:left="420" w:leftChars="200"/>
    </w:pPr>
  </w:style>
  <w:style w:type="paragraph" w:styleId="18">
    <w:name w:val="toc 5"/>
    <w:basedOn w:val="1"/>
    <w:next w:val="1"/>
    <w:unhideWhenUsed/>
    <w:qFormat/>
    <w:uiPriority w:val="39"/>
    <w:pPr>
      <w:ind w:left="1680" w:leftChars="800"/>
    </w:pPr>
    <w:rPr>
      <w:rFonts w:ascii="Calibri" w:hAnsi="Calibri" w:eastAsia="宋体" w:cs="Times New Roman"/>
      <w:szCs w:val="22"/>
    </w:rPr>
  </w:style>
  <w:style w:type="paragraph" w:styleId="19">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5"/>
    <w:qFormat/>
    <w:uiPriority w:val="0"/>
    <w:rPr>
      <w:rFonts w:ascii="宋体" w:hAnsi="Courier New"/>
      <w:szCs w:val="20"/>
    </w:rPr>
  </w:style>
  <w:style w:type="paragraph" w:styleId="21">
    <w:name w:val="toc 8"/>
    <w:basedOn w:val="1"/>
    <w:next w:val="1"/>
    <w:unhideWhenUsed/>
    <w:qFormat/>
    <w:uiPriority w:val="39"/>
    <w:pPr>
      <w:ind w:left="2940" w:leftChars="1400"/>
    </w:pPr>
    <w:rPr>
      <w:rFonts w:ascii="Calibri" w:hAnsi="Calibri" w:eastAsia="宋体" w:cs="Times New Roman"/>
      <w:szCs w:val="22"/>
    </w:rPr>
  </w:style>
  <w:style w:type="paragraph" w:styleId="22">
    <w:name w:val="Date"/>
    <w:basedOn w:val="1"/>
    <w:next w:val="1"/>
    <w:qFormat/>
    <w:uiPriority w:val="0"/>
    <w:rPr>
      <w:sz w:val="24"/>
      <w:szCs w:val="20"/>
    </w:rPr>
  </w:style>
  <w:style w:type="paragraph" w:styleId="23">
    <w:name w:val="Body Text Indent 2"/>
    <w:basedOn w:val="1"/>
    <w:qFormat/>
    <w:uiPriority w:val="0"/>
    <w:pPr>
      <w:spacing w:line="500" w:lineRule="exact"/>
      <w:ind w:firstLine="540" w:firstLineChars="200"/>
    </w:pPr>
    <w:rPr>
      <w:rFonts w:ascii="宋体" w:hAnsi="宋体"/>
      <w:sz w:val="27"/>
      <w:szCs w:val="27"/>
    </w:rPr>
  </w:style>
  <w:style w:type="paragraph" w:styleId="24">
    <w:name w:val="endnote text"/>
    <w:basedOn w:val="1"/>
    <w:semiHidden/>
    <w:qFormat/>
    <w:uiPriority w:val="0"/>
    <w:pPr>
      <w:snapToGrid w:val="0"/>
      <w:jc w:val="left"/>
    </w:pPr>
  </w:style>
  <w:style w:type="paragraph" w:styleId="25">
    <w:name w:val="Balloon Text"/>
    <w:basedOn w:val="1"/>
    <w:semiHidden/>
    <w:qFormat/>
    <w:uiPriority w:val="0"/>
    <w:rPr>
      <w:sz w:val="18"/>
      <w:szCs w:val="18"/>
    </w:rPr>
  </w:style>
  <w:style w:type="paragraph" w:styleId="26">
    <w:name w:val="footer"/>
    <w:basedOn w:val="1"/>
    <w:link w:val="51"/>
    <w:qFormat/>
    <w:uiPriority w:val="0"/>
    <w:pPr>
      <w:tabs>
        <w:tab w:val="center" w:pos="4153"/>
        <w:tab w:val="right" w:pos="8306"/>
      </w:tabs>
      <w:snapToGrid w:val="0"/>
      <w:jc w:val="left"/>
    </w:pPr>
    <w:rPr>
      <w:sz w:val="18"/>
      <w:szCs w:val="18"/>
    </w:rPr>
  </w:style>
  <w:style w:type="paragraph" w:styleId="27">
    <w:name w:val="header"/>
    <w:basedOn w:val="1"/>
    <w:link w:val="65"/>
    <w:qFormat/>
    <w:uiPriority w:val="0"/>
    <w:pPr>
      <w:tabs>
        <w:tab w:val="center" w:pos="4153"/>
        <w:tab w:val="right" w:pos="8306"/>
      </w:tabs>
      <w:snapToGrid w:val="0"/>
      <w:jc w:val="center"/>
    </w:pPr>
    <w:rPr>
      <w:sz w:val="18"/>
      <w:szCs w:val="18"/>
    </w:rPr>
  </w:style>
  <w:style w:type="paragraph" w:styleId="28">
    <w:name w:val="toc 1"/>
    <w:basedOn w:val="1"/>
    <w:next w:val="1"/>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unhideWhenUsed/>
    <w:qFormat/>
    <w:uiPriority w:val="39"/>
    <w:pPr>
      <w:ind w:left="1260" w:leftChars="600"/>
    </w:pPr>
    <w:rPr>
      <w:rFonts w:ascii="Calibri" w:hAnsi="Calibri" w:eastAsia="宋体" w:cs="Times New Roman"/>
      <w:szCs w:val="22"/>
    </w:rPr>
  </w:style>
  <w:style w:type="paragraph" w:styleId="30">
    <w:name w:val="footnote text"/>
    <w:basedOn w:val="1"/>
    <w:link w:val="57"/>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unhideWhenUsed/>
    <w:qFormat/>
    <w:uiPriority w:val="39"/>
    <w:pPr>
      <w:ind w:left="2100" w:leftChars="1000"/>
    </w:pPr>
    <w:rPr>
      <w:rFonts w:ascii="Calibri" w:hAnsi="Calibri" w:eastAsia="宋体" w:cs="Times New Roman"/>
      <w:szCs w:val="22"/>
    </w:rPr>
  </w:style>
  <w:style w:type="paragraph" w:styleId="32">
    <w:name w:val="Body Text Indent 3"/>
    <w:basedOn w:val="1"/>
    <w:qFormat/>
    <w:uiPriority w:val="0"/>
    <w:pPr>
      <w:spacing w:after="120"/>
      <w:ind w:left="420" w:leftChars="200"/>
    </w:pPr>
    <w:rPr>
      <w:sz w:val="16"/>
      <w:szCs w:val="16"/>
    </w:rPr>
  </w:style>
  <w:style w:type="paragraph" w:styleId="33">
    <w:name w:val="toc 2"/>
    <w:basedOn w:val="1"/>
    <w:next w:val="1"/>
    <w:qFormat/>
    <w:uiPriority w:val="39"/>
    <w:pPr>
      <w:ind w:left="420" w:leftChars="200"/>
    </w:pPr>
  </w:style>
  <w:style w:type="paragraph" w:styleId="34">
    <w:name w:val="toc 9"/>
    <w:basedOn w:val="1"/>
    <w:next w:val="1"/>
    <w:unhideWhenUsed/>
    <w:qFormat/>
    <w:uiPriority w:val="39"/>
    <w:pPr>
      <w:ind w:left="3360" w:leftChars="1600"/>
    </w:pPr>
    <w:rPr>
      <w:rFonts w:ascii="Calibri" w:hAnsi="Calibri" w:eastAsia="宋体" w:cs="Times New Roman"/>
      <w:szCs w:val="22"/>
    </w:rPr>
  </w:style>
  <w:style w:type="paragraph" w:styleId="35">
    <w:name w:val="Body Text 2"/>
    <w:basedOn w:val="1"/>
    <w:qFormat/>
    <w:uiPriority w:val="0"/>
    <w:pPr>
      <w:spacing w:after="120" w:line="480" w:lineRule="auto"/>
    </w:pPr>
  </w:style>
  <w:style w:type="paragraph" w:styleId="36">
    <w:name w:val="index 1"/>
    <w:basedOn w:val="1"/>
    <w:next w:val="1"/>
    <w:semiHidden/>
    <w:qFormat/>
    <w:uiPriority w:val="0"/>
    <w:pPr>
      <w:spacing w:line="220" w:lineRule="exact"/>
      <w:jc w:val="center"/>
    </w:pPr>
    <w:rPr>
      <w:rFonts w:ascii="仿宋_GB2312" w:eastAsia="仿宋_GB2312"/>
      <w:szCs w:val="21"/>
    </w:rPr>
  </w:style>
  <w:style w:type="paragraph" w:styleId="37">
    <w:name w:val="Title"/>
    <w:basedOn w:val="1"/>
    <w:link w:val="5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49"/>
    <w:qFormat/>
    <w:uiPriority w:val="0"/>
    <w:rPr>
      <w:b/>
      <w:bCs/>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semiHidden/>
    <w:qFormat/>
    <w:uiPriority w:val="0"/>
    <w:rPr>
      <w:vertAlign w:val="superscript"/>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character" w:styleId="47">
    <w:name w:val="footnote reference"/>
    <w:qFormat/>
    <w:uiPriority w:val="0"/>
    <w:rPr>
      <w:vertAlign w:val="superscript"/>
    </w:rPr>
  </w:style>
  <w:style w:type="character" w:customStyle="1" w:styleId="48">
    <w:name w:val="正文文本 3 Char"/>
    <w:basedOn w:val="41"/>
    <w:link w:val="15"/>
    <w:qFormat/>
    <w:uiPriority w:val="0"/>
    <w:rPr>
      <w:rFonts w:ascii="宋体"/>
      <w:kern w:val="2"/>
      <w:sz w:val="24"/>
    </w:rPr>
  </w:style>
  <w:style w:type="character" w:customStyle="1" w:styleId="49">
    <w:name w:val="批注主题 Char"/>
    <w:link w:val="38"/>
    <w:qFormat/>
    <w:uiPriority w:val="0"/>
    <w:rPr>
      <w:b/>
      <w:bCs/>
      <w:kern w:val="2"/>
      <w:sz w:val="21"/>
      <w:szCs w:val="24"/>
    </w:rPr>
  </w:style>
  <w:style w:type="character" w:customStyle="1" w:styleId="50">
    <w:name w:val="批注文字 Char"/>
    <w:basedOn w:val="41"/>
    <w:link w:val="14"/>
    <w:qFormat/>
    <w:uiPriority w:val="0"/>
    <w:rPr>
      <w:kern w:val="2"/>
      <w:sz w:val="21"/>
      <w:szCs w:val="24"/>
    </w:rPr>
  </w:style>
  <w:style w:type="character" w:customStyle="1" w:styleId="51">
    <w:name w:val="页脚 Char"/>
    <w:link w:val="26"/>
    <w:qFormat/>
    <w:uiPriority w:val="0"/>
    <w:rPr>
      <w:rFonts w:eastAsia="宋体"/>
      <w:kern w:val="2"/>
      <w:sz w:val="18"/>
      <w:szCs w:val="18"/>
      <w:lang w:val="en-US" w:eastAsia="zh-CN" w:bidi="ar-SA"/>
    </w:rPr>
  </w:style>
  <w:style w:type="character" w:customStyle="1" w:styleId="52">
    <w:name w:val="font161"/>
    <w:qFormat/>
    <w:uiPriority w:val="0"/>
    <w:rPr>
      <w:b/>
      <w:bCs/>
      <w:sz w:val="32"/>
      <w:szCs w:val="32"/>
    </w:rPr>
  </w:style>
  <w:style w:type="character" w:customStyle="1" w:styleId="53">
    <w:name w:val="标题 Char"/>
    <w:link w:val="37"/>
    <w:qFormat/>
    <w:uiPriority w:val="0"/>
    <w:rPr>
      <w:rFonts w:ascii="Arial" w:hAnsi="Arial" w:eastAsia="宋体"/>
      <w:b/>
      <w:sz w:val="32"/>
      <w:lang w:val="en-US" w:eastAsia="zh-CN" w:bidi="ar-SA"/>
    </w:rPr>
  </w:style>
  <w:style w:type="character" w:customStyle="1" w:styleId="54">
    <w:name w:val="数字"/>
    <w:qFormat/>
    <w:uiPriority w:val="0"/>
    <w:rPr>
      <w:rFonts w:eastAsia="黑体"/>
      <w:b/>
      <w:sz w:val="21"/>
    </w:rPr>
  </w:style>
  <w:style w:type="character" w:customStyle="1" w:styleId="55">
    <w:name w:val="纯文本 Char"/>
    <w:link w:val="20"/>
    <w:qFormat/>
    <w:uiPriority w:val="0"/>
    <w:rPr>
      <w:rFonts w:ascii="宋体" w:hAnsi="Courier New" w:eastAsia="宋体"/>
      <w:kern w:val="2"/>
      <w:sz w:val="21"/>
      <w:lang w:val="en-US" w:eastAsia="zh-CN" w:bidi="ar-SA"/>
    </w:rPr>
  </w:style>
  <w:style w:type="character" w:customStyle="1" w:styleId="56">
    <w:name w:val="文档结构图 Char"/>
    <w:link w:val="13"/>
    <w:qFormat/>
    <w:uiPriority w:val="0"/>
    <w:rPr>
      <w:rFonts w:ascii="宋体"/>
      <w:kern w:val="2"/>
      <w:sz w:val="18"/>
      <w:szCs w:val="18"/>
    </w:rPr>
  </w:style>
  <w:style w:type="character" w:customStyle="1" w:styleId="57">
    <w:name w:val="脚注文本 Char"/>
    <w:link w:val="30"/>
    <w:qFormat/>
    <w:uiPriority w:val="0"/>
    <w:rPr>
      <w:sz w:val="18"/>
    </w:rPr>
  </w:style>
  <w:style w:type="character" w:customStyle="1" w:styleId="58">
    <w:name w:val="标题 2 Char"/>
    <w:link w:val="3"/>
    <w:qFormat/>
    <w:uiPriority w:val="0"/>
    <w:rPr>
      <w:rFonts w:ascii="宋体" w:hAnsi="宋体" w:eastAsia="黑体"/>
      <w:bCs/>
      <w:i/>
      <w:iCs/>
      <w:kern w:val="2"/>
      <w:sz w:val="24"/>
    </w:rPr>
  </w:style>
  <w:style w:type="character" w:customStyle="1" w:styleId="59">
    <w:name w:val="H001 Char"/>
    <w:link w:val="60"/>
    <w:qFormat/>
    <w:uiPriority w:val="0"/>
    <w:rPr>
      <w:rFonts w:eastAsia="黑体"/>
      <w:bCs/>
      <w:kern w:val="44"/>
      <w:sz w:val="24"/>
      <w:szCs w:val="44"/>
    </w:rPr>
  </w:style>
  <w:style w:type="paragraph" w:customStyle="1" w:styleId="60">
    <w:name w:val="H001"/>
    <w:basedOn w:val="2"/>
    <w:link w:val="59"/>
    <w:qFormat/>
    <w:uiPriority w:val="0"/>
    <w:pPr>
      <w:spacing w:before="240" w:after="240" w:line="240" w:lineRule="exact"/>
    </w:pPr>
    <w:rPr>
      <w:rFonts w:eastAsia="黑体"/>
      <w:sz w:val="24"/>
    </w:rPr>
  </w:style>
  <w:style w:type="character" w:customStyle="1" w:styleId="61">
    <w:name w:val="脚注文本 字符1"/>
    <w:semiHidden/>
    <w:qFormat/>
    <w:locked/>
    <w:uiPriority w:val="0"/>
    <w:rPr>
      <w:kern w:val="2"/>
      <w:sz w:val="18"/>
      <w:szCs w:val="18"/>
    </w:rPr>
  </w:style>
  <w:style w:type="character" w:customStyle="1" w:styleId="62">
    <w:name w:val="标题 3 Char"/>
    <w:link w:val="5"/>
    <w:qFormat/>
    <w:uiPriority w:val="0"/>
    <w:rPr>
      <w:b/>
      <w:sz w:val="32"/>
    </w:rPr>
  </w:style>
  <w:style w:type="character" w:customStyle="1" w:styleId="63">
    <w:name w:val="标题 1 Char"/>
    <w:link w:val="2"/>
    <w:qFormat/>
    <w:uiPriority w:val="0"/>
    <w:rPr>
      <w:rFonts w:eastAsia="黑体"/>
      <w:bCs/>
      <w:kern w:val="44"/>
      <w:sz w:val="24"/>
      <w:szCs w:val="44"/>
    </w:rPr>
  </w:style>
  <w:style w:type="character" w:customStyle="1" w:styleId="64">
    <w:name w:val="未处理的提及"/>
    <w:unhideWhenUsed/>
    <w:qFormat/>
    <w:uiPriority w:val="99"/>
    <w:rPr>
      <w:color w:val="808080"/>
      <w:shd w:val="clear" w:color="auto" w:fill="E6E6E6"/>
    </w:rPr>
  </w:style>
  <w:style w:type="character" w:customStyle="1" w:styleId="65">
    <w:name w:val="页眉 Char"/>
    <w:basedOn w:val="41"/>
    <w:link w:val="27"/>
    <w:qFormat/>
    <w:uiPriority w:val="0"/>
    <w:rPr>
      <w:kern w:val="2"/>
      <w:sz w:val="18"/>
      <w:szCs w:val="18"/>
    </w:rPr>
  </w:style>
  <w:style w:type="paragraph" w:customStyle="1" w:styleId="66">
    <w:name w:val="2"/>
    <w:basedOn w:val="1"/>
    <w:qFormat/>
    <w:uiPriority w:val="0"/>
    <w:pPr>
      <w:adjustRightInd w:val="0"/>
      <w:spacing w:line="420" w:lineRule="atLeast"/>
      <w:ind w:left="1134" w:hanging="227"/>
      <w:textAlignment w:val="baseline"/>
    </w:pPr>
    <w:rPr>
      <w:kern w:val="0"/>
      <w:szCs w:val="20"/>
    </w:rPr>
  </w:style>
  <w:style w:type="paragraph" w:customStyle="1" w:styleId="67">
    <w:name w:val="表格2"/>
    <w:basedOn w:val="1"/>
    <w:qFormat/>
    <w:uiPriority w:val="0"/>
    <w:pPr>
      <w:adjustRightInd w:val="0"/>
      <w:spacing w:line="420" w:lineRule="atLeast"/>
      <w:ind w:left="284" w:firstLine="454"/>
      <w:textAlignment w:val="baseline"/>
    </w:pPr>
    <w:rPr>
      <w:kern w:val="0"/>
      <w:szCs w:val="20"/>
    </w:rPr>
  </w:style>
  <w:style w:type="paragraph" w:customStyle="1" w:styleId="68">
    <w:name w:val="表格6"/>
    <w:basedOn w:val="69"/>
    <w:qFormat/>
    <w:uiPriority w:val="0"/>
    <w:pPr>
      <w:ind w:left="737" w:firstLine="0"/>
    </w:pPr>
  </w:style>
  <w:style w:type="paragraph" w:customStyle="1" w:styleId="69">
    <w:name w:val="表格5"/>
    <w:basedOn w:val="67"/>
    <w:qFormat/>
    <w:uiPriority w:val="0"/>
    <w:pPr>
      <w:ind w:left="1021" w:hanging="284"/>
    </w:pPr>
    <w:rPr>
      <w:rFonts w:ascii="宋体"/>
    </w:rPr>
  </w:style>
  <w:style w:type="paragraph" w:customStyle="1" w:styleId="70">
    <w:name w:val=" Char Char Char"/>
    <w:basedOn w:val="1"/>
    <w:qFormat/>
    <w:uiPriority w:val="0"/>
    <w:rPr>
      <w:szCs w:val="20"/>
    </w:rPr>
  </w:style>
  <w:style w:type="paragraph" w:customStyle="1" w:styleId="71">
    <w:name w:val="af15hichaf0dbchf15cgrid"/>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2">
    <w:name w:val="表格3"/>
    <w:basedOn w:val="1"/>
    <w:qFormat/>
    <w:uiPriority w:val="0"/>
    <w:pPr>
      <w:adjustRightInd w:val="0"/>
      <w:spacing w:line="420" w:lineRule="atLeast"/>
      <w:textAlignment w:val="baseline"/>
    </w:pPr>
    <w:rPr>
      <w:rFonts w:eastAsia="楷体"/>
      <w:kern w:val="0"/>
      <w:szCs w:val="20"/>
    </w:rPr>
  </w:style>
  <w:style w:type="paragraph" w:customStyle="1" w:styleId="73">
    <w:name w:val="表中"/>
    <w:basedOn w:val="1"/>
    <w:qFormat/>
    <w:uiPriority w:val="0"/>
    <w:pPr>
      <w:adjustRightInd w:val="0"/>
      <w:spacing w:line="360" w:lineRule="atLeast"/>
      <w:jc w:val="center"/>
      <w:textAlignment w:val="baseline"/>
    </w:pPr>
    <w:rPr>
      <w:kern w:val="0"/>
      <w:szCs w:val="20"/>
    </w:rPr>
  </w:style>
  <w:style w:type="paragraph" w:customStyle="1" w:styleId="74">
    <w:name w:val="表格4"/>
    <w:basedOn w:val="1"/>
    <w:qFormat/>
    <w:uiPriority w:val="0"/>
    <w:pPr>
      <w:adjustRightInd w:val="0"/>
      <w:spacing w:line="420" w:lineRule="atLeast"/>
      <w:ind w:left="1021"/>
      <w:textAlignment w:val="baseline"/>
    </w:pPr>
    <w:rPr>
      <w:kern w:val="0"/>
      <w:szCs w:val="20"/>
    </w:rPr>
  </w:style>
  <w:style w:type="paragraph" w:customStyle="1" w:styleId="7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6">
    <w:name w:val="1"/>
    <w:basedOn w:val="1"/>
    <w:next w:val="1"/>
    <w:qFormat/>
    <w:uiPriority w:val="0"/>
  </w:style>
  <w:style w:type="paragraph" w:customStyle="1" w:styleId="77">
    <w:name w:val="表格文字"/>
    <w:basedOn w:val="1"/>
    <w:qFormat/>
    <w:uiPriority w:val="0"/>
    <w:pPr>
      <w:adjustRightInd w:val="0"/>
      <w:spacing w:line="420" w:lineRule="atLeast"/>
      <w:jc w:val="left"/>
      <w:textAlignment w:val="baseline"/>
    </w:pPr>
    <w:rPr>
      <w:kern w:val="0"/>
      <w:szCs w:val="20"/>
    </w:rPr>
  </w:style>
  <w:style w:type="paragraph" w:customStyle="1" w:styleId="78">
    <w:name w:val="表格"/>
    <w:basedOn w:val="1"/>
    <w:qFormat/>
    <w:uiPriority w:val="0"/>
    <w:pPr>
      <w:jc w:val="center"/>
      <w:textAlignment w:val="center"/>
    </w:pPr>
    <w:rPr>
      <w:rFonts w:ascii="华文细黑" w:hAnsi="华文细黑"/>
      <w:kern w:val="0"/>
      <w:szCs w:val="20"/>
    </w:rPr>
  </w:style>
  <w:style w:type="paragraph" w:customStyle="1" w:styleId="79">
    <w:name w:val="表格方字"/>
    <w:basedOn w:val="1"/>
    <w:qFormat/>
    <w:uiPriority w:val="0"/>
    <w:pPr>
      <w:adjustRightInd w:val="0"/>
      <w:spacing w:before="60" w:after="60" w:line="420" w:lineRule="atLeast"/>
      <w:jc w:val="left"/>
      <w:textAlignment w:val="baseline"/>
    </w:pPr>
    <w:rPr>
      <w:kern w:val="0"/>
      <w:szCs w:val="20"/>
    </w:rPr>
  </w:style>
  <w:style w:type="paragraph" w:customStyle="1" w:styleId="80">
    <w:name w:val="表头"/>
    <w:basedOn w:val="79"/>
    <w:qFormat/>
    <w:uiPriority w:val="0"/>
    <w:rPr>
      <w:rFonts w:ascii="黑体" w:eastAsia="黑体"/>
      <w:b/>
    </w:rPr>
  </w:style>
  <w:style w:type="paragraph" w:customStyle="1" w:styleId="81">
    <w:name w:val="表格1"/>
    <w:basedOn w:val="1"/>
    <w:qFormat/>
    <w:uiPriority w:val="0"/>
    <w:pPr>
      <w:adjustRightInd w:val="0"/>
      <w:spacing w:line="420" w:lineRule="atLeast"/>
      <w:ind w:left="284"/>
      <w:textAlignment w:val="baseline"/>
    </w:pPr>
    <w:rPr>
      <w:kern w:val="0"/>
      <w:szCs w:val="20"/>
    </w:rPr>
  </w:style>
  <w:style w:type="paragraph" w:customStyle="1" w:styleId="82">
    <w:name w:val=" Char Char Char Char Char Char"/>
    <w:basedOn w:val="1"/>
    <w:qFormat/>
    <w:uiPriority w:val="0"/>
  </w:style>
  <w:style w:type="paragraph" w:customStyle="1" w:styleId="83">
    <w:name w:val=" Char"/>
    <w:basedOn w:val="1"/>
    <w:qFormat/>
    <w:uiPriority w:val="0"/>
  </w:style>
  <w:style w:type="paragraph" w:customStyle="1" w:styleId="84">
    <w:name w:val=" Char1"/>
    <w:basedOn w:val="1"/>
    <w:qFormat/>
    <w:uiPriority w:val="0"/>
  </w:style>
  <w:style w:type="paragraph" w:customStyle="1" w:styleId="85">
    <w:name w:val="Char"/>
    <w:basedOn w:val="1"/>
    <w:qFormat/>
    <w:uiPriority w:val="0"/>
  </w:style>
  <w:style w:type="paragraph" w:customStyle="1" w:styleId="86">
    <w:name w:val=" Char Char Char Char Char Char Char Char Char Char Char Char Char Char Char Char Char Char1 Char Char Char Char"/>
    <w:basedOn w:val="1"/>
    <w:qFormat/>
    <w:uiPriority w:val="0"/>
  </w:style>
  <w:style w:type="paragraph" w:customStyle="1" w:styleId="87">
    <w:name w:val="_Style 86"/>
    <w:semiHidden/>
    <w:qFormat/>
    <w:uiPriority w:val="99"/>
    <w:rPr>
      <w:rFonts w:ascii="Times New Roman" w:hAnsi="Times New Roman" w:eastAsia="宋体" w:cs="Times New Roman"/>
      <w:kern w:val="2"/>
      <w:sz w:val="21"/>
      <w:szCs w:val="24"/>
      <w:lang w:val="en-US" w:eastAsia="zh-CN" w:bidi="ar-SA"/>
    </w:rPr>
  </w:style>
  <w:style w:type="paragraph" w:customStyle="1" w:styleId="88">
    <w:name w:val="_Style 87"/>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89">
    <w:name w:val="Char Char Char"/>
    <w:basedOn w:val="1"/>
    <w:qFormat/>
    <w:uiPriority w:val="0"/>
    <w:rPr>
      <w:szCs w:val="20"/>
    </w:rPr>
  </w:style>
  <w:style w:type="paragraph" w:customStyle="1" w:styleId="90">
    <w:name w:val="WPSOffice手动目录 1"/>
    <w:qFormat/>
    <w:uiPriority w:val="0"/>
    <w:pPr>
      <w:ind w:leftChars="0"/>
    </w:pPr>
    <w:rPr>
      <w:rFonts w:ascii="Times New Roman" w:hAnsi="Times New Roman" w:eastAsia="宋体" w:cs="Times New Roman"/>
      <w:sz w:val="20"/>
      <w:szCs w:val="20"/>
    </w:rPr>
  </w:style>
  <w:style w:type="paragraph" w:customStyle="1" w:styleId="91">
    <w:name w:val="WPSOffice手动目录 3"/>
    <w:qFormat/>
    <w:uiPriority w:val="0"/>
    <w:pPr>
      <w:ind w:leftChars="400"/>
    </w:pPr>
    <w:rPr>
      <w:rFonts w:ascii="Times New Roman" w:hAnsi="Times New Roman" w:eastAsia="宋体" w:cs="Times New Roman"/>
      <w:sz w:val="20"/>
      <w:szCs w:val="20"/>
    </w:rPr>
  </w:style>
  <w:style w:type="paragraph" w:customStyle="1" w:styleId="92">
    <w:name w:val="WPSOffice手动目录 2"/>
    <w:qFormat/>
    <w:uiPriority w:val="0"/>
    <w:pPr>
      <w:ind w:leftChars="200"/>
    </w:pPr>
    <w:rPr>
      <w:rFonts w:ascii="Times New Roman" w:hAnsi="Times New Roman" w:eastAsia="宋体" w:cs="Times New Roman"/>
      <w:sz w:val="20"/>
      <w:szCs w:val="20"/>
    </w:rPr>
  </w:style>
  <w:style w:type="table" w:customStyle="1" w:styleId="93">
    <w:name w:val="Table Normal"/>
    <w:autoRedefine/>
    <w:semiHidden/>
    <w:unhideWhenUsed/>
    <w:qFormat/>
    <w:uiPriority w:val="0"/>
    <w:tblPr>
      <w:tblCellMar>
        <w:top w:w="0" w:type="dxa"/>
        <w:left w:w="0" w:type="dxa"/>
        <w:bottom w:w="0" w:type="dxa"/>
        <w:right w:w="0" w:type="dxa"/>
      </w:tblCellMar>
    </w:tblPr>
  </w:style>
  <w:style w:type="paragraph" w:customStyle="1" w:styleId="9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wmf"/><Relationship Id="rId53" Type="http://schemas.openxmlformats.org/officeDocument/2006/relationships/oleObject" Target="embeddings/oleObject1.bin"/><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25.xml"/><Relationship Id="rId5" Type="http://schemas.openxmlformats.org/officeDocument/2006/relationships/header" Target="header2.xml"/><Relationship Id="rId49" Type="http://schemas.openxmlformats.org/officeDocument/2006/relationships/header" Target="header22.xml"/><Relationship Id="rId48" Type="http://schemas.openxmlformats.org/officeDocument/2006/relationships/header" Target="header21.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20.xml"/><Relationship Id="rId44" Type="http://schemas.openxmlformats.org/officeDocument/2006/relationships/header" Target="header19.xml"/><Relationship Id="rId43" Type="http://schemas.openxmlformats.org/officeDocument/2006/relationships/footer" Target="footer22.xml"/><Relationship Id="rId42" Type="http://schemas.openxmlformats.org/officeDocument/2006/relationships/footer" Target="footer21.xml"/><Relationship Id="rId41" Type="http://schemas.openxmlformats.org/officeDocument/2006/relationships/footer" Target="footer20.xml"/><Relationship Id="rId40" Type="http://schemas.openxmlformats.org/officeDocument/2006/relationships/header" Target="header18.xml"/><Relationship Id="rId4" Type="http://schemas.openxmlformats.org/officeDocument/2006/relationships/header" Target="header1.xml"/><Relationship Id="rId39" Type="http://schemas.openxmlformats.org/officeDocument/2006/relationships/header" Target="header17.xml"/><Relationship Id="rId38" Type="http://schemas.openxmlformats.org/officeDocument/2006/relationships/footer" Target="footer19.xml"/><Relationship Id="rId37" Type="http://schemas.openxmlformats.org/officeDocument/2006/relationships/header" Target="header16.xml"/><Relationship Id="rId36" Type="http://schemas.openxmlformats.org/officeDocument/2006/relationships/footer" Target="footer18.xml"/><Relationship Id="rId35" Type="http://schemas.openxmlformats.org/officeDocument/2006/relationships/header" Target="header15.xml"/><Relationship Id="rId34" Type="http://schemas.openxmlformats.org/officeDocument/2006/relationships/footer" Target="footer17.xml"/><Relationship Id="rId33" Type="http://schemas.openxmlformats.org/officeDocument/2006/relationships/header" Target="header14.xml"/><Relationship Id="rId32" Type="http://schemas.openxmlformats.org/officeDocument/2006/relationships/footer" Target="footer16.xml"/><Relationship Id="rId31" Type="http://schemas.openxmlformats.org/officeDocument/2006/relationships/header" Target="header13.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260</Pages>
  <Words>3861</Words>
  <Characters>5259</Characters>
  <Lines>1513</Lines>
  <Paragraphs>426</Paragraphs>
  <TotalTime>8</TotalTime>
  <ScaleCrop>false</ScaleCrop>
  <LinksUpToDate>false</LinksUpToDate>
  <CharactersWithSpaces>6925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2016-09-27T13:48:00Z</dcterms:created>
  <dc:creator>袁静</dc:creator>
  <cp:lastModifiedBy>Administrator</cp:lastModifiedBy>
  <cp:lastPrinted>2026-04-02T06:00:00Z</cp:lastPrinted>
  <dcterms:modified xsi:type="dcterms:W3CDTF">2026-04-10T05:34:35Z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1B32F33C869E49EA9B1EFB0C6360A8ED_13</vt:lpwstr>
  </property>
  <property fmtid="{D5CDD505-2E9C-101B-9397-08002B2CF9AE}" pid="4" name="KSOTemplateDocerSaveRecord">
    <vt:lpwstr>eyJoZGlkIjoiYTgxMTg4ZmM5YjI4NWNiMjk2ZTg2NDBkYTY0YWM3MDMiLCJ1c2VySWQiOiIyNTAyOTA4MjEifQ==</vt:lpwstr>
  </property>
</Properties>
</file>