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081D9">
      <w:pPr>
        <w:pStyle w:val="15"/>
        <w:keepNext w:val="0"/>
        <w:keepLines w:val="0"/>
        <w:pageBreakBefore w:val="0"/>
        <w:widowControl w:val="0"/>
        <w:kinsoku/>
        <w:wordWrap w:val="0"/>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r>
        <w:rPr>
          <w:rFonts w:hint="eastAsia" w:ascii="Times New Roman" w:eastAsia="黑体" w:cs="Times New Roman"/>
          <w:color w:val="auto"/>
          <w:sz w:val="31"/>
          <w:szCs w:val="31"/>
          <w:highlight w:val="none"/>
          <w:u w:val="single"/>
          <w:lang w:eastAsia="zh-CN"/>
        </w:rPr>
        <w:t>辽宁省</w:t>
      </w:r>
    </w:p>
    <w:p w14:paraId="40FAD502">
      <w:pPr>
        <w:pStyle w:val="15"/>
        <w:pageBreakBefore w:val="0"/>
        <w:kinsoku/>
        <w:wordWrap w:val="0"/>
        <w:bidi w:val="0"/>
        <w:spacing w:line="440" w:lineRule="exact"/>
        <w:jc w:val="center"/>
        <w:rPr>
          <w:rFonts w:hint="default" w:ascii="Times New Roman" w:hAnsi="Times New Roman" w:eastAsia="黑体" w:cs="Times New Roman"/>
          <w:b w:val="0"/>
          <w:bCs w:val="0"/>
          <w:color w:val="auto"/>
          <w:sz w:val="31"/>
          <w:szCs w:val="31"/>
          <w:highlight w:val="none"/>
        </w:rPr>
      </w:pPr>
      <w:r>
        <w:rPr>
          <w:rFonts w:hint="default" w:ascii="Times New Roman" w:hAnsi="Times New Roman" w:eastAsia="黑体" w:cs="Times New Roman"/>
          <w:b w:val="0"/>
          <w:bCs w:val="0"/>
          <w:color w:val="auto"/>
          <w:sz w:val="31"/>
          <w:szCs w:val="31"/>
          <w:highlight w:val="none"/>
          <w:u w:val="single"/>
        </w:rPr>
        <w:t>大石桥市2026年农村公路维修改造工程—大修</w:t>
      </w:r>
      <w:r>
        <w:rPr>
          <w:rFonts w:hint="default" w:ascii="Times New Roman" w:hAnsi="Times New Roman" w:eastAsia="黑体" w:cs="Times New Roman"/>
          <w:b w:val="0"/>
          <w:bCs w:val="0"/>
          <w:color w:val="auto"/>
          <w:sz w:val="31"/>
          <w:szCs w:val="31"/>
          <w:highlight w:val="none"/>
        </w:rPr>
        <w:t>（项目名称）</w:t>
      </w:r>
    </w:p>
    <w:p w14:paraId="17928808">
      <w:pPr>
        <w:pStyle w:val="15"/>
        <w:pageBreakBefore w:val="0"/>
        <w:kinsoku/>
        <w:wordWrap w:val="0"/>
        <w:bidi w:val="0"/>
        <w:spacing w:line="440" w:lineRule="exact"/>
        <w:jc w:val="center"/>
        <w:rPr>
          <w:rFonts w:hint="default" w:ascii="Times New Roman" w:hAnsi="Times New Roman" w:eastAsia="黑体" w:cs="Times New Roman"/>
          <w:color w:val="auto"/>
          <w:sz w:val="31"/>
          <w:szCs w:val="31"/>
          <w:highlight w:val="none"/>
        </w:rPr>
      </w:pPr>
      <w:r>
        <w:rPr>
          <w:rFonts w:hint="eastAsia" w:ascii="Times New Roman" w:eastAsia="黑体" w:cs="Times New Roman"/>
          <w:b w:val="0"/>
          <w:bCs w:val="0"/>
          <w:color w:val="auto"/>
          <w:sz w:val="31"/>
          <w:szCs w:val="31"/>
          <w:highlight w:val="none"/>
          <w:u w:val="single"/>
          <w:lang w:eastAsia="zh-CN"/>
        </w:rPr>
        <w:t>大石桥市2026年农村公路维修改造工程—大修（一标段）</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color w:val="auto"/>
          <w:sz w:val="31"/>
          <w:szCs w:val="31"/>
          <w:highlight w:val="none"/>
        </w:rPr>
        <w:t>施工招标</w:t>
      </w:r>
    </w:p>
    <w:p w14:paraId="15BBC37C">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5EF133EE">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7739D2A9">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3D2FDBDE">
      <w:pPr>
        <w:pageBreakBefore w:val="0"/>
        <w:kinsoku/>
        <w:wordWrap w:val="0"/>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lang w:eastAsia="zh-CN"/>
        </w:rPr>
        <w:t>项目编号</w:t>
      </w:r>
      <w:r>
        <w:rPr>
          <w:rFonts w:hint="default" w:ascii="Times New Roman" w:hAnsi="Times New Roman" w:eastAsia="黑体" w:cs="Times New Roman"/>
          <w:color w:val="auto"/>
          <w:sz w:val="28"/>
          <w:szCs w:val="28"/>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eastAsia="黑体" w:cs="Times New Roman"/>
          <w:color w:val="auto"/>
          <w:sz w:val="28"/>
          <w:szCs w:val="28"/>
          <w:highlight w:val="none"/>
        </w:rPr>
        <w:t>）</w:t>
      </w:r>
    </w:p>
    <w:p w14:paraId="0DF6FEF3">
      <w:pPr>
        <w:pageBreakBefore w:val="0"/>
        <w:kinsoku/>
        <w:wordWrap w:val="0"/>
        <w:bidi w:val="0"/>
        <w:spacing w:line="440" w:lineRule="exact"/>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 </w:t>
      </w:r>
    </w:p>
    <w:p w14:paraId="64B24238">
      <w:pPr>
        <w:pageBreakBefore w:val="0"/>
        <w:kinsoku/>
        <w:wordWrap w:val="0"/>
        <w:bidi w:val="0"/>
        <w:spacing w:line="440" w:lineRule="exact"/>
        <w:rPr>
          <w:rFonts w:hint="default" w:ascii="Times New Roman" w:hAnsi="Times New Roman" w:cs="Times New Roman"/>
          <w:color w:val="auto"/>
          <w:sz w:val="20"/>
          <w:szCs w:val="20"/>
          <w:highlight w:val="none"/>
        </w:rPr>
      </w:pPr>
    </w:p>
    <w:p w14:paraId="068AC959">
      <w:pPr>
        <w:pStyle w:val="16"/>
        <w:rPr>
          <w:rFonts w:hint="default" w:ascii="Times New Roman" w:hAnsi="Times New Roman" w:cs="Times New Roman"/>
          <w:color w:val="auto"/>
          <w:sz w:val="20"/>
          <w:szCs w:val="20"/>
          <w:highlight w:val="none"/>
        </w:rPr>
      </w:pPr>
    </w:p>
    <w:p w14:paraId="05C1EA58">
      <w:pPr>
        <w:pStyle w:val="16"/>
        <w:rPr>
          <w:rFonts w:hint="default" w:ascii="Times New Roman" w:hAnsi="Times New Roman" w:cs="Times New Roman"/>
          <w:color w:val="auto"/>
          <w:sz w:val="20"/>
          <w:szCs w:val="20"/>
          <w:highlight w:val="none"/>
        </w:rPr>
      </w:pPr>
    </w:p>
    <w:p w14:paraId="34DD8C29">
      <w:pPr>
        <w:pStyle w:val="16"/>
        <w:rPr>
          <w:rFonts w:hint="default" w:ascii="Times New Roman" w:hAnsi="Times New Roman" w:cs="Times New Roman"/>
          <w:color w:val="auto"/>
          <w:sz w:val="20"/>
          <w:szCs w:val="20"/>
          <w:highlight w:val="none"/>
        </w:rPr>
      </w:pPr>
    </w:p>
    <w:p w14:paraId="51B7DBCD">
      <w:pPr>
        <w:pageBreakBefore w:val="0"/>
        <w:kinsoku/>
        <w:wordWrap w:val="0"/>
        <w:bidi w:val="0"/>
        <w:spacing w:line="440" w:lineRule="exact"/>
        <w:rPr>
          <w:rFonts w:hint="default" w:ascii="Times New Roman" w:hAnsi="Times New Roman" w:cs="Times New Roman"/>
          <w:color w:val="auto"/>
          <w:sz w:val="20"/>
          <w:szCs w:val="20"/>
          <w:highlight w:val="none"/>
        </w:rPr>
      </w:pPr>
    </w:p>
    <w:p w14:paraId="57A8F9D7">
      <w:pPr>
        <w:pageBreakBefore w:val="0"/>
        <w:kinsoku/>
        <w:wordWrap w:val="0"/>
        <w:bidi w:val="0"/>
        <w:spacing w:line="860" w:lineRule="exact"/>
        <w:jc w:val="center"/>
        <w:rPr>
          <w:rFonts w:hint="default" w:ascii="Times New Roman" w:hAnsi="Times New Roman" w:eastAsia="黑体" w:cs="Times New Roman"/>
          <w:color w:val="auto"/>
          <w:sz w:val="50"/>
          <w:szCs w:val="50"/>
          <w:highlight w:val="none"/>
        </w:rPr>
      </w:pPr>
      <w:r>
        <w:rPr>
          <w:rFonts w:hint="default" w:ascii="Times New Roman" w:hAnsi="Times New Roman" w:eastAsia="黑体" w:cs="Times New Roman"/>
          <w:color w:val="auto"/>
          <w:sz w:val="50"/>
          <w:szCs w:val="50"/>
          <w:highlight w:val="none"/>
        </w:rPr>
        <w:t>招 标 文 件</w:t>
      </w:r>
    </w:p>
    <w:p w14:paraId="447785E9">
      <w:pPr>
        <w:pageBreakBefore w:val="0"/>
        <w:kinsoku/>
        <w:wordWrap w:val="0"/>
        <w:bidi w:val="0"/>
        <w:spacing w:line="440" w:lineRule="exact"/>
        <w:rPr>
          <w:rFonts w:hint="default" w:ascii="Times New Roman" w:hAnsi="Times New Roman" w:cs="Times New Roman"/>
          <w:color w:val="auto"/>
          <w:sz w:val="20"/>
          <w:szCs w:val="20"/>
          <w:highlight w:val="none"/>
        </w:rPr>
      </w:pPr>
    </w:p>
    <w:p w14:paraId="0DDE5F5A">
      <w:pPr>
        <w:pageBreakBefore w:val="0"/>
        <w:kinsoku/>
        <w:wordWrap w:val="0"/>
        <w:bidi w:val="0"/>
        <w:spacing w:line="440" w:lineRule="exact"/>
        <w:rPr>
          <w:rFonts w:hint="default" w:ascii="Times New Roman" w:hAnsi="Times New Roman" w:cs="Times New Roman"/>
          <w:color w:val="auto"/>
          <w:sz w:val="20"/>
          <w:szCs w:val="20"/>
          <w:highlight w:val="none"/>
        </w:rPr>
      </w:pPr>
    </w:p>
    <w:p w14:paraId="7C21304B">
      <w:pPr>
        <w:pageBreakBefore w:val="0"/>
        <w:kinsoku/>
        <w:wordWrap w:val="0"/>
        <w:bidi w:val="0"/>
        <w:spacing w:line="440" w:lineRule="exact"/>
        <w:rPr>
          <w:rFonts w:hint="default" w:ascii="Times New Roman" w:hAnsi="Times New Roman" w:cs="Times New Roman"/>
          <w:color w:val="auto"/>
          <w:sz w:val="20"/>
          <w:szCs w:val="20"/>
          <w:highlight w:val="none"/>
        </w:rPr>
      </w:pPr>
    </w:p>
    <w:p w14:paraId="1DDF5250">
      <w:pPr>
        <w:pageBreakBefore w:val="0"/>
        <w:kinsoku/>
        <w:wordWrap w:val="0"/>
        <w:bidi w:val="0"/>
        <w:spacing w:line="440" w:lineRule="exact"/>
        <w:rPr>
          <w:rFonts w:hint="default" w:ascii="Times New Roman" w:hAnsi="Times New Roman" w:cs="Times New Roman"/>
          <w:color w:val="auto"/>
          <w:sz w:val="20"/>
          <w:szCs w:val="20"/>
          <w:highlight w:val="none"/>
        </w:rPr>
      </w:pPr>
    </w:p>
    <w:p w14:paraId="34296E2E">
      <w:pPr>
        <w:pageBreakBefore w:val="0"/>
        <w:kinsoku/>
        <w:wordWrap w:val="0"/>
        <w:bidi w:val="0"/>
        <w:spacing w:line="440" w:lineRule="exact"/>
        <w:rPr>
          <w:rFonts w:hint="default" w:ascii="Times New Roman" w:hAnsi="Times New Roman" w:cs="Times New Roman"/>
          <w:color w:val="auto"/>
          <w:sz w:val="20"/>
          <w:szCs w:val="20"/>
          <w:highlight w:val="none"/>
        </w:rPr>
      </w:pPr>
    </w:p>
    <w:p w14:paraId="44596C28">
      <w:pPr>
        <w:pageBreakBefore w:val="0"/>
        <w:kinsoku/>
        <w:wordWrap w:val="0"/>
        <w:bidi w:val="0"/>
        <w:spacing w:line="440" w:lineRule="exact"/>
        <w:rPr>
          <w:rFonts w:hint="default" w:ascii="Times New Roman" w:hAnsi="Times New Roman" w:cs="Times New Roman"/>
          <w:color w:val="auto"/>
          <w:sz w:val="20"/>
          <w:szCs w:val="20"/>
          <w:highlight w:val="none"/>
        </w:rPr>
      </w:pPr>
    </w:p>
    <w:p w14:paraId="25365C3C">
      <w:pPr>
        <w:pageBreakBefore w:val="0"/>
        <w:kinsoku/>
        <w:wordWrap w:val="0"/>
        <w:bidi w:val="0"/>
        <w:spacing w:line="440" w:lineRule="exact"/>
        <w:rPr>
          <w:rFonts w:hint="default" w:ascii="Times New Roman" w:hAnsi="Times New Roman" w:cs="Times New Roman"/>
          <w:color w:val="auto"/>
          <w:sz w:val="20"/>
          <w:szCs w:val="20"/>
          <w:highlight w:val="none"/>
        </w:rPr>
      </w:pPr>
    </w:p>
    <w:p w14:paraId="6F5213CD">
      <w:pPr>
        <w:pageBreakBefore w:val="0"/>
        <w:kinsoku/>
        <w:wordWrap w:val="0"/>
        <w:bidi w:val="0"/>
        <w:spacing w:line="70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招标人：</w:t>
      </w:r>
      <w:r>
        <w:rPr>
          <w:rFonts w:hint="default" w:ascii="Times New Roman" w:hAnsi="Times New Roman" w:eastAsia="黑体" w:cs="Times New Roman"/>
          <w:color w:val="auto"/>
          <w:sz w:val="28"/>
          <w:szCs w:val="28"/>
          <w:highlight w:val="none"/>
          <w:u w:val="single"/>
        </w:rPr>
        <w:t>大石桥市交通运输事务中心</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1830F088">
      <w:pPr>
        <w:pageBreakBefore w:val="0"/>
        <w:kinsoku/>
        <w:wordWrap w:val="0"/>
        <w:bidi w:val="0"/>
        <w:spacing w:line="700" w:lineRule="exact"/>
        <w:jc w:val="center"/>
        <w:rPr>
          <w:rFonts w:hint="default" w:ascii="Times New Roman" w:hAnsi="Times New Roman" w:cs="Times New Roman"/>
          <w:color w:val="auto"/>
          <w:sz w:val="28"/>
          <w:szCs w:val="28"/>
          <w:highlight w:val="none"/>
        </w:rPr>
      </w:pPr>
      <w:r>
        <w:rPr>
          <w:rFonts w:hint="default" w:ascii="Times New Roman" w:hAnsi="Times New Roman" w:eastAsia="黑体" w:cs="Times New Roman"/>
          <w:color w:val="auto"/>
          <w:sz w:val="28"/>
          <w:szCs w:val="28"/>
          <w:highlight w:val="none"/>
        </w:rPr>
        <w:t>招标代理机构：</w:t>
      </w:r>
      <w:r>
        <w:rPr>
          <w:rFonts w:hint="default" w:ascii="Times New Roman" w:hAnsi="Times New Roman" w:eastAsia="黑体" w:cs="Times New Roman"/>
          <w:color w:val="auto"/>
          <w:sz w:val="28"/>
          <w:szCs w:val="28"/>
          <w:highlight w:val="none"/>
          <w:u w:val="single"/>
        </w:rPr>
        <w:t>合亿工程管理咨询有限公司</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560E6634">
      <w:pPr>
        <w:pageBreakBefore w:val="0"/>
        <w:kinsoku/>
        <w:wordWrap w:val="0"/>
        <w:bidi w:val="0"/>
        <w:spacing w:line="700" w:lineRule="exact"/>
        <w:ind w:firstLine="2259" w:firstLineChars="807"/>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eastAsia" w:eastAsia="黑体" w:cs="Times New Roman"/>
          <w:color w:val="auto"/>
          <w:sz w:val="28"/>
          <w:szCs w:val="28"/>
          <w:highlight w:val="none"/>
          <w:u w:val="single"/>
          <w:lang w:val="en-US" w:eastAsia="zh-CN"/>
        </w:rPr>
        <w:t>2026</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7D416600">
      <w:pPr>
        <w:pageBreakBefore w:val="0"/>
        <w:kinsoku/>
        <w:wordWrap w:val="0"/>
        <w:bidi w:val="0"/>
        <w:spacing w:line="352" w:lineRule="atLeast"/>
        <w:jc w:val="center"/>
        <w:rPr>
          <w:rFonts w:hint="default" w:ascii="Times New Roman" w:hAnsi="Times New Roman" w:eastAsia="黑体" w:cs="Times New Roman"/>
          <w:color w:val="auto"/>
          <w:sz w:val="36"/>
          <w:szCs w:val="36"/>
          <w:highlight w:val="none"/>
        </w:rPr>
        <w:sectPr>
          <w:headerReference r:id="rId4" w:type="default"/>
          <w:footerReference r:id="rId6" w:type="default"/>
          <w:headerReference r:id="rId5" w:type="even"/>
          <w:footerReference r:id="rId7" w:type="even"/>
          <w:footnotePr>
            <w:numFmt w:val="decimalEnclosedCircleChinese"/>
            <w:numRestart w:val="eachPage"/>
          </w:footnotePr>
          <w:pgSz w:w="11907" w:h="16840"/>
          <w:pgMar w:top="1588" w:right="1588" w:bottom="1474" w:left="1644" w:header="851" w:footer="851" w:gutter="0"/>
          <w:pgNumType w:fmt="upperRoman" w:start="1"/>
          <w:cols w:space="720" w:num="1"/>
          <w:docGrid w:linePitch="312" w:charSpace="0"/>
        </w:sectPr>
      </w:pPr>
    </w:p>
    <w:p w14:paraId="02C5F336">
      <w:pPr>
        <w:pageBreakBefore w:val="0"/>
        <w:kinsoku/>
        <w:wordWrap w:val="0"/>
        <w:bidi w:val="0"/>
        <w:spacing w:line="352" w:lineRule="atLeast"/>
        <w:jc w:val="center"/>
        <w:rPr>
          <w:rFonts w:hint="default" w:ascii="Times New Roman" w:hAnsi="Times New Roman" w:eastAsia="黑体" w:cs="Times New Roman"/>
          <w:color w:val="auto"/>
          <w:sz w:val="36"/>
          <w:szCs w:val="36"/>
          <w:highlight w:val="none"/>
        </w:rPr>
      </w:pPr>
      <w:r>
        <w:rPr>
          <w:rFonts w:hint="default" w:ascii="Times New Roman" w:hAnsi="Times New Roman" w:eastAsia="黑体" w:cs="Times New Roman"/>
          <w:color w:val="auto"/>
          <w:sz w:val="36"/>
          <w:szCs w:val="36"/>
          <w:highlight w:val="none"/>
        </w:rPr>
        <w:t>目     录</w:t>
      </w:r>
    </w:p>
    <w:sdt>
      <w:sdtPr>
        <w:rPr>
          <w:rFonts w:ascii="宋体" w:hAnsi="宋体" w:eastAsia="宋体" w:cs="Times New Roman"/>
          <w:color w:val="auto"/>
          <w:kern w:val="2"/>
          <w:sz w:val="21"/>
          <w:szCs w:val="24"/>
          <w:highlight w:val="none"/>
          <w:lang w:val="en-US" w:eastAsia="zh-CN" w:bidi="ar-SA"/>
        </w:rPr>
        <w:id w:val="147469203"/>
        <w15:color w:val="DBDBDB"/>
        <w:docPartObj>
          <w:docPartGallery w:val="Table of Contents"/>
          <w:docPartUnique/>
        </w:docPartObj>
      </w:sdtPr>
      <w:sdtEndPr>
        <w:rPr>
          <w:rFonts w:hint="default" w:ascii="Times New Roman" w:hAnsi="Times New Roman" w:eastAsia="宋体" w:cs="Times New Roman"/>
          <w:b w:val="0"/>
          <w:bCs w:val="0"/>
          <w:i w:val="0"/>
          <w:iCs w:val="0"/>
          <w:color w:val="auto"/>
          <w:kern w:val="2"/>
          <w:sz w:val="21"/>
          <w:szCs w:val="21"/>
          <w:highlight w:val="none"/>
          <w:lang w:val="en-US" w:eastAsia="zh-CN" w:bidi="ar-SA"/>
        </w:rPr>
      </w:sdtEndPr>
      <w:sdtContent>
        <w:p w14:paraId="33757C6B">
          <w:pPr>
            <w:spacing w:before="0" w:beforeLines="0" w:after="0" w:afterLines="0" w:line="240" w:lineRule="auto"/>
            <w:ind w:left="0" w:leftChars="0" w:right="0" w:rightChars="0" w:firstLine="0" w:firstLineChars="0"/>
            <w:jc w:val="center"/>
            <w:rPr>
              <w:color w:val="auto"/>
              <w:highlight w:val="none"/>
            </w:rPr>
          </w:pPr>
        </w:p>
        <w:p w14:paraId="68A82290">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sz w:val="20"/>
              <w:szCs w:val="20"/>
              <w:highlight w:val="none"/>
            </w:rPr>
          </w:pPr>
          <w:r>
            <w:rPr>
              <w:rFonts w:hint="default" w:ascii="Times New Roman" w:hAnsi="Times New Roman" w:eastAsia="宋体" w:cs="Times New Roman"/>
              <w:b w:val="0"/>
              <w:bCs w:val="0"/>
              <w:i w:val="0"/>
              <w:iCs w:val="0"/>
              <w:color w:val="auto"/>
              <w:sz w:val="20"/>
              <w:szCs w:val="20"/>
              <w:highlight w:val="none"/>
            </w:rPr>
            <w:fldChar w:fldCharType="begin"/>
          </w:r>
          <w:r>
            <w:rPr>
              <w:rFonts w:hint="default" w:ascii="Times New Roman" w:hAnsi="Times New Roman" w:eastAsia="宋体" w:cs="Times New Roman"/>
              <w:b w:val="0"/>
              <w:bCs w:val="0"/>
              <w:i w:val="0"/>
              <w:iCs w:val="0"/>
              <w:color w:val="auto"/>
              <w:sz w:val="20"/>
              <w:szCs w:val="20"/>
              <w:highlight w:val="none"/>
            </w:rPr>
            <w:instrText xml:space="preserve">TOC \o "1-3" \h \u </w:instrText>
          </w:r>
          <w:r>
            <w:rPr>
              <w:rFonts w:hint="default" w:ascii="Times New Roman" w:hAnsi="Times New Roman" w:eastAsia="宋体" w:cs="Times New Roman"/>
              <w:b w:val="0"/>
              <w:bCs w:val="0"/>
              <w:i w:val="0"/>
              <w:iCs w:val="0"/>
              <w:color w:val="auto"/>
              <w:sz w:val="20"/>
              <w:szCs w:val="20"/>
              <w:highlight w:val="none"/>
            </w:rPr>
            <w:fldChar w:fldCharType="separate"/>
          </w: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_Toc14869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一 卷</w:t>
          </w:r>
          <w:r>
            <w:rPr>
              <w:rFonts w:hint="default" w:ascii="Times New Roman" w:hAnsi="Times New Roman" w:eastAsia="黑体" w:cs="Times New Roman"/>
              <w:color w:val="auto"/>
              <w:kern w:val="2"/>
              <w:sz w:val="30"/>
              <w:szCs w:val="30"/>
              <w:highlight w:val="none"/>
              <w:lang w:val="en-US" w:eastAsia="zh-CN" w:bidi="ar-SA"/>
            </w:rPr>
            <w:fldChar w:fldCharType="end"/>
          </w:r>
        </w:p>
        <w:p w14:paraId="3128218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_Toc27722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第一章  招标公告</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_Toc27722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3E1C8262">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_Toc7389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 招标条件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_Toc7389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D50D5B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项目概况与招标范围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_Toc1515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95D74D">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_Toc29935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投标人资格要求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_Toc29935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3942DE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_Toc24263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招标文件的获取</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_Toc24263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1CDEC8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_Toc7236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投标文件的递交及相关事宜</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_Toc7236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9D5119">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6. 评标办法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_Toc21427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B75885D">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_Toc31461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7</w:t>
          </w:r>
          <w:r>
            <w:rPr>
              <w:rFonts w:hint="default" w:ascii="Times New Roman" w:hAnsi="Times New Roman" w:eastAsia="宋体" w:cs="Times New Roman"/>
              <w:bCs w:val="0"/>
              <w:i w:val="0"/>
              <w:iCs w:val="0"/>
              <w:color w:val="auto"/>
              <w:sz w:val="20"/>
              <w:szCs w:val="20"/>
              <w:highlight w:val="none"/>
            </w:rPr>
            <w:t>. 发布公告的媒介</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_Toc31461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D737C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_Toc27909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8</w:t>
          </w:r>
          <w:r>
            <w:rPr>
              <w:rFonts w:hint="default" w:ascii="Times New Roman" w:hAnsi="Times New Roman" w:eastAsia="宋体" w:cs="Times New Roman"/>
              <w:bCs w:val="0"/>
              <w:i w:val="0"/>
              <w:iCs w:val="0"/>
              <w:color w:val="auto"/>
              <w:sz w:val="20"/>
              <w:szCs w:val="20"/>
              <w:highlight w:val="none"/>
            </w:rPr>
            <w:t>. 联系方式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_Toc27909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0AD53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_Toc19741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第二章  投标人须知</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_Toc19741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10</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7647E1B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投标人须知前附表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C225E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_Toc19171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附录1  资格审查条件（资质最低</w:t>
          </w:r>
          <w:r>
            <w:rPr>
              <w:rFonts w:hint="default" w:ascii="Times New Roman" w:hAnsi="Times New Roman" w:eastAsia="宋体" w:cs="Times New Roman"/>
              <w:color w:val="auto"/>
              <w:sz w:val="20"/>
              <w:szCs w:val="20"/>
              <w:highlight w:val="none"/>
              <w:lang w:eastAsia="zh-CN"/>
            </w:rPr>
            <w:t>要求</w:t>
          </w:r>
          <w:r>
            <w:rPr>
              <w:rFonts w:hint="default" w:ascii="Times New Roman" w:hAnsi="Times New Roman" w:eastAsia="宋体" w:cs="Times New Roman"/>
              <w:color w:val="auto"/>
              <w:sz w:val="20"/>
              <w:szCs w:val="20"/>
              <w:highlight w:val="none"/>
            </w:rPr>
            <w:t>）</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_Toc19171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92D69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附录2  资格审查条件（财务最低要求）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_Toc29861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0DC4D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_Toc30953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 xml:space="preserve">附录3 </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资格审查条件（业绩最低要求）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_Toc30953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EBB9C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_Toc29363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附录4  资格审查条件（信誉最低要求）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_Toc29363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23CD5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_Toc4102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附录5  资格审查条件（项目经理和项目总工最低要求）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_Toc4102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369FB1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_Toc31914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附录6  资格审查条件（其他管理和技术人员最低要求）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_Toc31914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5612BB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_Toc31451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附录7  资格审查条件（主要机械设备和试验检测设备最低要求）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_Toc31451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24BBE0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_Toc15905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总则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_Toc15905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0E5F99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项目概况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_Toc23601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5D7EE4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_Toc9736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招标项目的资金来源和落实情况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_Toc9736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41B35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招标范围、计划工期、质量要求和安全目标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CC5B4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_Toc22000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投标人资格要求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_Toc22000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FF557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_Toc8417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费用承担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_Toc8417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5A722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保密</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_Toc12508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4558E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_Toc26229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语言文字</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_Toc26229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8D303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_Toc11584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计量单位</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_Toc11584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A5504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踏勘现场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_Toc6538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E9E42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_Toc27740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1.10 投标预备会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_Toc27740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133A31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1.11 分包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_Toc24517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12389F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_Toc26907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1.12 响应和偏差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_Toc26907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C08068">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招标文件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_Toc27865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6B486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_Toc25358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招标文件的组成</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_Toc25358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7045EB">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_Toc6673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招标文件的澄清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_Toc6673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7856A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招标文件的修改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_Toc3661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A844E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招标文件的异议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DACAA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_Toc5945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投标文件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_Toc5945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B9AEE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_Toc16758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3.1投标文件的组成</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_Toc16758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5818D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_Toc25498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3.2 投标报价</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_Toc25498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D80B4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_Toc19241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3.3投标有效期</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_Toc19241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33613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_Toc19805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3.4投标保证金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_Toc19805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8005AE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3.5资格审查资料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4A56C9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 备选投标方案</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_Toc21591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50156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3.7 投标文件的编制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_Toc4837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ACBFC6">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_Toc25479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投标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_Toc25479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C0B7E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_Toc17200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 投标文件的密封和标记</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_Toc17200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6F46D2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4.2 投标文件的递交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C11EF5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4.3 投标文件的修改与撤回</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A1CB6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开标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F5781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_Toc2581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 开标时间和地点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_Toc2581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AA63E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_Toc8283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5.2开标程序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_Toc8283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1C2DC6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_Toc29082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 开标补救措施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_Toc29082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68D92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_Toc11803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5.4开标异议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_Toc11803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CBADE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_Toc25227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评标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_Toc25227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A166D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_Toc22353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6.1评标委员会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_Toc22353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576D85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6.2 评标原则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_Toc4844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CB44C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_Toc25028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6.3 评标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_Toc25028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49AFC3A">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_Toc16883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合同授予</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_Toc16883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91DAE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7.1 中标候选人公示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0AD0B8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_Toc27197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7.2 评标结果异议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_Toc27197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9F505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_Toc20027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7.3 中标候选人履约能力审查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_Toc20027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9B3EA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_Toc19093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4 </w:t>
          </w:r>
          <w:r>
            <w:rPr>
              <w:rFonts w:hint="default" w:ascii="Times New Roman" w:hAnsi="Times New Roman" w:eastAsia="宋体" w:cs="Times New Roman"/>
              <w:bCs w:val="0"/>
              <w:i w:val="0"/>
              <w:iCs w:val="0"/>
              <w:color w:val="auto"/>
              <w:sz w:val="20"/>
              <w:szCs w:val="20"/>
              <w:highlight w:val="none"/>
            </w:rPr>
            <w:t>定标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_Toc19093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7BA0F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_Toc4728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5 中标通知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_Toc4728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2A83B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_Toc8745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6 </w:t>
          </w:r>
          <w:r>
            <w:rPr>
              <w:rFonts w:hint="default" w:ascii="Times New Roman" w:hAnsi="Times New Roman" w:eastAsia="宋体" w:cs="Times New Roman"/>
              <w:bCs w:val="0"/>
              <w:i w:val="0"/>
              <w:iCs w:val="0"/>
              <w:color w:val="auto"/>
              <w:sz w:val="20"/>
              <w:szCs w:val="20"/>
              <w:highlight w:val="none"/>
            </w:rPr>
            <w:t>中标</w:t>
          </w:r>
          <w:r>
            <w:rPr>
              <w:rFonts w:hint="default" w:ascii="Times New Roman" w:hAnsi="Times New Roman" w:eastAsia="宋体" w:cs="Times New Roman"/>
              <w:bCs w:val="0"/>
              <w:i w:val="0"/>
              <w:iCs w:val="0"/>
              <w:color w:val="auto"/>
              <w:sz w:val="20"/>
              <w:szCs w:val="20"/>
              <w:highlight w:val="none"/>
              <w:lang w:eastAsia="zh-CN"/>
            </w:rPr>
            <w:t>结果</w:t>
          </w:r>
          <w:r>
            <w:rPr>
              <w:rFonts w:hint="default" w:ascii="Times New Roman" w:hAnsi="Times New Roman" w:eastAsia="宋体" w:cs="Times New Roman"/>
              <w:bCs w:val="0"/>
              <w:i w:val="0"/>
              <w:iCs w:val="0"/>
              <w:color w:val="auto"/>
              <w:sz w:val="20"/>
              <w:szCs w:val="20"/>
              <w:highlight w:val="none"/>
            </w:rPr>
            <w:t>公告</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_Toc8745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65A90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_Toc8824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7 </w:t>
          </w:r>
          <w:r>
            <w:rPr>
              <w:rFonts w:hint="default" w:ascii="Times New Roman" w:hAnsi="Times New Roman" w:eastAsia="宋体" w:cs="Times New Roman"/>
              <w:bCs w:val="0"/>
              <w:i w:val="0"/>
              <w:iCs w:val="0"/>
              <w:color w:val="auto"/>
              <w:sz w:val="20"/>
              <w:szCs w:val="20"/>
              <w:highlight w:val="none"/>
            </w:rPr>
            <w:t>履约</w:t>
          </w:r>
          <w:r>
            <w:rPr>
              <w:rFonts w:hint="default" w:ascii="Times New Roman" w:hAnsi="Times New Roman" w:eastAsia="宋体" w:cs="Times New Roman"/>
              <w:bCs w:val="0"/>
              <w:i w:val="0"/>
              <w:iCs w:val="0"/>
              <w:color w:val="auto"/>
              <w:sz w:val="20"/>
              <w:szCs w:val="20"/>
              <w:highlight w:val="none"/>
              <w:lang w:eastAsia="zh-CN"/>
            </w:rPr>
            <w:t>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_Toc8824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EE22FD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 xml:space="preserve"> 签订合同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D61D7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_Toc11642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 纪律和监督</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_Toc11642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B7E37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.1 对招标人的纪律要求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_Toc30402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BCC97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_Toc31255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.2 对投标人的纪律要求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_Toc31255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0599E1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.3 对评标委员会成员的纪律要求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D5F6C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_Toc11335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.4 对与评标活动有关的工作人员的纪律要求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_Toc11335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965A0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.5 投诉</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_Toc15842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B8E2B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9</w:t>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需要补充的其他内容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51832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一</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 xml:space="preserve">开标记录表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_Toc31950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A259CD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_Toc18880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二</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问题澄清通知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_Toc18880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F9FE0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三</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问题的澄清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_Toc31852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E8F4E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_Toc22225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四</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中标通知书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_Toc22225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AA700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_Toc10728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第三章  评标办法（合理低价法）</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_Toc10728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58</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12A9227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_Toc8233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 xml:space="preserve">评标办法前附表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_Toc8233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8F812E2">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_Toc15748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评标方法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_Toc15748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3D7A9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评审标准</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_Toc27850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A1D6F2D">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 初步评审标准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4F40DF">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_Toc28400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 分值构成与评分标准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_Toc28400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CD0285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_Toc17186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评标程序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_Toc17186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1D6C44">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第一个信封初步评审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_Toc21337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0370EC">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3.2</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第二个信封开标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_Toc5399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FBE95D">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_Toc18266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3.3</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第二个信封初步评审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_Toc18266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30E8EF">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3.4</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第二个信封详细评审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_Toc21488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37EE68">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_Toc29441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投标文件相关信息的核查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_Toc29441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DFA432">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3.6 投标文件的澄清和说明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_Toc31365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757D85">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7 不得否决投标的情形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B75EDC2">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lang w:eastAsia="zh-CN"/>
            </w:rPr>
            <w:t>8</w:t>
          </w:r>
          <w:r>
            <w:rPr>
              <w:rFonts w:hint="default" w:ascii="Times New Roman" w:hAnsi="Times New Roman" w:eastAsia="宋体" w:cs="Times New Roman"/>
              <w:color w:val="auto"/>
              <w:sz w:val="20"/>
              <w:szCs w:val="20"/>
              <w:highlight w:val="none"/>
            </w:rPr>
            <w:t xml:space="preserve"> 评标结果</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4EFB9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_Toc16169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第四章  合同条款及格式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_Toc16169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71</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5617DAC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_Toc8515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color w:val="auto"/>
              <w:sz w:val="20"/>
              <w:szCs w:val="20"/>
              <w:highlight w:val="none"/>
            </w:rPr>
            <w:t>第一节  通用合同条款</w:t>
          </w:r>
          <w:r>
            <w:rPr>
              <w:rFonts w:hint="default" w:ascii="Times New Roman" w:hAnsi="Times New Roman" w:eastAsia="黑体" w:cs="Times New Roman"/>
              <w:color w:val="auto"/>
              <w:sz w:val="20"/>
              <w:szCs w:val="20"/>
              <w:highlight w:val="none"/>
            </w:rPr>
            <w:tab/>
          </w:r>
          <w:r>
            <w:rPr>
              <w:rFonts w:hint="default" w:ascii="Times New Roman" w:hAnsi="Times New Roman" w:eastAsia="黑体" w:cs="Times New Roman"/>
              <w:color w:val="auto"/>
              <w:sz w:val="20"/>
              <w:szCs w:val="20"/>
              <w:highlight w:val="none"/>
            </w:rPr>
            <w:fldChar w:fldCharType="begin"/>
          </w:r>
          <w:r>
            <w:rPr>
              <w:rFonts w:hint="default" w:ascii="Times New Roman" w:hAnsi="Times New Roman" w:eastAsia="黑体" w:cs="Times New Roman"/>
              <w:color w:val="auto"/>
              <w:sz w:val="20"/>
              <w:szCs w:val="20"/>
              <w:highlight w:val="none"/>
            </w:rPr>
            <w:instrText xml:space="preserve"> PAGEREF _Toc8515 \h </w:instrText>
          </w:r>
          <w:r>
            <w:rPr>
              <w:rFonts w:hint="default" w:ascii="Times New Roman" w:hAnsi="Times New Roman" w:eastAsia="黑体" w:cs="Times New Roman"/>
              <w:color w:val="auto"/>
              <w:sz w:val="20"/>
              <w:szCs w:val="20"/>
              <w:highlight w:val="none"/>
            </w:rPr>
            <w:fldChar w:fldCharType="separate"/>
          </w:r>
          <w:r>
            <w:rPr>
              <w:rFonts w:hint="default" w:ascii="Times New Roman" w:hAnsi="Times New Roman" w:eastAsia="黑体" w:cs="Times New Roman"/>
              <w:color w:val="auto"/>
              <w:sz w:val="20"/>
              <w:szCs w:val="20"/>
              <w:highlight w:val="none"/>
            </w:rPr>
            <w:t>72</w:t>
          </w:r>
          <w:r>
            <w:rPr>
              <w:rFonts w:hint="default" w:ascii="Times New Roman" w:hAnsi="Times New Roman" w:eastAsia="黑体" w:cs="Times New Roman"/>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575438D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通用合同条款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1AD3E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_Toc19605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一般约定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_Toc19605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E9239F">
          <w:pPr>
            <w:pStyle w:val="28"/>
            <w:keepNext w:val="0"/>
            <w:keepLines w:val="0"/>
            <w:pageBreakBefore w:val="0"/>
            <w:tabs>
              <w:tab w:val="right" w:pos="2400"/>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_Toc10273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t>词语定义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_Toc10273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8ED5A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_Toc7828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 语言文字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_Toc7828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65429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 法律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_Toc17380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D9968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 合同文件的优先顺序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_Toc3631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3DA9E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 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E14E7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_Toc20779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 图纸和承包人文件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_Toc20779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20C2BD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_Toc25686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 联络</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_Toc25686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CD3F0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_Toc5598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 转让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_Toc5598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B62D49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 严禁贿赂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4F9BD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1.10 化石、文物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_Toc24319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0352AF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_Toc13641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专利技术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_Toc13641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9FE9F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_Toc16391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1.12 图纸和文件的保密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_Toc16391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1C51F2">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发包人义务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_Toc1422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594347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_Toc21730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 遵守法律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_Toc21730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375C2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 发出开工通知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_Toc21405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FD55F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_Toc27640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 提供施工场地</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_Toc27640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199488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_Toc5430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 协助承包人办理证件和批件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_Toc5430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7A48F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_Toc29377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2.5 组织设计交底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_Toc29377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46A0D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_Toc32192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2.6 支付合同价款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_Toc32192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5D9DE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_Toc9105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2.7 组织竣工验收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_Toc9105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DC20E8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2.8 其他义务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_Toc2212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5B2F3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监理人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_Toc5384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15CD37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 监理人的职责和权力</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5C9864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3.2 总监理工程师</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FF4C0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_Toc25149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3.3 监理人员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_Toc25149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415F6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3.4 监理人的指示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_Toc12190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82780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3.5商定或确定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_Toc3027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95305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_Toc6619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承包人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_Toc6619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6F680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_Toc30908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_Toc30908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3DF44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_Toc11867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4.2 履约担保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_Toc11867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25CAB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_Toc3877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4.3 分包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_Toc3877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9BB04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_Toc16004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4.4联合体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_Toc16004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92F4E4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4.5 承包人项目经理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_Toc30493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FF3FA5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4.6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CE2E41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_Toc19924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4.7 撤换承包人项目经理和其他人员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_Toc19924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563629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4.8 保障承包人人员的合法权益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0E99A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_Toc5051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4.9 工程价款应专款专用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_Toc5051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F57C0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4.10 承包人现场查勘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_Toc7089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E2901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_Toc13491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_Toc13491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61E4E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材料和工程设备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_Toc2987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3157C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5.1 承包人提供的材料和工程设备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_Toc17077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7DEF2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5.2 发包人提供的材料和工程设备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_Toc17398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10D954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_Toc32393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5.3 材料和工程设备专用于合同工程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_Toc32393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AE6D2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5.4 禁止使用不合格的材料和工程设备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D46BE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施工设备和临时设施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_Toc26517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7CBF11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_Toc14244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6.1 承包人提供的施工设备和临时设施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_Toc14244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0675A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6.2 发包人提供的施工设备和临时设施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_Toc4812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FADC31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6.3 要求承包人增加或更换施工设备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97C78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6.4 施工设备和临时设施专用于合同工程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_Toc18996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6DDECA">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_Toc18503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交通运输</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_Toc18503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090A9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_Toc16812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7.1 道路通行权和场外设施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_Toc16812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7BABF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_Toc9296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7.2 场内施工道路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_Toc9296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A27237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_Toc21208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7.3 场外交通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_Toc21208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34499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_Toc15125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7.4 超大件和超重件的运输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_Toc15125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B1CC9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7.5 道路和桥梁的损坏责任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FC846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_Toc25193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7.6 水路和航空运输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_Toc25193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E61F2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_Toc20896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 测量放线</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_Toc20896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781E7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8.1 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_Toc709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E6A9D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_Toc4204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8.2 施工测量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_Toc4204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A3FEC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_Toc27621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8.3 基准资料错误的责任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_Toc27621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FB152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_Toc21794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8.4 监理人使用施工控制网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_Toc21794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70889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_Toc19364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 施工安全、治安保卫和环境保护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_Toc19364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45364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_Toc8674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9.1 发包人的施工安全责任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_Toc8674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5EE8C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_Toc16523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9.2 承包人的施工安全责任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_Toc16523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71929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9.3 治安保卫</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F5C58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_Toc30186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9.4 环境保护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_Toc30186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130AB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_Toc25938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9.5 事故处理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_Toc25938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F05DE7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 进度计划</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_Toc12198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BFBB6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_Toc6712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_Toc6712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DF90EF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10.2 合同进度计划的修订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6FB70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_Toc30089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开工和竣工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_Toc30089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B6D76E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_Toc19831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开工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_Toc19831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A9D4D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_Toc21663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11.2竣工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_Toc21663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8E068C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11.3 发包人的工期延误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_Toc7100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F5756C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3F91F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_Toc21931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11.5 承包人的工期延误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_Toc21931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5760D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_Toc4477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11.6 工期提前</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_Toc4477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CB1CC8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_Toc6904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暂停施工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_Toc6904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D87AB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_Toc4704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_Toc4704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920C3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12.2 发包人暂停施工的责任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D1C08B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_Toc18672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12.3 监理人暂停施工指示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_Toc18672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DF7C7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_Toc9838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12.4 暂停施工后的复工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_Toc9838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81191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_Toc23504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12.5 暂停施工持续56天以上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_Toc23504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6AA15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_Toc11532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工程质量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_Toc11532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E13BB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13.1 工程质量要求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_Toc5217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A2B8F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13.2 承包人的质量管理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_Toc32691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34A60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13.3 承包人的质量检查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B37A4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13.4 监理人的质量检查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_Toc29172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D447C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_Toc25084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13.5 工程隐蔽部位覆盖前的检查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_Toc25084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43301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_Toc30792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13.6 清除不合格工程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_Toc30792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06C3B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_Toc7865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试验和检验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_Toc7865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322DC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_Toc19607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14.1 材料、工程设备和工程的试验和检验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_Toc19607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BC894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14.2 现场材料试验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_Toc2015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761AD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_Toc19986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14.3 现场工艺试验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_Toc19986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FF3A67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_Toc32585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变更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_Toc32585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DD0FA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_Toc23647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15.1 变更的范围和内容</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_Toc23647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FA5C31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_Toc15961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15.2 变更权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_Toc15961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A19B7E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_Toc30516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15.3 变更程序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_Toc30516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6C24B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15.4 变更的估价原则</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1C8A8F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15.5 承包人的合理化建议</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_Toc10517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AA8C1A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15.6 暂列金额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_Toc27871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DB9028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15.7 计日工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E8EB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_Toc19722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15.8暂估价</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_Toc19722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BBC3B5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_Toc7147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价格调整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_Toc7147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58A849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16.1 物价波动引起的价格调整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_Toc29053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49FB7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16.2 法律变化引起的价格调整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_Toc5910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196DB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_Toc11413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计量与支付</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_Toc11413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DDEF7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_Toc11688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17.1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_Toc11688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3C740F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_Toc10349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17.2 预付款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_Toc10349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798B5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6793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_Toc27494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17.4 质量保证金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_Toc27494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D2BF8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_Toc26637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17.5 竣工结算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_Toc26637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21E61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17.6 最终结清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_Toc13815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9E33F1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_Toc29576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竣工验收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_Toc29576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6B286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_Toc11287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18.1 竣工验收的含义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_Toc11287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3D882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_Toc3760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18.2 竣工验收申请报告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_Toc3760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0CB4FB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_Toc30208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18.3 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_Toc30208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7B5CB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_Toc11780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18.4 单位工程验收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_Toc11780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0E9908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18.5施工期运行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70111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18.6 试运行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F0757C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_Toc26314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18.7 竣工清场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_Toc26314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46A892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18.8施工队伍的撤离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_Toc7517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9738B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_Toc7332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缺陷责任与保修责任</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_Toc7332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85F9C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19.1 缺陷责任期的起算时间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_Toc29823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C1D92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_Toc28619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19.2 缺陷责任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_Toc28619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E1746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_Toc10617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19.3 缺陷责任期的延长</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_Toc10617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F949B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_Toc7466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19.4 进一步试验和试运行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_Toc7466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F721F9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19.5 承包人的进入权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D29788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19.6 缺陷责任期终止证书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_Toc20655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A486A8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_Toc21869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19.7 保修责任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_Toc21869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9879A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_Toc31666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20. 保险</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_Toc31666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34B0B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20.1工程保险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_Toc2070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9181F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_Toc20291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20.2人员工伤事故的保险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_Toc20291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60920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_Toc14046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20.3 人身意外伤害险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_Toc14046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056454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20.4 第三者责任险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DB06E6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_Toc11738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20.5 其他保险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_Toc11738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6AEBC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20.6 对各项保险的一般要求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482A2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不可抗力</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_Toc5907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A818B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_Toc16484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C7EE18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21.2 不可抗力的通知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_Toc29589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100B8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21.3 不可抗力后果及其处理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_Toc23687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502326">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违约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_Toc10830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38E80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_Toc13969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578CE4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_Toc17071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AD1D3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22.3第三人造成的违约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_Toc5779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01664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_Toc20829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索赔</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_Toc20829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11D3DD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_Toc24590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23.1 承包人索赔的提出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_Toc24590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0DD4F1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_Toc3967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23.2 承包人索赔处理程序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_Toc3967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7DB0A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_Toc25742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23.3 承包人提出索赔的期限</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_Toc25742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E4011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23.4 发包人的索赔</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_Toc6508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106F2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_Toc30654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 争议的解决</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_Toc30654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2E1C3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_Toc21148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24.1 争议的解决方式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_Toc21148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296C57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_Toc28189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24.2 友好解决</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_Toc28189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DB1EA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_Toc28601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24.3 争议评审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_Toc28601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C61D8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_Toc9532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第二节  专用合同条款</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_Toc9532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114</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312DC91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A. 公路工程专用合同条款</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_Toc29088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36196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_Toc12763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一般约定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_Toc12763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3DAD537">
          <w:pPr>
            <w:pStyle w:val="28"/>
            <w:keepNext w:val="0"/>
            <w:keepLines w:val="0"/>
            <w:pageBreakBefore w:val="0"/>
            <w:tabs>
              <w:tab w:val="right" w:pos="2400"/>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t>词语定义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DF7F6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_Toc18641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 合同文件的优先顺序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_Toc18641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A5285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 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D32C72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_Toc12395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 图纸和承包人文件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_Toc12395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D18C0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_Toc16791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 严禁贿赂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_Toc16791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7A8CC1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发包人义务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_Toc21468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162B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_Toc8131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 提供施工场地</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_Toc8131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95FB7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_Toc17755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监理人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_Toc17755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10F89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 监理人的职责和权力</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30827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3.5商定或确定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_Toc5389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E739D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承包人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20DFCF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_Toc31924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A752E1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4.2 履约保证金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E5A97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_Toc31152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4.3 分包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_Toc31152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446B5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4.4联合体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_Toc13827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4D349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4.6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90D19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_Toc6774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4.7 撤换承包人项目经理和其他人员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_Toc6774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3DB8A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4.9 工程价款应专款专用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E2447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_Toc23321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4.10 承包人现场查勘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_Toc23321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5473F6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_Toc29003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878C6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_Toc6244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4.12 投标文件的完备性</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_Toc6244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8758A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4.13 开展党建工作要求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_Toc31801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5FBC9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材料和工程设备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_Toc17097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89E02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_Toc24736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5.2 发包人提供的材料和工程设备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_Toc24736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194D8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施工设备和临时设施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_Toc7033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36B40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_Toc13056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6.1 承包人提供的施工设备和临时设施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_Toc13056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0D2AB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_Toc17575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6.3 要求承包人增加或更换施工设备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_Toc17575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A2A8F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交通运输</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_Toc13743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9BC93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_Toc9360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7.1 道路通行权和场外设施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_Toc9360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76326ED">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 测量放线</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_Toc13868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AB07A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_Toc14863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8.4 监理人使用施工控制网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_Toc14863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FF064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 施工安全、治安保卫和环境保护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_Toc18932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3B6C36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9.2 承包人的施工安全责任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315F1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_Toc3892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9.4 环境保护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_Toc3892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D45E2CD">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_Toc4201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 进度计划</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_Toc4201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A2593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_Toc30665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_Toc30665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596D7E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10.2 合同进度计划的修订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89D22E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_Toc6499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10.3 年度施工计划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_Toc6499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A0CF3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10.4 合同用款计划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98035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_Toc5080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开工和交工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_Toc5080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08B01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开工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CB738F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_Toc26339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11.3 发包人的工期延误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_Toc26339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55EE0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6205E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11.5 承包人的工期延误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_Toc6870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3AD4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11.6 工期提前</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7236F9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_Toc31771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11.7 工作时间的限制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_Toc31771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154CC0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_Toc32362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暂停施工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_Toc32362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D5C32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_Toc26479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_Toc26479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B8D26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_Toc6010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工程质量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_Toc6010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C395E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_Toc21819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13.1 工程质量要求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_Toc21819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5AF28B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_Toc17602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13.2 承包人的质量管理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_Toc17602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F4660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13.4 监理人的质量检查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B051B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_Toc16459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13.5 工程隐蔽部位覆盖前的检查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_Toc16459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ED3F2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_Toc27156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13.6 清除不合格工程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_Toc27156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7BE740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试验和检验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8892C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_Toc28540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14.4 试验和检验费用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_Toc28540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26079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_Toc3751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变更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_Toc3751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E39E6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_Toc9262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15.1 变更的范围和内容</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_Toc9262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04D75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15.3 变更程序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_Toc4853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56A1D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15.4 变更的估价原则</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_Toc24386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F7443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15.5 承包人的合理化建议</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_Toc31843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4BD20A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15.6暂列金额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_Toc31508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16C4B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_Toc10292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价格调整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_Toc10292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A18F3D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_Toc25323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16.1 物价波动引起的价格调整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_Toc25323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B7DE6E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计量与支付</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89052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_Toc10995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17.1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_Toc10995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E94A3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17.2 预付款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A4A21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_Toc27923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_Toc27923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BDEDB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17.4 质量保证金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1704B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_Toc14691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17.5 交工结算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_Toc14691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7CCBB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17.6 最终结清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4034B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_Toc8009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交工验收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_Toc8009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1D8610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_Toc11196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18.2 交工验收申请报告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_Toc11196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75E3C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_Toc15493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18.3 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_Toc15493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4724E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_Toc7218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18.9 竣工文件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_Toc7218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46355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缺陷责任与保修责任</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_Toc27071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454437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_Toc4936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19.2 缺陷责任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_Toc4936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2EE72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_Toc6222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19.5 承包人的进入权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_Toc6222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05D940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19.7 保修责任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_Toc7118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533F5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20. 保险</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_Toc21318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2AF30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_Toc14820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20.1工程保险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_Toc14820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91E8F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_Toc9762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20.4 第三者责任险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_Toc9762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52AF9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_Toc27537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20.5 其他保险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_Toc27537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07329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_Toc32122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20.6 对各项保险的一般要求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_Toc32122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CD9C25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不可抗力</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_Toc24331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0D9E5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_Toc31397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54E7A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21.3 不可抗力后果及其处理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_Toc5219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1D4AA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_Toc14650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违约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_Toc14650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C09C1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C7775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_Toc15822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5D3C4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索赔</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_Toc1579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071F72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23.1 承包人索赔的提出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_Toc16220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BD175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_Toc16608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23.2 承包人索赔处理程序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_Toc16608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AA4BB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 争议的解决</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_Toc18749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D00A60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24.3 争议评审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B458ED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_Toc24990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24.4 仲裁</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_Toc24990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E5D2B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24.5 仲裁的执行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_Toc9071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51929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项目专用合同条款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F337E3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_Toc5802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_Toc5802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ABDC5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_Toc18399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w:t>
          </w:r>
          <w:r>
            <w:rPr>
              <w:rFonts w:hint="default" w:ascii="Times New Roman" w:hAnsi="Times New Roman" w:eastAsia="宋体" w:cs="Times New Roman"/>
              <w:color w:val="auto"/>
              <w:sz w:val="20"/>
              <w:szCs w:val="20"/>
              <w:highlight w:val="none"/>
              <w:lang w:val="en-US" w:eastAsia="zh-CN"/>
            </w:rPr>
            <w:t>6</w:t>
          </w:r>
          <w:r>
            <w:rPr>
              <w:rFonts w:hint="default" w:ascii="Times New Roman" w:hAnsi="Times New Roman" w:eastAsia="宋体" w:cs="Times New Roman"/>
              <w:color w:val="auto"/>
              <w:sz w:val="20"/>
              <w:szCs w:val="20"/>
              <w:highlight w:val="none"/>
            </w:rPr>
            <w:t xml:space="preserve">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_Toc18399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41E2F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_Toc9683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_Toc9683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82CEE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_Toc6510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B39EE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_Toc12199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3C70F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33368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_Toc30476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w:t>
          </w:r>
          <w:r>
            <w:rPr>
              <w:rFonts w:hint="default" w:ascii="Times New Roman" w:hAnsi="Times New Roman" w:eastAsia="宋体" w:cs="Times New Roman"/>
              <w:color w:val="auto"/>
              <w:sz w:val="20"/>
              <w:szCs w:val="20"/>
              <w:highlight w:val="none"/>
              <w:lang w:eastAsia="zh-CN"/>
            </w:rPr>
            <w:t>7</w:t>
          </w:r>
          <w:r>
            <w:rPr>
              <w:rFonts w:hint="default" w:ascii="Times New Roman" w:hAnsi="Times New Roman" w:eastAsia="宋体" w:cs="Times New Roman"/>
              <w:color w:val="auto"/>
              <w:sz w:val="20"/>
              <w:szCs w:val="20"/>
              <w:highlight w:val="none"/>
            </w:rPr>
            <w:t>.1</w:t>
          </w:r>
          <w:r>
            <w:rPr>
              <w:rFonts w:hint="default" w:ascii="Times New Roman" w:hAnsi="Times New Roman" w:eastAsia="宋体" w:cs="Times New Roman"/>
              <w:color w:val="auto"/>
              <w:sz w:val="20"/>
              <w:szCs w:val="20"/>
              <w:highlight w:val="none"/>
              <w:lang w:eastAsia="zh-CN"/>
            </w:rPr>
            <w:t xml:space="preserve">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_Toc30476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A5AF6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_Toc16941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_Toc16941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AC18A4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_Toc22128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_Toc22128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92FE4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_Toc21348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955CD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_Toc8006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_Toc8006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12A278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_Toc25493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第三节  合同附件格式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_Toc25493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160</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2CF79EC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附件一</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_Toc3639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161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9071FCB">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_Toc6478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附件二</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廉政合同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_Toc6478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163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15F07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附件三</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安全生产合同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_Toc29870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55F1E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附件四</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 xml:space="preserve">其他管理和技术人员最低要求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_Toc30403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7795A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_Toc3353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附件五</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主要机械设备和试验检测设备最低要求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_Toc3353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D1DF69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_Toc16392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附件六</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项目经理委任书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_Toc16392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51C7A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附件八</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工程资金监管协议格式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3A964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_Toc22372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第五章  工程量清单</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_Toc22372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173</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4E96780B">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_Toc27980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 工程量清单说明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_Toc27980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F5F38F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_Toc8713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 投标报价说明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_Toc8713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73A9DA">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_Toc14325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 计日工说明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_Toc14325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F7B368">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_Toc6095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其他说明</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_Toc6095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1FCC86">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_Toc22314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工程量清单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_Toc22314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18082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1275" w:firstLineChars="425"/>
            <w:textAlignment w:val="auto"/>
            <w:rPr>
              <w:rFonts w:hint="default" w:ascii="Times New Roman" w:hAnsi="Times New Roman" w:eastAsia="黑体" w:cs="Times New Roman"/>
              <w:color w:val="auto"/>
              <w:kern w:val="2"/>
              <w:sz w:val="30"/>
              <w:szCs w:val="30"/>
              <w:highlight w:val="none"/>
              <w:lang w:val="en-US" w:eastAsia="zh-CN" w:bidi="ar-SA"/>
            </w:rPr>
          </w:pPr>
        </w:p>
        <w:p w14:paraId="3953D75D">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_Toc2859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二  卷</w:t>
          </w:r>
          <w:r>
            <w:rPr>
              <w:rFonts w:hint="default" w:ascii="Times New Roman" w:hAnsi="Times New Roman" w:eastAsia="黑体" w:cs="Times New Roman"/>
              <w:color w:val="auto"/>
              <w:kern w:val="2"/>
              <w:sz w:val="30"/>
              <w:szCs w:val="30"/>
              <w:highlight w:val="none"/>
              <w:lang w:val="en-US" w:eastAsia="zh-CN" w:bidi="ar-SA"/>
            </w:rPr>
            <w:fldChar w:fldCharType="end"/>
          </w:r>
        </w:p>
        <w:p w14:paraId="3D3E66FE">
          <w:pPr>
            <w:rPr>
              <w:rFonts w:hint="default"/>
              <w:color w:val="auto"/>
              <w:highlight w:val="none"/>
              <w:lang w:val="en-US" w:eastAsia="zh-CN"/>
            </w:rPr>
          </w:pPr>
        </w:p>
        <w:p w14:paraId="420304D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_Toc16666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第六章  图纸（另册）</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_Toc16666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207</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272672CF">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p>
        <w:p w14:paraId="055E2818">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_Toc27800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三  卷</w:t>
          </w:r>
          <w:r>
            <w:rPr>
              <w:rFonts w:hint="default" w:ascii="Times New Roman" w:hAnsi="Times New Roman" w:eastAsia="黑体" w:cs="Times New Roman"/>
              <w:color w:val="auto"/>
              <w:kern w:val="2"/>
              <w:sz w:val="30"/>
              <w:szCs w:val="30"/>
              <w:highlight w:val="none"/>
              <w:lang w:val="en-US" w:eastAsia="zh-CN" w:bidi="ar-SA"/>
            </w:rPr>
            <w:fldChar w:fldCharType="end"/>
          </w:r>
        </w:p>
        <w:p w14:paraId="2F5210E4">
          <w:pPr>
            <w:rPr>
              <w:rFonts w:hint="default"/>
              <w:color w:val="auto"/>
              <w:highlight w:val="none"/>
              <w:lang w:val="en-US" w:eastAsia="zh-CN"/>
            </w:rPr>
          </w:pPr>
        </w:p>
        <w:p w14:paraId="4A2FBE9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_Toc18862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第七章  技术规范（另册）</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_Toc18862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209</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475E8C6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_Toc32110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第八章  工程量清单计量规则</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_Toc32110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210</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4E07C38E">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p>
        <w:p w14:paraId="48ECDF61">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_Toc1042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四  卷</w:t>
          </w:r>
          <w:r>
            <w:rPr>
              <w:rFonts w:hint="default" w:ascii="Times New Roman" w:hAnsi="Times New Roman" w:eastAsia="黑体" w:cs="Times New Roman"/>
              <w:color w:val="auto"/>
              <w:kern w:val="2"/>
              <w:sz w:val="30"/>
              <w:szCs w:val="30"/>
              <w:highlight w:val="none"/>
              <w:lang w:val="en-US" w:eastAsia="zh-CN" w:bidi="ar-SA"/>
            </w:rPr>
            <w:fldChar w:fldCharType="end"/>
          </w:r>
        </w:p>
        <w:p w14:paraId="2DC3656A">
          <w:pPr>
            <w:rPr>
              <w:rFonts w:hint="default"/>
              <w:color w:val="auto"/>
              <w:highlight w:val="none"/>
              <w:lang w:val="en-US" w:eastAsia="zh-CN"/>
            </w:rPr>
          </w:pPr>
        </w:p>
        <w:p w14:paraId="51F850C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_Toc16811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第九章  投标文件格式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_Toc16811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212</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3FD0F4D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_Toc11971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目     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_Toc11971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214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3B1247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_Toc26238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一、投标函及投标函附录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_Toc26238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215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FF25B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_Toc12342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（一） 投 标 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_Toc12342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215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AE6BB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_Toc30343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（二）投标函附录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_Toc30343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216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4F2D6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二、授权委托书或法定代表人身份证明</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_Toc5786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BAA069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（一）授权委托书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_Toc1277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9DBE1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_Toc5869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（二）法定代表人身份证明</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_Toc5869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714D8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_Toc12038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三、联合体协议书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_Toc12038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05021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四、投标保证金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_Toc3440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9DD2EE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五、施工组织设计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363E1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_Toc5183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六、项目管理机构</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_Toc5183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59DDD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七、拟分包项目情况表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06F5F6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八</w:t>
          </w:r>
          <w:r>
            <w:rPr>
              <w:rFonts w:hint="default" w:ascii="Times New Roman" w:hAnsi="Times New Roman" w:eastAsia="宋体" w:cs="Times New Roman"/>
              <w:bCs w:val="0"/>
              <w:i w:val="0"/>
              <w:iCs w:val="0"/>
              <w:color w:val="auto"/>
              <w:sz w:val="20"/>
              <w:szCs w:val="20"/>
              <w:highlight w:val="none"/>
            </w:rPr>
            <w:t>、资格审查资料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_Toc18949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E1173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（一）投标人基本情况表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B9D70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（二）投标人企业组织机构框图</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8ACC9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_Toc10365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三</w:t>
          </w:r>
          <w:r>
            <w:rPr>
              <w:rFonts w:hint="default" w:ascii="Times New Roman" w:hAnsi="Times New Roman" w:eastAsia="宋体" w:cs="Times New Roman"/>
              <w:bCs w:val="0"/>
              <w:i w:val="0"/>
              <w:iCs w:val="0"/>
              <w:color w:val="auto"/>
              <w:sz w:val="20"/>
              <w:szCs w:val="20"/>
              <w:highlight w:val="none"/>
            </w:rPr>
            <w:t>）近年财务状况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_Toc10365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90633E">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_Toc21134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四</w:t>
          </w:r>
          <w:r>
            <w:rPr>
              <w:rFonts w:hint="default" w:ascii="Times New Roman" w:hAnsi="Times New Roman" w:eastAsia="宋体" w:cs="Times New Roman"/>
              <w:bCs w:val="0"/>
              <w:i w:val="0"/>
              <w:iCs w:val="0"/>
              <w:color w:val="auto"/>
              <w:sz w:val="20"/>
              <w:szCs w:val="20"/>
              <w:highlight w:val="none"/>
            </w:rPr>
            <w:t>）近年完成的类似项目情况表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_Toc21134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214C7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_Toc17918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（五） 投标人的信誉情况表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_Toc17918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4B5DA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_Toc13882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（六）拟委任的项目经理和项目总工资历表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_Toc13882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FCB77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_Toc26510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七</w:t>
          </w:r>
          <w:r>
            <w:rPr>
              <w:rFonts w:hint="default" w:ascii="Times New Roman" w:hAnsi="Times New Roman" w:eastAsia="宋体" w:cs="Times New Roman"/>
              <w:bCs w:val="0"/>
              <w:i w:val="0"/>
              <w:iCs w:val="0"/>
              <w:color w:val="auto"/>
              <w:sz w:val="20"/>
              <w:szCs w:val="20"/>
              <w:highlight w:val="none"/>
            </w:rPr>
            <w:t>）拟委任的其他管理和技术人员汇总表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_Toc26510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579E8D">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_Toc26724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八</w:t>
          </w:r>
          <w:r>
            <w:rPr>
              <w:rFonts w:hint="default" w:ascii="Times New Roman" w:hAnsi="Times New Roman" w:eastAsia="宋体" w:cs="Times New Roman"/>
              <w:bCs w:val="0"/>
              <w:i w:val="0"/>
              <w:iCs w:val="0"/>
              <w:color w:val="auto"/>
              <w:sz w:val="20"/>
              <w:szCs w:val="20"/>
              <w:highlight w:val="none"/>
            </w:rPr>
            <w:t>）拟委任的其他管理和技术人员资历表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_Toc26724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645982">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九</w:t>
          </w:r>
          <w:r>
            <w:rPr>
              <w:rFonts w:hint="default" w:ascii="Times New Roman" w:hAnsi="Times New Roman" w:eastAsia="宋体" w:cs="Times New Roman"/>
              <w:bCs w:val="0"/>
              <w:i w:val="0"/>
              <w:iCs w:val="0"/>
              <w:color w:val="auto"/>
              <w:sz w:val="20"/>
              <w:szCs w:val="20"/>
              <w:highlight w:val="none"/>
            </w:rPr>
            <w:t>） 拟投入本标段的主要施工机械表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_Toc5789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DCBA4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_Toc27702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（十） 拟配备本标段的主要材料试验、测量、质检仪器设备表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_Toc27702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26A09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_Toc13139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九</w:t>
          </w:r>
          <w:r>
            <w:rPr>
              <w:rFonts w:hint="default" w:ascii="Times New Roman" w:hAnsi="Times New Roman" w:eastAsia="宋体" w:cs="Times New Roman"/>
              <w:bCs w:val="0"/>
              <w:i w:val="0"/>
              <w:iCs w:val="0"/>
              <w:color w:val="auto"/>
              <w:sz w:val="20"/>
              <w:szCs w:val="20"/>
              <w:highlight w:val="none"/>
            </w:rPr>
            <w:t>、投标人告知承诺函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_Toc13139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EBE4F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十</w:t>
          </w:r>
          <w:r>
            <w:rPr>
              <w:rFonts w:hint="default" w:ascii="Times New Roman" w:hAnsi="Times New Roman" w:eastAsia="宋体" w:cs="Times New Roman"/>
              <w:bCs w:val="0"/>
              <w:i w:val="0"/>
              <w:iCs w:val="0"/>
              <w:color w:val="auto"/>
              <w:sz w:val="20"/>
              <w:szCs w:val="20"/>
              <w:highlight w:val="none"/>
            </w:rPr>
            <w:t>、其他</w:t>
          </w:r>
          <w:r>
            <w:rPr>
              <w:rFonts w:hint="default" w:ascii="Times New Roman" w:hAnsi="Times New Roman" w:eastAsia="宋体" w:cs="Times New Roman"/>
              <w:bCs w:val="0"/>
              <w:i w:val="0"/>
              <w:iCs w:val="0"/>
              <w:color w:val="auto"/>
              <w:sz w:val="20"/>
              <w:szCs w:val="20"/>
              <w:highlight w:val="none"/>
              <w:lang w:eastAsia="zh-CN"/>
            </w:rPr>
            <w:t>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_Toc3120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5307D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_Toc9512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一、投标函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_Toc9512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D82FC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_Toc9477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二、已标价工程量清单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_Toc9477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83E81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_Toc25809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三、合同用款估算表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_Toc25809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72E315">
          <w:pPr>
            <w:keepNext w:val="0"/>
            <w:keepLines w:val="0"/>
            <w:pageBreakBefore w:val="0"/>
            <w:kinsoku/>
            <w:wordWrap w:val="0"/>
            <w:overflowPunct/>
            <w:topLinePunct w:val="0"/>
            <w:autoSpaceDE/>
            <w:autoSpaceDN/>
            <w:bidi w:val="0"/>
            <w:adjustRightInd/>
            <w:snapToGrid/>
            <w:spacing w:line="440" w:lineRule="exact"/>
            <w:ind w:left="590" w:leftChars="281"/>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Cs w:val="0"/>
              <w:i w:val="0"/>
              <w:iCs w:val="0"/>
              <w:color w:val="auto"/>
              <w:sz w:val="20"/>
              <w:szCs w:val="20"/>
              <w:highlight w:val="none"/>
            </w:rPr>
            <w:fldChar w:fldCharType="end"/>
          </w:r>
        </w:p>
      </w:sdtContent>
    </w:sdt>
    <w:p w14:paraId="390CA75D">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1A50F009">
      <w:pPr>
        <w:pageBreakBefore w:val="0"/>
        <w:kinsoku/>
        <w:wordWrap w:val="0"/>
        <w:bidi w:val="0"/>
        <w:spacing w:line="352" w:lineRule="atLeast"/>
        <w:rPr>
          <w:rFonts w:hint="default" w:ascii="Times New Roman" w:hAnsi="Times New Roman" w:eastAsia="楷体_GB2312" w:cs="Times New Roman"/>
          <w:color w:val="auto"/>
          <w:szCs w:val="21"/>
          <w:highlight w:val="none"/>
        </w:rPr>
        <w:sectPr>
          <w:headerReference r:id="rId8" w:type="default"/>
          <w:footerReference r:id="rId9" w:type="default"/>
          <w:footnotePr>
            <w:numFmt w:val="decimalEnclosedCircleChinese"/>
            <w:numRestart w:val="eachPage"/>
          </w:footnotePr>
          <w:pgSz w:w="11907" w:h="16840"/>
          <w:pgMar w:top="1588" w:right="1588" w:bottom="1474" w:left="1644" w:header="851" w:footer="851" w:gutter="0"/>
          <w:pgNumType w:fmt="upperRoman" w:start="1"/>
          <w:cols w:space="720" w:num="1"/>
          <w:docGrid w:linePitch="312" w:charSpace="0"/>
        </w:sectPr>
      </w:pPr>
    </w:p>
    <w:p w14:paraId="192C4E59">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58162421">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28D2D253">
      <w:pPr>
        <w:pageBreakBefore w:val="0"/>
        <w:kinsoku/>
        <w:wordWrap w:val="0"/>
        <w:bidi w:val="0"/>
        <w:spacing w:line="352" w:lineRule="atLeast"/>
        <w:rPr>
          <w:rFonts w:hint="default" w:ascii="Times New Roman" w:hAnsi="Times New Roman" w:eastAsia="黑体" w:cs="Times New Roman"/>
          <w:color w:val="auto"/>
          <w:sz w:val="29"/>
          <w:szCs w:val="29"/>
          <w:highlight w:val="none"/>
        </w:rPr>
      </w:pPr>
    </w:p>
    <w:p w14:paraId="4843078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9DDD8F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FFB242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E099ED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624D15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F70CF1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58A27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AA87D7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58AAC2">
      <w:pPr>
        <w:keepNext w:val="0"/>
        <w:keepLines w:val="0"/>
        <w:pageBreakBefore w:val="0"/>
        <w:widowControl w:val="0"/>
        <w:kinsoku/>
        <w:wordWrap w:val="0"/>
        <w:overflowPunct/>
        <w:topLinePunct/>
        <w:autoSpaceDE/>
        <w:autoSpaceDN/>
        <w:bidi w:val="0"/>
        <w:adjustRightInd/>
        <w:snapToGrid/>
        <w:spacing w:line="240" w:lineRule="atLeast"/>
        <w:ind w:right="31" w:rightChars="15"/>
        <w:jc w:val="center"/>
        <w:textAlignment w:val="auto"/>
        <w:outlineLvl w:val="0"/>
        <w:rPr>
          <w:rFonts w:hint="default" w:ascii="Times New Roman" w:hAnsi="Times New Roman" w:eastAsia="黑体" w:cs="Times New Roman"/>
          <w:color w:val="auto"/>
          <w:sz w:val="76"/>
          <w:szCs w:val="76"/>
          <w:highlight w:val="none"/>
        </w:rPr>
      </w:pPr>
      <w:bookmarkStart w:id="0" w:name="_Toc14869"/>
      <w:r>
        <w:rPr>
          <w:rFonts w:hint="default" w:ascii="Times New Roman" w:hAnsi="Times New Roman" w:eastAsia="黑体" w:cs="Times New Roman"/>
          <w:color w:val="auto"/>
          <w:sz w:val="76"/>
          <w:szCs w:val="76"/>
          <w:highlight w:val="none"/>
        </w:rPr>
        <w:t>第  一  卷</w:t>
      </w:r>
      <w:bookmarkEnd w:id="0"/>
    </w:p>
    <w:p w14:paraId="1963FA6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sectPr>
          <w:headerReference r:id="rId10" w:type="default"/>
          <w:footerReference r:id="rId11" w:type="default"/>
          <w:footerReference r:id="rId12" w:type="even"/>
          <w:footnotePr>
            <w:numFmt w:val="decimalEnclosedCircleChinese"/>
            <w:numRestart w:val="eachPage"/>
          </w:footnotePr>
          <w:pgSz w:w="11907" w:h="16840"/>
          <w:pgMar w:top="1588" w:right="1531" w:bottom="1644" w:left="1588" w:header="851" w:footer="851" w:gutter="0"/>
          <w:pgNumType w:fmt="decimal" w:start="1"/>
          <w:cols w:space="720" w:num="1"/>
          <w:docGrid w:linePitch="312" w:charSpace="0"/>
        </w:sectPr>
      </w:pPr>
    </w:p>
    <w:p w14:paraId="10357DB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404AEC2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3AC36CD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41DBE5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EEB8492">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A2DA9D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357D781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5ED2EF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2950B04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3B6CFF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07E021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F2A9304">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color w:val="auto"/>
          <w:sz w:val="56"/>
          <w:szCs w:val="56"/>
          <w:highlight w:val="none"/>
        </w:rPr>
      </w:pPr>
      <w:bookmarkStart w:id="1" w:name="_Toc27722"/>
      <w:bookmarkStart w:id="2" w:name="_Toc16041"/>
      <w:bookmarkStart w:id="3" w:name="_Toc32078"/>
      <w:bookmarkStart w:id="4" w:name="_Toc15626"/>
      <w:r>
        <w:rPr>
          <w:rFonts w:hint="default" w:ascii="Times New Roman" w:hAnsi="Times New Roman" w:eastAsia="黑体" w:cs="Times New Roman"/>
          <w:color w:val="auto"/>
          <w:sz w:val="56"/>
          <w:szCs w:val="56"/>
          <w:highlight w:val="none"/>
        </w:rPr>
        <w:t>第一章  招标公告</w:t>
      </w:r>
      <w:bookmarkEnd w:id="1"/>
      <w:bookmarkEnd w:id="2"/>
      <w:bookmarkEnd w:id="3"/>
      <w:bookmarkEnd w:id="4"/>
    </w:p>
    <w:p w14:paraId="337339D6">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536ADB70">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footerReference r:id="rId13" w:type="default"/>
          <w:footerReference r:id="rId14"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5794B869">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color w:val="auto"/>
          <w:sz w:val="42"/>
          <w:szCs w:val="42"/>
          <w:highlight w:val="none"/>
        </w:rPr>
      </w:pPr>
      <w:bookmarkStart w:id="5" w:name="_Toc5317"/>
      <w:bookmarkStart w:id="6" w:name="_Toc4069"/>
      <w:bookmarkStart w:id="7" w:name="_Toc234832844"/>
      <w:bookmarkStart w:id="8" w:name="_Toc15669"/>
      <w:bookmarkStart w:id="9" w:name="_Toc3148"/>
      <w:r>
        <w:rPr>
          <w:rStyle w:val="53"/>
          <w:rFonts w:hint="default" w:ascii="Times New Roman" w:hAnsi="Times New Roman" w:eastAsia="黑体" w:cs="Times New Roman"/>
          <w:color w:val="auto"/>
          <w:sz w:val="42"/>
          <w:szCs w:val="42"/>
          <w:highlight w:val="none"/>
        </w:rPr>
        <w:t>第一章  招标公告</w:t>
      </w:r>
      <w:bookmarkEnd w:id="5"/>
      <w:bookmarkEnd w:id="6"/>
      <w:bookmarkEnd w:id="7"/>
      <w:r>
        <w:rPr>
          <w:rStyle w:val="47"/>
          <w:rFonts w:hint="default" w:ascii="Times New Roman" w:hAnsi="Times New Roman" w:eastAsia="黑体" w:cs="Times New Roman"/>
          <w:color w:val="auto"/>
          <w:sz w:val="42"/>
          <w:szCs w:val="42"/>
          <w:highlight w:val="none"/>
        </w:rPr>
        <w:footnoteReference w:id="0"/>
      </w:r>
      <w:bookmarkEnd w:id="8"/>
      <w:bookmarkEnd w:id="9"/>
    </w:p>
    <w:p w14:paraId="291DE138">
      <w:pPr>
        <w:pageBreakBefore w:val="0"/>
        <w:tabs>
          <w:tab w:val="center" w:pos="4153"/>
        </w:tabs>
        <w:kinsoku/>
        <w:wordWrap w:val="0"/>
        <w:bidi w:val="0"/>
        <w:spacing w:line="440" w:lineRule="exact"/>
        <w:jc w:val="center"/>
        <w:rPr>
          <w:rFonts w:hint="default" w:ascii="Times New Roman" w:hAnsi="Times New Roman" w:eastAsia="黑体" w:cs="Times New Roman"/>
          <w:color w:val="auto"/>
          <w:sz w:val="17"/>
          <w:szCs w:val="17"/>
          <w:highlight w:val="none"/>
        </w:rPr>
      </w:pPr>
    </w:p>
    <w:p w14:paraId="2E1EE868">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u w:val="single"/>
        </w:rPr>
        <w:t>大石桥市2026年农村公路维修改造工程—大修（项目名称）</w:t>
      </w:r>
    </w:p>
    <w:p w14:paraId="7632567B">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u w:val="single"/>
        </w:rPr>
      </w:pPr>
      <w:r>
        <w:rPr>
          <w:rFonts w:hint="eastAsia" w:eastAsia="黑体" w:cs="Times New Roman"/>
          <w:color w:val="auto"/>
          <w:sz w:val="28"/>
          <w:szCs w:val="28"/>
          <w:highlight w:val="none"/>
          <w:u w:val="single"/>
          <w:lang w:eastAsia="zh-CN"/>
        </w:rPr>
        <w:t>大石桥市2026年农村公路维修改造工程—大修（一标段）</w:t>
      </w:r>
      <w:r>
        <w:rPr>
          <w:rFonts w:hint="default" w:ascii="Times New Roman" w:hAnsi="Times New Roman" w:eastAsia="黑体" w:cs="Times New Roman"/>
          <w:color w:val="auto"/>
          <w:sz w:val="28"/>
          <w:szCs w:val="28"/>
          <w:highlight w:val="none"/>
          <w:u w:val="single"/>
        </w:rPr>
        <w:t>（标段名称）</w:t>
      </w:r>
    </w:p>
    <w:p w14:paraId="5768BCDF">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施工招标</w:t>
      </w:r>
      <w:r>
        <w:rPr>
          <w:rFonts w:hint="default" w:ascii="Times New Roman" w:hAnsi="Times New Roman" w:eastAsia="黑体" w:cs="Times New Roman"/>
          <w:color w:val="auto"/>
          <w:sz w:val="28"/>
          <w:szCs w:val="28"/>
          <w:highlight w:val="none"/>
        </w:rPr>
        <w:t>公告</w:t>
      </w:r>
      <w:r>
        <w:rPr>
          <w:rStyle w:val="47"/>
          <w:rFonts w:hint="default" w:ascii="Times New Roman" w:hAnsi="Times New Roman" w:eastAsia="黑体" w:cs="Times New Roman"/>
          <w:color w:val="auto"/>
          <w:sz w:val="28"/>
          <w:szCs w:val="28"/>
          <w:highlight w:val="none"/>
        </w:rPr>
        <w:footnoteReference w:id="1"/>
      </w:r>
    </w:p>
    <w:p w14:paraId="73CF9164">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5866135A">
      <w:pPr>
        <w:pStyle w:val="2"/>
        <w:pageBreakBefore w:val="0"/>
        <w:kinsoku/>
        <w:wordWrap w:val="0"/>
        <w:bidi w:val="0"/>
        <w:spacing w:before="240" w:after="240" w:line="240" w:lineRule="atLeast"/>
        <w:outlineLvl w:val="1"/>
        <w:rPr>
          <w:rFonts w:hint="default" w:ascii="Times New Roman" w:hAnsi="Times New Roman" w:cs="Times New Roman"/>
          <w:color w:val="auto"/>
          <w:sz w:val="28"/>
          <w:szCs w:val="28"/>
          <w:highlight w:val="none"/>
        </w:rPr>
      </w:pPr>
      <w:bookmarkStart w:id="10" w:name="_Toc470760973"/>
      <w:bookmarkStart w:id="11" w:name="_Toc15922"/>
      <w:bookmarkStart w:id="12" w:name="_Toc7389"/>
      <w:bookmarkStart w:id="13" w:name="_Toc3647"/>
      <w:r>
        <w:rPr>
          <w:rFonts w:hint="default" w:ascii="Times New Roman" w:hAnsi="Times New Roman" w:cs="Times New Roman"/>
          <w:color w:val="auto"/>
          <w:sz w:val="28"/>
          <w:szCs w:val="28"/>
          <w:highlight w:val="none"/>
        </w:rPr>
        <w:t xml:space="preserve">1. </w:t>
      </w:r>
      <w:r>
        <w:rPr>
          <w:rFonts w:hint="default" w:ascii="Times New Roman" w:hAnsi="Times New Roman" w:eastAsia="黑体" w:cs="Times New Roman"/>
          <w:color w:val="auto"/>
          <w:sz w:val="28"/>
          <w:szCs w:val="28"/>
          <w:highlight w:val="none"/>
        </w:rPr>
        <w:t>招标条件</w:t>
      </w:r>
      <w:bookmarkEnd w:id="10"/>
      <w:bookmarkEnd w:id="11"/>
      <w:bookmarkEnd w:id="12"/>
      <w:bookmarkEnd w:id="13"/>
    </w:p>
    <w:p w14:paraId="37455D1C">
      <w:pPr>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rPr>
        <w:t>本招标项目</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大石桥市2026年农村公路维修改造工程—大修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（项目名称）已由</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大石桥市交通运输局</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（项目审批、核准或备案机关名称）以</w:t>
      </w:r>
      <w:r>
        <w:rPr>
          <w:rFonts w:hint="eastAsia" w:ascii="宋体" w:hAnsi="宋体" w:cs="宋体"/>
          <w:color w:val="auto"/>
          <w:sz w:val="24"/>
          <w:szCs w:val="24"/>
          <w:highlight w:val="none"/>
          <w:u w:val="single"/>
          <w:lang w:val="en-US" w:eastAsia="zh-CN"/>
        </w:rPr>
        <w:t xml:space="preserve"> 大市交发[2026]39号 </w:t>
      </w:r>
      <w:r>
        <w:rPr>
          <w:rFonts w:hint="eastAsia" w:ascii="宋体" w:hAnsi="宋体" w:eastAsia="宋体" w:cs="宋体"/>
          <w:color w:val="auto"/>
          <w:sz w:val="24"/>
          <w:szCs w:val="24"/>
          <w:highlight w:val="none"/>
        </w:rPr>
        <w:t>（批文名称及编号）批准建设，施工图设计已由</w:t>
      </w:r>
      <w:r>
        <w:rPr>
          <w:rFonts w:hint="eastAsia" w:ascii="宋体" w:hAnsi="宋体" w:cs="宋体"/>
          <w:color w:val="auto"/>
          <w:sz w:val="24"/>
          <w:szCs w:val="24"/>
          <w:highlight w:val="none"/>
          <w:lang w:eastAsia="zh-CN"/>
        </w:rPr>
        <w:t>大石桥市交通运输局</w:t>
      </w:r>
      <w:r>
        <w:rPr>
          <w:rFonts w:hint="eastAsia" w:ascii="宋体" w:hAnsi="宋体" w:eastAsia="宋体" w:cs="宋体"/>
          <w:color w:val="auto"/>
          <w:sz w:val="24"/>
          <w:szCs w:val="24"/>
          <w:highlight w:val="none"/>
        </w:rPr>
        <w:t>（批准机关名称）以</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大市交发[2026]39号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（批文名称及编号）批准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 xml:space="preserve">建设资金来自  </w:t>
      </w:r>
      <w:r>
        <w:rPr>
          <w:rFonts w:hint="eastAsia" w:ascii="宋体" w:hAnsi="宋体" w:eastAsia="宋体" w:cs="宋体"/>
          <w:color w:val="auto"/>
          <w:sz w:val="24"/>
          <w:szCs w:val="24"/>
          <w:highlight w:val="none"/>
          <w:u w:val="single"/>
        </w:rPr>
        <w:t xml:space="preserve">  省补资金和地方政府配套资金    </w:t>
      </w:r>
      <w:r>
        <w:rPr>
          <w:rFonts w:hint="eastAsia" w:ascii="宋体" w:hAnsi="宋体" w:eastAsia="宋体" w:cs="宋体"/>
          <w:color w:val="auto"/>
          <w:sz w:val="24"/>
          <w:szCs w:val="24"/>
          <w:highlight w:val="none"/>
        </w:rPr>
        <w:t>（资金来源），出资比例为</w:t>
      </w:r>
      <w:r>
        <w:rPr>
          <w:rFonts w:hint="eastAsia" w:ascii="宋体" w:hAnsi="宋体" w:eastAsia="宋体" w:cs="宋体"/>
          <w:color w:val="auto"/>
          <w:sz w:val="24"/>
          <w:szCs w:val="24"/>
          <w:highlight w:val="none"/>
          <w:u w:val="single"/>
        </w:rPr>
        <w:t xml:space="preserve">   省补资金</w:t>
      </w:r>
      <w:r>
        <w:rPr>
          <w:rFonts w:hint="eastAsia" w:ascii="宋体" w:hAnsi="宋体" w:cs="宋体"/>
          <w:color w:val="auto"/>
          <w:sz w:val="24"/>
          <w:szCs w:val="24"/>
          <w:highlight w:val="none"/>
          <w:u w:val="single"/>
          <w:lang w:val="en-US" w:eastAsia="zh-CN"/>
        </w:rPr>
        <w:t>46.07</w:t>
      </w:r>
      <w:r>
        <w:rPr>
          <w:rFonts w:hint="eastAsia" w:ascii="宋体" w:hAnsi="宋体" w:eastAsia="宋体" w:cs="宋体"/>
          <w:color w:val="auto"/>
          <w:sz w:val="24"/>
          <w:szCs w:val="24"/>
          <w:highlight w:val="none"/>
          <w:u w:val="single"/>
        </w:rPr>
        <w:t>%、地方政府配套资金</w:t>
      </w:r>
      <w:r>
        <w:rPr>
          <w:rFonts w:hint="eastAsia" w:ascii="宋体" w:hAnsi="宋体" w:cs="宋体"/>
          <w:color w:val="auto"/>
          <w:sz w:val="24"/>
          <w:szCs w:val="24"/>
          <w:highlight w:val="none"/>
          <w:u w:val="single"/>
          <w:lang w:val="en-US" w:eastAsia="zh-CN"/>
        </w:rPr>
        <w:t>53.93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，本项目施工的招标人为</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大石桥市交通运输事务中心</w:t>
      </w:r>
      <w:r>
        <w:rPr>
          <w:rFonts w:hint="eastAsia" w:ascii="宋体" w:hAnsi="宋体" w:eastAsia="宋体" w:cs="宋体"/>
          <w:color w:val="auto"/>
          <w:sz w:val="24"/>
          <w:szCs w:val="24"/>
          <w:highlight w:val="none"/>
        </w:rPr>
        <w:t xml:space="preserve"> 。项目已具备招标条件，项目已具备招标条件，现对该项目的施工进行公开招标</w:t>
      </w:r>
      <w:r>
        <w:rPr>
          <w:rFonts w:hint="default" w:ascii="Times New Roman" w:hAnsi="Times New Roman" w:cs="Times New Roman"/>
          <w:color w:val="auto"/>
          <w:sz w:val="24"/>
          <w:highlight w:val="none"/>
        </w:rPr>
        <w:t xml:space="preserve">。 </w:t>
      </w:r>
    </w:p>
    <w:p w14:paraId="7EA61305">
      <w:pPr>
        <w:pStyle w:val="2"/>
        <w:pageBreakBefore w:val="0"/>
        <w:widowControl w:val="0"/>
        <w:kinsoku/>
        <w:wordWrap w:val="0"/>
        <w:overflowPunct/>
        <w:topLinePunct w:val="0"/>
        <w:autoSpaceDE/>
        <w:autoSpaceDN/>
        <w:bidi w:val="0"/>
        <w:adjustRightInd/>
        <w:snapToGrid/>
        <w:spacing w:before="240" w:after="240" w:line="400" w:lineRule="exact"/>
        <w:textAlignment w:val="auto"/>
        <w:outlineLvl w:val="1"/>
        <w:rPr>
          <w:rFonts w:hint="default" w:ascii="Times New Roman" w:hAnsi="Times New Roman" w:eastAsia="黑体" w:cs="Times New Roman"/>
          <w:color w:val="auto"/>
          <w:sz w:val="28"/>
          <w:szCs w:val="28"/>
          <w:highlight w:val="none"/>
        </w:rPr>
      </w:pPr>
      <w:bookmarkStart w:id="14" w:name="_Toc470760974"/>
      <w:bookmarkStart w:id="15" w:name="_Toc20166"/>
      <w:bookmarkStart w:id="16" w:name="_Toc1515"/>
      <w:bookmarkStart w:id="17" w:name="_Toc16754"/>
      <w:r>
        <w:rPr>
          <w:rFonts w:hint="default" w:ascii="Times New Roman" w:hAnsi="Times New Roman" w:eastAsia="黑体" w:cs="Times New Roman"/>
          <w:color w:val="auto"/>
          <w:sz w:val="28"/>
          <w:szCs w:val="28"/>
          <w:highlight w:val="none"/>
        </w:rPr>
        <w:t>2. 项目概况与招标范围</w:t>
      </w:r>
      <w:bookmarkEnd w:id="14"/>
      <w:bookmarkEnd w:id="15"/>
      <w:bookmarkEnd w:id="16"/>
      <w:bookmarkEnd w:id="17"/>
    </w:p>
    <w:p w14:paraId="7D430ECB">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2.1项目概况</w:t>
      </w:r>
    </w:p>
    <w:p w14:paraId="3540EA4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本项目为</w:t>
      </w:r>
      <w:r>
        <w:rPr>
          <w:rFonts w:hint="eastAsia" w:ascii="宋体" w:hAnsi="宋体" w:cs="宋体"/>
          <w:color w:val="auto"/>
          <w:sz w:val="24"/>
          <w:szCs w:val="24"/>
          <w:highlight w:val="none"/>
          <w:u w:val="single"/>
          <w:lang w:eastAsia="zh-CN"/>
        </w:rPr>
        <w:t>大石桥市2026年农村公路维修改造工程—大修</w:t>
      </w:r>
      <w:r>
        <w:rPr>
          <w:rFonts w:hint="eastAsia" w:ascii="宋体" w:hAnsi="宋体" w:cs="宋体"/>
          <w:color w:val="auto"/>
          <w:sz w:val="24"/>
          <w:szCs w:val="24"/>
          <w:highlight w:val="none"/>
          <w:u w:val="single"/>
          <w:lang w:val="en-US" w:eastAsia="zh-CN"/>
        </w:rPr>
        <w:t>（一标段）</w:t>
      </w:r>
      <w:r>
        <w:rPr>
          <w:rFonts w:hint="eastAsia" w:ascii="宋体" w:hAnsi="宋体" w:eastAsia="宋体" w:cs="宋体"/>
          <w:color w:val="auto"/>
          <w:sz w:val="24"/>
          <w:szCs w:val="24"/>
          <w:highlight w:val="none"/>
          <w:u w:val="single"/>
        </w:rPr>
        <w:t>， 计划全长</w:t>
      </w:r>
      <w:r>
        <w:rPr>
          <w:rFonts w:hint="eastAsia" w:ascii="宋体" w:hAnsi="宋体" w:cs="宋体"/>
          <w:color w:val="auto"/>
          <w:sz w:val="24"/>
          <w:szCs w:val="24"/>
          <w:highlight w:val="none"/>
          <w:u w:val="single"/>
          <w:lang w:val="en-US" w:eastAsia="zh-CN"/>
        </w:rPr>
        <w:t>约</w:t>
      </w:r>
      <w:r>
        <w:rPr>
          <w:rFonts w:hint="eastAsia" w:ascii="宋体" w:hAnsi="宋体" w:eastAsia="宋体" w:cs="宋体"/>
          <w:color w:val="auto"/>
          <w:sz w:val="24"/>
          <w:szCs w:val="24"/>
          <w:highlight w:val="none"/>
          <w:u w:val="single"/>
        </w:rPr>
        <w:t>12公里，东冯线全长1.850公里</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南高线全长5.062公里</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先秀线全长1.633公里</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虎茶线全长0.74公里</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丛新线全长 2.7 公里</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详情见工程量清单及图纸</w:t>
      </w:r>
      <w:r>
        <w:rPr>
          <w:rFonts w:hint="eastAsia" w:ascii="宋体" w:hAnsi="宋体" w:eastAsia="宋体" w:cs="宋体"/>
          <w:color w:val="auto"/>
          <w:sz w:val="24"/>
          <w:szCs w:val="24"/>
          <w:highlight w:val="none"/>
          <w:u w:val="single"/>
        </w:rPr>
        <w:t>。</w:t>
      </w:r>
    </w:p>
    <w:p w14:paraId="1840D84B">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2.2标段划分</w:t>
      </w:r>
    </w:p>
    <w:p w14:paraId="15B6556B">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本次招标项目的标段划分</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个标段。</w:t>
      </w:r>
    </w:p>
    <w:p w14:paraId="3FAA1E3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2.3招标范围</w:t>
      </w:r>
    </w:p>
    <w:p w14:paraId="482D80D8">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outlineLvl w:val="9"/>
        <w:rPr>
          <w:rFonts w:hint="eastAsia" w:eastAsia="宋体" w:cs="Times New Roman"/>
          <w:color w:val="auto"/>
          <w:sz w:val="24"/>
          <w:highlight w:val="none"/>
          <w:u w:val="single"/>
          <w:lang w:val="en-US" w:eastAsia="zh-CN"/>
        </w:rPr>
      </w:pPr>
      <w:r>
        <w:rPr>
          <w:rFonts w:hint="eastAsia" w:ascii="宋体" w:hAnsi="宋体" w:eastAsia="宋体" w:cs="宋体"/>
          <w:color w:val="auto"/>
          <w:sz w:val="24"/>
          <w:szCs w:val="24"/>
          <w:highlight w:val="none"/>
          <w:u w:val="single"/>
        </w:rPr>
        <w:t>招标范围为</w:t>
      </w:r>
      <w:r>
        <w:rPr>
          <w:rFonts w:hint="eastAsia" w:ascii="宋体" w:hAnsi="宋体" w:cs="宋体"/>
          <w:color w:val="auto"/>
          <w:sz w:val="24"/>
          <w:szCs w:val="24"/>
          <w:highlight w:val="none"/>
          <w:u w:val="single"/>
          <w:lang w:eastAsia="zh-CN"/>
        </w:rPr>
        <w:t>大石桥市2026年农村公路维修改造工程—大修</w:t>
      </w:r>
      <w:r>
        <w:rPr>
          <w:rFonts w:hint="eastAsia" w:ascii="宋体" w:hAnsi="宋体" w:cs="宋体"/>
          <w:color w:val="auto"/>
          <w:sz w:val="24"/>
          <w:szCs w:val="24"/>
          <w:highlight w:val="none"/>
          <w:u w:val="single"/>
          <w:lang w:val="en-US" w:eastAsia="zh-CN"/>
        </w:rPr>
        <w:t>（一标段）</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具体工程内容以工程量清单及施工图纸为准</w:t>
      </w:r>
      <w:r>
        <w:rPr>
          <w:rFonts w:hint="eastAsia" w:cs="Times New Roman"/>
          <w:color w:val="auto"/>
          <w:sz w:val="24"/>
          <w:highlight w:val="none"/>
          <w:u w:val="single"/>
          <w:lang w:eastAsia="zh-CN"/>
        </w:rPr>
        <w:t>。</w:t>
      </w:r>
    </w:p>
    <w:p w14:paraId="41148C44">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outlineLvl w:val="9"/>
        <w:rPr>
          <w:rFonts w:hint="eastAsia" w:cs="Times New Roman"/>
          <w:color w:val="auto"/>
          <w:sz w:val="24"/>
          <w:highlight w:val="none"/>
          <w:u w:val="none"/>
          <w:lang w:val="en-US" w:eastAsia="zh-CN"/>
        </w:rPr>
      </w:pPr>
      <w:r>
        <w:rPr>
          <w:rFonts w:hint="eastAsia" w:cs="Times New Roman"/>
          <w:color w:val="auto"/>
          <w:sz w:val="24"/>
          <w:highlight w:val="none"/>
          <w:u w:val="none"/>
          <w:lang w:val="en-US" w:eastAsia="zh-CN"/>
        </w:rPr>
        <w:t>2.4计划工期</w:t>
      </w:r>
    </w:p>
    <w:p w14:paraId="487E43D0">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outlineLvl w:val="9"/>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u w:val="single"/>
        </w:rPr>
        <w:t>计划工期：</w:t>
      </w:r>
      <w:r>
        <w:rPr>
          <w:rFonts w:hint="eastAsia" w:ascii="宋体" w:hAnsi="宋体" w:cs="宋体"/>
          <w:color w:val="auto"/>
          <w:sz w:val="24"/>
          <w:szCs w:val="24"/>
          <w:highlight w:val="none"/>
          <w:u w:val="single"/>
          <w:lang w:eastAsia="zh-CN"/>
        </w:rPr>
        <w:t>202</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lang w:eastAsia="zh-CN"/>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日开工，</w:t>
      </w:r>
      <w:r>
        <w:rPr>
          <w:rFonts w:hint="eastAsia" w:ascii="宋体" w:hAnsi="宋体" w:cs="宋体"/>
          <w:color w:val="auto"/>
          <w:sz w:val="24"/>
          <w:szCs w:val="24"/>
          <w:highlight w:val="none"/>
          <w:u w:val="single"/>
          <w:lang w:eastAsia="zh-CN"/>
        </w:rPr>
        <w:t>202</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lang w:eastAsia="zh-CN"/>
        </w:rPr>
        <w:t>年</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日竣工，共计</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日历天（具体时间以签订合同为准）</w:t>
      </w:r>
      <w:r>
        <w:rPr>
          <w:rFonts w:hint="eastAsia" w:cs="Times New Roman"/>
          <w:color w:val="auto"/>
          <w:sz w:val="24"/>
          <w:highlight w:val="none"/>
          <w:u w:val="single"/>
          <w:lang w:eastAsia="zh-CN"/>
        </w:rPr>
        <w:t>。</w:t>
      </w:r>
    </w:p>
    <w:p w14:paraId="0E137AF0">
      <w:pPr>
        <w:pStyle w:val="2"/>
        <w:pageBreakBefore w:val="0"/>
        <w:widowControl w:val="0"/>
        <w:kinsoku/>
        <w:wordWrap w:val="0"/>
        <w:overflowPunct/>
        <w:topLinePunct w:val="0"/>
        <w:autoSpaceDE/>
        <w:autoSpaceDN/>
        <w:bidi w:val="0"/>
        <w:adjustRightInd/>
        <w:snapToGrid/>
        <w:spacing w:before="240" w:after="240" w:line="400" w:lineRule="exact"/>
        <w:textAlignment w:val="auto"/>
        <w:outlineLvl w:val="1"/>
        <w:rPr>
          <w:rFonts w:hint="default" w:ascii="Times New Roman" w:hAnsi="Times New Roman" w:eastAsia="黑体" w:cs="Times New Roman"/>
          <w:color w:val="auto"/>
          <w:sz w:val="28"/>
          <w:szCs w:val="28"/>
          <w:highlight w:val="none"/>
        </w:rPr>
      </w:pPr>
      <w:bookmarkStart w:id="18" w:name="_Toc470760975"/>
      <w:bookmarkStart w:id="19" w:name="_Toc9236"/>
      <w:bookmarkStart w:id="20" w:name="_Toc1575"/>
      <w:bookmarkStart w:id="21" w:name="_Toc29935"/>
      <w:r>
        <w:rPr>
          <w:rFonts w:hint="default" w:ascii="Times New Roman" w:hAnsi="Times New Roman" w:eastAsia="黑体" w:cs="Times New Roman"/>
          <w:color w:val="auto"/>
          <w:sz w:val="28"/>
          <w:szCs w:val="28"/>
          <w:highlight w:val="none"/>
        </w:rPr>
        <w:t>3. 投标人资格要求</w:t>
      </w:r>
      <w:bookmarkEnd w:id="18"/>
      <w:r>
        <w:rPr>
          <w:rStyle w:val="47"/>
          <w:rFonts w:hint="default" w:ascii="Times New Roman" w:hAnsi="Times New Roman" w:eastAsia="黑体" w:cs="Times New Roman"/>
          <w:color w:val="auto"/>
          <w:sz w:val="28"/>
          <w:szCs w:val="28"/>
          <w:highlight w:val="none"/>
        </w:rPr>
        <w:footnoteReference w:id="2"/>
      </w:r>
      <w:bookmarkEnd w:id="19"/>
      <w:bookmarkEnd w:id="20"/>
      <w:bookmarkEnd w:id="21"/>
    </w:p>
    <w:p w14:paraId="6C61F269">
      <w:pPr>
        <w:keepNext w:val="0"/>
        <w:keepLines w:val="0"/>
        <w:pageBreakBefore w:val="0"/>
        <w:widowControl w:val="0"/>
        <w:numPr>
          <w:ilvl w:val="0"/>
          <w:numId w:val="0"/>
        </w:numPr>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本次招标要求投标人在人员、设备、资金等方面具有相应的施工能力，投标人须具备的资格条件如下：</w:t>
      </w:r>
    </w:p>
    <w:p w14:paraId="47F5F3A6">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none"/>
        </w:rPr>
      </w:pPr>
      <w:r>
        <w:rPr>
          <w:rFonts w:hint="eastAsia"/>
          <w:color w:val="auto"/>
          <w:sz w:val="24"/>
          <w:szCs w:val="24"/>
          <w:highlight w:val="none"/>
          <w:u w:val="none"/>
          <w:lang w:val="en-US" w:eastAsia="zh-CN"/>
        </w:rPr>
        <w:t>3.</w:t>
      </w:r>
      <w:r>
        <w:rPr>
          <w:rFonts w:hint="eastAsia"/>
          <w:color w:val="auto"/>
          <w:sz w:val="24"/>
          <w:szCs w:val="24"/>
          <w:highlight w:val="none"/>
          <w:u w:val="none"/>
        </w:rPr>
        <w:t>1.1资质要求</w:t>
      </w:r>
    </w:p>
    <w:p w14:paraId="7227CD4F">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1 、投标人必须具有国内独立法人资格及有效的企业法人营业执照。</w:t>
      </w:r>
    </w:p>
    <w:p w14:paraId="5D088D9D">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2 、投标人的资质应满足以下</w:t>
      </w:r>
      <w:r>
        <w:rPr>
          <w:rFonts w:hint="eastAsia"/>
          <w:color w:val="auto"/>
          <w:sz w:val="24"/>
          <w:szCs w:val="24"/>
          <w:highlight w:val="none"/>
          <w:u w:val="single"/>
          <w:lang w:eastAsia="zh-CN"/>
        </w:rPr>
        <w:t>（</w:t>
      </w:r>
      <w:r>
        <w:rPr>
          <w:rFonts w:hint="eastAsia"/>
          <w:color w:val="auto"/>
          <w:sz w:val="24"/>
          <w:szCs w:val="24"/>
          <w:highlight w:val="none"/>
          <w:u w:val="single"/>
          <w:lang w:val="en-US" w:eastAsia="zh-CN"/>
        </w:rPr>
        <w:t>1</w:t>
      </w:r>
      <w:r>
        <w:rPr>
          <w:rFonts w:hint="eastAsia"/>
          <w:color w:val="auto"/>
          <w:sz w:val="24"/>
          <w:szCs w:val="24"/>
          <w:highlight w:val="none"/>
          <w:u w:val="single"/>
          <w:lang w:eastAsia="zh-CN"/>
        </w:rPr>
        <w:t>）</w:t>
      </w:r>
      <w:r>
        <w:rPr>
          <w:rFonts w:hint="eastAsia"/>
          <w:color w:val="auto"/>
          <w:sz w:val="24"/>
          <w:szCs w:val="24"/>
          <w:highlight w:val="none"/>
          <w:u w:val="single"/>
          <w:lang w:val="en-US" w:eastAsia="zh-CN"/>
        </w:rPr>
        <w:t>和</w:t>
      </w:r>
      <w:r>
        <w:rPr>
          <w:rFonts w:hint="eastAsia"/>
          <w:color w:val="auto"/>
          <w:sz w:val="24"/>
          <w:szCs w:val="24"/>
          <w:highlight w:val="none"/>
          <w:u w:val="single"/>
          <w:lang w:eastAsia="zh-CN"/>
        </w:rPr>
        <w:t>（</w:t>
      </w:r>
      <w:r>
        <w:rPr>
          <w:rFonts w:hint="eastAsia"/>
          <w:color w:val="auto"/>
          <w:sz w:val="24"/>
          <w:szCs w:val="24"/>
          <w:highlight w:val="none"/>
          <w:u w:val="single"/>
          <w:lang w:val="en-US" w:eastAsia="zh-CN"/>
        </w:rPr>
        <w:t>2</w:t>
      </w:r>
      <w:r>
        <w:rPr>
          <w:rFonts w:hint="eastAsia"/>
          <w:color w:val="auto"/>
          <w:sz w:val="24"/>
          <w:szCs w:val="24"/>
          <w:highlight w:val="none"/>
          <w:u w:val="single"/>
          <w:lang w:eastAsia="zh-CN"/>
        </w:rPr>
        <w:t>）</w:t>
      </w:r>
      <w:r>
        <w:rPr>
          <w:rFonts w:hint="eastAsia"/>
          <w:color w:val="auto"/>
          <w:sz w:val="24"/>
          <w:szCs w:val="24"/>
          <w:highlight w:val="none"/>
          <w:u w:val="single"/>
        </w:rPr>
        <w:t>项要求：</w:t>
      </w:r>
    </w:p>
    <w:p w14:paraId="6288DF49">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eastAsia="宋体"/>
          <w:color w:val="auto"/>
          <w:sz w:val="24"/>
          <w:szCs w:val="24"/>
          <w:highlight w:val="none"/>
          <w:u w:val="single"/>
          <w:lang w:eastAsia="zh-CN"/>
        </w:rPr>
      </w:pPr>
      <w:r>
        <w:rPr>
          <w:rFonts w:hint="eastAsia"/>
          <w:color w:val="auto"/>
          <w:sz w:val="24"/>
          <w:szCs w:val="24"/>
          <w:highlight w:val="none"/>
          <w:u w:val="single"/>
          <w:lang w:eastAsia="zh-CN"/>
        </w:rPr>
        <w:t>（</w:t>
      </w:r>
      <w:r>
        <w:rPr>
          <w:rFonts w:hint="eastAsia"/>
          <w:color w:val="auto"/>
          <w:sz w:val="24"/>
          <w:szCs w:val="24"/>
          <w:highlight w:val="none"/>
          <w:u w:val="single"/>
          <w:lang w:val="en-US" w:eastAsia="zh-CN"/>
        </w:rPr>
        <w:t>1</w:t>
      </w:r>
      <w:r>
        <w:rPr>
          <w:rFonts w:hint="eastAsia"/>
          <w:color w:val="auto"/>
          <w:sz w:val="24"/>
          <w:szCs w:val="24"/>
          <w:highlight w:val="none"/>
          <w:u w:val="single"/>
          <w:lang w:eastAsia="zh-CN"/>
        </w:rPr>
        <w:t>）</w:t>
      </w:r>
      <w:r>
        <w:rPr>
          <w:rFonts w:hint="eastAsia"/>
          <w:color w:val="auto"/>
          <w:sz w:val="24"/>
          <w:szCs w:val="24"/>
          <w:highlight w:val="none"/>
          <w:u w:val="single"/>
        </w:rPr>
        <w:t>具有省级交通运输主管部门颁发且有效的“公路养护作业单位资质证书”且资质类别</w:t>
      </w:r>
      <w:r>
        <w:rPr>
          <w:rFonts w:hint="eastAsia"/>
          <w:color w:val="auto"/>
          <w:sz w:val="24"/>
          <w:szCs w:val="24"/>
          <w:highlight w:val="none"/>
          <w:u w:val="single"/>
          <w:lang w:val="en-US" w:eastAsia="zh-CN"/>
        </w:rPr>
        <w:t>为</w:t>
      </w:r>
      <w:r>
        <w:rPr>
          <w:rFonts w:hint="eastAsia"/>
          <w:color w:val="auto"/>
          <w:sz w:val="24"/>
          <w:szCs w:val="24"/>
          <w:highlight w:val="none"/>
          <w:u w:val="single"/>
        </w:rPr>
        <w:t>路基路面养护</w:t>
      </w:r>
      <w:r>
        <w:rPr>
          <w:rFonts w:hint="eastAsia"/>
          <w:color w:val="auto"/>
          <w:sz w:val="24"/>
          <w:szCs w:val="24"/>
          <w:highlight w:val="none"/>
          <w:u w:val="single"/>
          <w:lang w:val="en-US" w:eastAsia="zh-CN"/>
        </w:rPr>
        <w:t>乙</w:t>
      </w:r>
      <w:r>
        <w:rPr>
          <w:rFonts w:hint="eastAsia"/>
          <w:color w:val="auto"/>
          <w:sz w:val="24"/>
          <w:szCs w:val="24"/>
          <w:highlight w:val="none"/>
          <w:u w:val="single"/>
        </w:rPr>
        <w:t>级及以上资质</w:t>
      </w:r>
      <w:r>
        <w:rPr>
          <w:rFonts w:hint="eastAsia"/>
          <w:color w:val="auto"/>
          <w:sz w:val="24"/>
          <w:szCs w:val="24"/>
          <w:highlight w:val="none"/>
          <w:u w:val="single"/>
          <w:lang w:eastAsia="zh-CN"/>
        </w:rPr>
        <w:t>；</w:t>
      </w:r>
    </w:p>
    <w:p w14:paraId="42A06093">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default" w:eastAsia="宋体"/>
          <w:color w:val="auto"/>
          <w:sz w:val="24"/>
          <w:szCs w:val="24"/>
          <w:highlight w:val="none"/>
          <w:u w:val="single"/>
          <w:lang w:val="en-US" w:eastAsia="zh-CN"/>
        </w:rPr>
      </w:pPr>
      <w:r>
        <w:rPr>
          <w:rFonts w:hint="eastAsia"/>
          <w:color w:val="auto"/>
          <w:sz w:val="24"/>
          <w:szCs w:val="24"/>
          <w:highlight w:val="none"/>
          <w:u w:val="single"/>
          <w:lang w:val="en-US" w:eastAsia="zh-CN"/>
        </w:rPr>
        <w:t>（2）</w:t>
      </w:r>
      <w:r>
        <w:rPr>
          <w:rFonts w:hint="eastAsia"/>
          <w:color w:val="auto"/>
          <w:sz w:val="24"/>
          <w:szCs w:val="24"/>
          <w:highlight w:val="none"/>
          <w:u w:val="single"/>
        </w:rPr>
        <w:t>具有省级交通运输主管部门颁发且有效的</w:t>
      </w:r>
      <w:r>
        <w:rPr>
          <w:rFonts w:hint="eastAsia"/>
          <w:color w:val="auto"/>
          <w:sz w:val="24"/>
          <w:szCs w:val="24"/>
          <w:highlight w:val="none"/>
          <w:u w:val="single"/>
          <w:lang w:val="en-US" w:eastAsia="zh-CN"/>
        </w:rPr>
        <w:t>交通安全设施养护资质。</w:t>
      </w:r>
    </w:p>
    <w:p w14:paraId="4F6DD99B">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3 、投标人必须具有</w:t>
      </w:r>
      <w:r>
        <w:rPr>
          <w:rFonts w:hint="eastAsia"/>
          <w:color w:val="auto"/>
          <w:sz w:val="24"/>
          <w:szCs w:val="24"/>
          <w:highlight w:val="none"/>
          <w:u w:val="single"/>
          <w:lang w:val="en-US" w:eastAsia="zh-CN"/>
        </w:rPr>
        <w:t>行业</w:t>
      </w:r>
      <w:r>
        <w:rPr>
          <w:rFonts w:hint="eastAsia"/>
          <w:color w:val="auto"/>
          <w:sz w:val="24"/>
          <w:szCs w:val="24"/>
          <w:highlight w:val="none"/>
          <w:u w:val="single"/>
        </w:rPr>
        <w:t>主管部门颁发的有效安全生产许可证。</w:t>
      </w:r>
    </w:p>
    <w:p w14:paraId="023A6204">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none"/>
        </w:rPr>
      </w:pPr>
      <w:r>
        <w:rPr>
          <w:rFonts w:hint="eastAsia"/>
          <w:color w:val="auto"/>
          <w:sz w:val="24"/>
          <w:szCs w:val="24"/>
          <w:highlight w:val="none"/>
          <w:u w:val="none"/>
          <w:lang w:val="en-US" w:eastAsia="zh-CN"/>
        </w:rPr>
        <w:t>3.</w:t>
      </w:r>
      <w:r>
        <w:rPr>
          <w:rFonts w:hint="eastAsia"/>
          <w:color w:val="auto"/>
          <w:sz w:val="24"/>
          <w:szCs w:val="24"/>
          <w:highlight w:val="none"/>
          <w:u w:val="none"/>
        </w:rPr>
        <w:t>1.2财务要求</w:t>
      </w:r>
    </w:p>
    <w:p w14:paraId="39B51911">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stheme="minorBidi"/>
          <w:color w:val="auto"/>
          <w:kern w:val="2"/>
          <w:sz w:val="24"/>
          <w:szCs w:val="24"/>
          <w:highlight w:val="none"/>
          <w:u w:val="single"/>
          <w:lang w:val="en-US" w:eastAsia="zh-CN" w:bidi="ar-SA"/>
        </w:rPr>
        <w:t>无</w:t>
      </w:r>
    </w:p>
    <w:p w14:paraId="5F4C590C">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none"/>
          <w:lang w:val="en-US" w:eastAsia="zh-CN"/>
        </w:rPr>
        <w:t>3.</w:t>
      </w:r>
      <w:r>
        <w:rPr>
          <w:rFonts w:hint="eastAsia"/>
          <w:color w:val="auto"/>
          <w:sz w:val="24"/>
          <w:szCs w:val="24"/>
          <w:highlight w:val="none"/>
          <w:u w:val="none"/>
        </w:rPr>
        <w:t>1.3业绩要求</w:t>
      </w:r>
      <w:r>
        <w:rPr>
          <w:rFonts w:hint="eastAsia"/>
          <w:color w:val="auto"/>
          <w:sz w:val="24"/>
          <w:szCs w:val="24"/>
          <w:highlight w:val="none"/>
          <w:u w:val="none"/>
          <w:lang w:eastAsia="zh-CN"/>
        </w:rPr>
        <w:t>：</w:t>
      </w:r>
      <w:r>
        <w:rPr>
          <w:rFonts w:hint="eastAsia"/>
          <w:color w:val="auto"/>
          <w:sz w:val="24"/>
          <w:szCs w:val="24"/>
          <w:highlight w:val="none"/>
          <w:u w:val="single"/>
        </w:rPr>
        <w:t>投标人202</w:t>
      </w:r>
      <w:r>
        <w:rPr>
          <w:rFonts w:hint="eastAsia"/>
          <w:color w:val="auto"/>
          <w:sz w:val="24"/>
          <w:szCs w:val="24"/>
          <w:highlight w:val="none"/>
          <w:u w:val="single"/>
          <w:lang w:val="en-US" w:eastAsia="zh-CN"/>
        </w:rPr>
        <w:t>3</w:t>
      </w:r>
      <w:r>
        <w:rPr>
          <w:rFonts w:hint="eastAsia"/>
          <w:color w:val="auto"/>
          <w:sz w:val="24"/>
          <w:szCs w:val="24"/>
          <w:highlight w:val="none"/>
          <w:u w:val="single"/>
        </w:rPr>
        <w:t>年1月1日至投标文件递交截止时间（指交工验收时为202</w:t>
      </w:r>
      <w:r>
        <w:rPr>
          <w:rFonts w:hint="eastAsia"/>
          <w:color w:val="auto"/>
          <w:sz w:val="24"/>
          <w:szCs w:val="24"/>
          <w:highlight w:val="none"/>
          <w:u w:val="single"/>
          <w:lang w:val="en-US" w:eastAsia="zh-CN"/>
        </w:rPr>
        <w:t>3</w:t>
      </w:r>
      <w:r>
        <w:rPr>
          <w:rFonts w:hint="eastAsia"/>
          <w:color w:val="auto"/>
          <w:sz w:val="24"/>
          <w:szCs w:val="24"/>
          <w:highlight w:val="none"/>
          <w:u w:val="single"/>
        </w:rPr>
        <w:t>年1月1日至投标文件递交截止日内），完成过至少1项类似公路工程业绩。注：投标人应提供中标通知书、施工合同及竣工相关证明材料，三者缺一不可，合同时间以竣工时间为准。</w:t>
      </w:r>
    </w:p>
    <w:p w14:paraId="2AEAFFD8">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1、已录入“辽宁省公共资源交易平台主体交易库”中的企业业绩，可以从主体库中选取后关联至投标文件中，作为企业业绩的证明材料。</w:t>
      </w:r>
    </w:p>
    <w:p w14:paraId="45DC2D2E">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2DC73079">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如投标人未按要求提供企业业绩证明材料或企业业绩证明材料中的信息无法证实企业满足招标文件要求，则该项目业绩在评审时不予认定。</w:t>
      </w:r>
    </w:p>
    <w:p w14:paraId="3B0681E3">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6066D848">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4、如近年来，投标人法人机构发生变更或重组或法人名称变更时，应提供相关部门的合法</w:t>
      </w:r>
      <w:r>
        <w:rPr>
          <w:rFonts w:hint="eastAsia"/>
          <w:color w:val="auto"/>
          <w:sz w:val="24"/>
          <w:szCs w:val="24"/>
          <w:highlight w:val="none"/>
          <w:u w:val="single"/>
          <w:lang w:val="en-US" w:eastAsia="zh-CN"/>
        </w:rPr>
        <w:t>批准文件</w:t>
      </w:r>
      <w:r>
        <w:rPr>
          <w:rFonts w:hint="eastAsia"/>
          <w:color w:val="auto"/>
          <w:sz w:val="24"/>
          <w:szCs w:val="24"/>
          <w:highlight w:val="none"/>
          <w:u w:val="single"/>
        </w:rPr>
        <w:t>。</w:t>
      </w:r>
    </w:p>
    <w:p w14:paraId="6A4D7034">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none"/>
        </w:rPr>
      </w:pPr>
      <w:r>
        <w:rPr>
          <w:rFonts w:hint="eastAsia"/>
          <w:color w:val="auto"/>
          <w:sz w:val="24"/>
          <w:szCs w:val="24"/>
          <w:highlight w:val="none"/>
          <w:u w:val="none"/>
          <w:lang w:val="en-US" w:eastAsia="zh-CN"/>
        </w:rPr>
        <w:t>3.</w:t>
      </w:r>
      <w:r>
        <w:rPr>
          <w:rFonts w:hint="eastAsia"/>
          <w:color w:val="auto"/>
          <w:sz w:val="24"/>
          <w:szCs w:val="24"/>
          <w:highlight w:val="none"/>
          <w:u w:val="none"/>
        </w:rPr>
        <w:t>1.4项目经理和项目总工要求</w:t>
      </w:r>
    </w:p>
    <w:p w14:paraId="309FC6EE">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项目经理 (1名) ：具有公路工程专业二级及以上建造师证书且证书目前必须注册在投标人单位，具有交通运输主管部门颁发的安全生产考核合格“B”类证书并在有效期内且证书目前必须注册在投标人单位。</w:t>
      </w:r>
    </w:p>
    <w:p w14:paraId="4B17BBA3">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lang w:eastAsia="zh-CN"/>
        </w:rPr>
      </w:pPr>
      <w:r>
        <w:rPr>
          <w:rFonts w:hint="eastAsia"/>
          <w:color w:val="auto"/>
          <w:sz w:val="24"/>
          <w:szCs w:val="24"/>
          <w:highlight w:val="none"/>
          <w:u w:val="single"/>
          <w:lang w:val="en-US" w:eastAsia="zh-CN"/>
        </w:rPr>
        <w:t>项目总工程师</w:t>
      </w:r>
      <w:r>
        <w:rPr>
          <w:rFonts w:hint="eastAsia"/>
          <w:color w:val="auto"/>
          <w:sz w:val="24"/>
          <w:szCs w:val="24"/>
          <w:highlight w:val="none"/>
          <w:u w:val="single"/>
        </w:rPr>
        <w:t xml:space="preserve"> (1名) ：公路工程相关专业中级及以上技术职称</w:t>
      </w:r>
      <w:r>
        <w:rPr>
          <w:rFonts w:hint="eastAsia"/>
          <w:color w:val="auto"/>
          <w:sz w:val="24"/>
          <w:szCs w:val="24"/>
          <w:highlight w:val="none"/>
          <w:u w:val="single"/>
          <w:lang w:eastAsia="zh-CN"/>
        </w:rPr>
        <w:t>。</w:t>
      </w:r>
    </w:p>
    <w:p w14:paraId="389785A5">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default"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项目经理和项目总工程师不得同时在两个及以上项目任职。</w:t>
      </w:r>
    </w:p>
    <w:p w14:paraId="07739A95">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none"/>
        </w:rPr>
      </w:pPr>
      <w:r>
        <w:rPr>
          <w:rFonts w:hint="eastAsia"/>
          <w:color w:val="auto"/>
          <w:sz w:val="24"/>
          <w:szCs w:val="24"/>
          <w:highlight w:val="none"/>
          <w:u w:val="none"/>
          <w:lang w:val="en-US" w:eastAsia="zh-CN"/>
        </w:rPr>
        <w:t>3.</w:t>
      </w:r>
      <w:r>
        <w:rPr>
          <w:rFonts w:hint="eastAsia"/>
          <w:color w:val="auto"/>
          <w:sz w:val="24"/>
          <w:szCs w:val="24"/>
          <w:highlight w:val="none"/>
          <w:u w:val="none"/>
        </w:rPr>
        <w:t>1.5信誉要求</w:t>
      </w:r>
    </w:p>
    <w:p w14:paraId="6C0B60FF">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（1）未被省级及以上交通运输主管部门取消招标项目所在地的投标资格且处于有效期内；</w:t>
      </w:r>
    </w:p>
    <w:p w14:paraId="32D782DB">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（2）未被责令停业，暂扣或吊销执照，或吊销资质证书；</w:t>
      </w:r>
    </w:p>
    <w:p w14:paraId="2C805819">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（3）未进入清算程序，或被宣告破产，或其他丧失履约能力的情形；</w:t>
      </w:r>
    </w:p>
    <w:p w14:paraId="6036A53B">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（4）在国家企业信用信息公示系统（http：//www.gsxt.gov.cn）中未被列入严重违法失信企业名单；</w:t>
      </w:r>
    </w:p>
    <w:p w14:paraId="31382698">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（5）在“信用中国”网站（http：//www.creditchina.gov.cn）中未被列入失信被执行人名单；</w:t>
      </w:r>
    </w:p>
    <w:p w14:paraId="0F0F2623">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（6）投标人或其法定代表人、拟委任的项目经理在近三年内没有行贿犯罪行为的；</w:t>
      </w:r>
    </w:p>
    <w:p w14:paraId="4D43FD6F">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（7）投标人在以往工程未因拖欠农民工工资、材料采购、工程分包款等，而受到省级有关部门的通报；</w:t>
      </w:r>
    </w:p>
    <w:p w14:paraId="5423928D">
      <w:pPr>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（8）法律法规规定的其他情形。</w:t>
      </w:r>
    </w:p>
    <w:p w14:paraId="16987F2C">
      <w:pPr>
        <w:pageBreakBefore w:val="0"/>
        <w:kinsoku/>
        <w:wordWrap w:val="0"/>
        <w:bidi w:val="0"/>
        <w:spacing w:line="400" w:lineRule="atLeast"/>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3.1.6其他要求</w:t>
      </w:r>
    </w:p>
    <w:p w14:paraId="6EA2FA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highlight w:val="none"/>
        </w:rPr>
        <w:t>根据《关于发布公路工程从业企业资质名录的通知》（厅公路字〔2011〕114号）要求，投标人如为名录范围的施工企业，则应进入交通运输部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全国公路建设市场监督管理系统（https://hwdms.mot.gov.cn/BMWebSite/）</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中的公路工程施工资质企业名录，且投标人名称和资质与该名录中的相应企业名称和资质完全一致。</w:t>
      </w:r>
      <w:r>
        <w:rPr>
          <w:rStyle w:val="47"/>
          <w:rFonts w:ascii="Times New Roman" w:hAnsi="Times New Roman" w:eastAsia="宋体" w:cs="Times New Roman"/>
          <w:color w:val="auto"/>
          <w:highlight w:val="none"/>
        </w:rPr>
        <w:footnoteReference w:id="3"/>
      </w:r>
    </w:p>
    <w:p w14:paraId="55D3C5C3">
      <w:pPr>
        <w:pageBreakBefore w:val="0"/>
        <w:kinsoku/>
        <w:wordWrap w:val="0"/>
        <w:bidi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本次招标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不接受      </w:t>
      </w:r>
      <w:r>
        <w:rPr>
          <w:rFonts w:hint="eastAsia" w:ascii="宋体" w:hAnsi="宋体" w:eastAsia="宋体" w:cs="宋体"/>
          <w:color w:val="auto"/>
          <w:sz w:val="24"/>
          <w:szCs w:val="24"/>
          <w:highlight w:val="none"/>
        </w:rPr>
        <w:t>（接受或不接受）联合体投标。</w:t>
      </w:r>
    </w:p>
    <w:p w14:paraId="4FA15807">
      <w:pPr>
        <w:pageBreakBefore w:val="0"/>
        <w:kinsoku/>
        <w:wordWrap w:val="0"/>
        <w:bidi w:val="0"/>
        <w:spacing w:line="400" w:lineRule="atLeast"/>
        <w:ind w:left="0" w:leftChars="0" w:firstLine="480" w:firstLineChars="200"/>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rPr>
        <w:t xml:space="preserve">3.3 </w:t>
      </w:r>
      <w:r>
        <w:rPr>
          <w:rFonts w:hint="eastAsia" w:ascii="宋体" w:hAnsi="宋体" w:eastAsia="宋体" w:cs="宋体"/>
          <w:color w:val="auto"/>
          <w:sz w:val="24"/>
          <w:szCs w:val="24"/>
          <w:highlight w:val="none"/>
          <w:u w:val="single"/>
        </w:rPr>
        <w:t xml:space="preserve"> 大石桥市2026年农村公路维修改造工程—大修</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二标段）、大石桥市2026年农村公路维修改造工程—大修（三标段）</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为同一类型专业工程和同等资格条件要求，每个投标人</w:t>
      </w:r>
      <w:r>
        <w:rPr>
          <w:rFonts w:hint="eastAsia" w:ascii="宋体" w:hAnsi="宋体" w:cs="宋体"/>
          <w:color w:val="auto"/>
          <w:sz w:val="24"/>
          <w:szCs w:val="24"/>
          <w:highlight w:val="none"/>
          <w:lang w:val="en-US" w:eastAsia="zh-CN"/>
        </w:rPr>
        <w:t>可以</w:t>
      </w:r>
      <w:r>
        <w:rPr>
          <w:rFonts w:hint="eastAsia" w:ascii="宋体" w:hAnsi="宋体" w:eastAsia="宋体" w:cs="宋体"/>
          <w:color w:val="auto"/>
          <w:sz w:val="24"/>
          <w:szCs w:val="24"/>
          <w:highlight w:val="none"/>
        </w:rPr>
        <w:t>同时递交本次招标的</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全部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标段的投标文件，每个投标人允许</w:t>
      </w:r>
      <w:r>
        <w:rPr>
          <w:rFonts w:hint="eastAsia" w:ascii="宋体" w:hAnsi="宋体" w:cs="宋体"/>
          <w:color w:val="auto"/>
          <w:sz w:val="24"/>
          <w:szCs w:val="24"/>
          <w:highlight w:val="none"/>
          <w:lang w:val="en-US" w:eastAsia="zh-CN"/>
        </w:rPr>
        <w:t>同时</w:t>
      </w:r>
      <w:r>
        <w:rPr>
          <w:rFonts w:hint="eastAsia" w:ascii="宋体" w:hAnsi="宋体" w:eastAsia="宋体" w:cs="宋体"/>
          <w:color w:val="auto"/>
          <w:sz w:val="24"/>
          <w:szCs w:val="24"/>
          <w:highlight w:val="none"/>
        </w:rPr>
        <w:t>参与</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个标段，</w:t>
      </w:r>
      <w:r>
        <w:rPr>
          <w:rFonts w:hint="eastAsia" w:ascii="宋体" w:hAnsi="宋体" w:cs="宋体"/>
          <w:color w:val="auto"/>
          <w:sz w:val="24"/>
          <w:szCs w:val="24"/>
          <w:highlight w:val="none"/>
          <w:lang w:val="en-US" w:eastAsia="zh-CN"/>
        </w:rPr>
        <w:t>但</w:t>
      </w:r>
      <w:r>
        <w:rPr>
          <w:rFonts w:hint="eastAsia" w:ascii="宋体" w:hAnsi="宋体" w:eastAsia="宋体" w:cs="宋体"/>
          <w:color w:val="auto"/>
          <w:sz w:val="24"/>
          <w:szCs w:val="24"/>
          <w:highlight w:val="none"/>
        </w:rPr>
        <w:t>每个投标人最多允许中其中</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w:t>
      </w:r>
      <w:r>
        <w:rPr>
          <w:rFonts w:hint="default" w:ascii="Times New Roman" w:hAnsi="Times New Roman" w:cs="Times New Roman"/>
          <w:color w:val="auto"/>
          <w:sz w:val="24"/>
          <w:highlight w:val="none"/>
        </w:rPr>
        <w:t>标段</w:t>
      </w:r>
      <w:r>
        <w:rPr>
          <w:rStyle w:val="47"/>
          <w:rFonts w:hint="default" w:ascii="Times New Roman" w:hAnsi="Times New Roman" w:cs="Times New Roman"/>
          <w:color w:val="auto"/>
          <w:sz w:val="24"/>
          <w:highlight w:val="none"/>
        </w:rPr>
        <w:footnoteReference w:id="4"/>
      </w:r>
      <w:r>
        <w:rPr>
          <w:rFonts w:hint="default" w:ascii="Times New Roman" w:hAnsi="Times New Roman" w:cs="Times New Roman"/>
          <w:color w:val="auto"/>
          <w:sz w:val="24"/>
          <w:highlight w:val="none"/>
        </w:rPr>
        <w:t>。</w:t>
      </w:r>
    </w:p>
    <w:p w14:paraId="72A8CD49">
      <w:pPr>
        <w:pageBreakBefore w:val="0"/>
        <w:tabs>
          <w:tab w:val="left" w:pos="36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 与招标人存在利害关系可能影响招标公正性的单位，不得参加投标。单位负责人为同一人或存在控股、管理关系的不同单位，不得参加同一标段投标，否则，相关投标均无效。</w:t>
      </w:r>
    </w:p>
    <w:p w14:paraId="24461A92">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sz w:val="24"/>
          <w:highlight w:val="none"/>
        </w:rPr>
        <w:t xml:space="preserve">3.5 </w:t>
      </w:r>
      <w:r>
        <w:rPr>
          <w:rFonts w:hint="default" w:ascii="Times New Roman" w:hAnsi="Times New Roman" w:cs="Times New Roman"/>
          <w:color w:val="auto"/>
          <w:kern w:val="28"/>
          <w:sz w:val="24"/>
          <w:highlight w:val="none"/>
        </w:rPr>
        <w:t>存在下列不良状况或不良信用记录的单位，不得以任何形式参加投标：</w:t>
      </w:r>
    </w:p>
    <w:p w14:paraId="78381EE5">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（1）被省级及以上交通运输主管部门取消招标项目所在地的投标资格且处于有效期内；</w:t>
      </w:r>
    </w:p>
    <w:p w14:paraId="295DEEA6">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（2）被责令停业，暂扣或吊销执照，或吊销资质证书；</w:t>
      </w:r>
    </w:p>
    <w:p w14:paraId="7526ADA6">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（3）进入清算程序，或被宣告破产，或其他丧失履约能力的情形；</w:t>
      </w:r>
    </w:p>
    <w:p w14:paraId="580B2EC5">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（4）在国家企业信用信息公示系统（http://www.gsxt.gov.cn）中被列入严重违法失信企业名单；</w:t>
      </w:r>
    </w:p>
    <w:p w14:paraId="2CFC7D30">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（5）在</w:t>
      </w:r>
      <w:r>
        <w:rPr>
          <w:rFonts w:hint="eastAsia" w:ascii="宋体" w:hAnsi="宋体" w:eastAsia="宋体" w:cs="宋体"/>
          <w:color w:val="auto"/>
          <w:kern w:val="28"/>
          <w:sz w:val="24"/>
          <w:highlight w:val="none"/>
        </w:rPr>
        <w:t>“</w:t>
      </w:r>
      <w:r>
        <w:rPr>
          <w:rFonts w:hint="default" w:ascii="Times New Roman" w:hAnsi="Times New Roman" w:cs="Times New Roman"/>
          <w:color w:val="auto"/>
          <w:kern w:val="28"/>
          <w:sz w:val="24"/>
          <w:highlight w:val="none"/>
        </w:rPr>
        <w:t>信用中国</w:t>
      </w:r>
      <w:r>
        <w:rPr>
          <w:rFonts w:hint="eastAsia" w:ascii="宋体" w:hAnsi="宋体" w:eastAsia="宋体" w:cs="宋体"/>
          <w:color w:val="auto"/>
          <w:kern w:val="28"/>
          <w:sz w:val="24"/>
          <w:highlight w:val="none"/>
        </w:rPr>
        <w:t>”</w:t>
      </w:r>
      <w:r>
        <w:rPr>
          <w:rFonts w:hint="default" w:ascii="Times New Roman" w:hAnsi="Times New Roman" w:cs="Times New Roman"/>
          <w:color w:val="auto"/>
          <w:kern w:val="28"/>
          <w:sz w:val="24"/>
          <w:highlight w:val="none"/>
        </w:rPr>
        <w:t>网站</w:t>
      </w:r>
      <w:r>
        <w:rPr>
          <w:rFonts w:hint="eastAsia" w:cs="Times New Roman"/>
          <w:color w:val="auto"/>
          <w:kern w:val="28"/>
          <w:sz w:val="24"/>
          <w:highlight w:val="none"/>
          <w:lang w:eastAsia="zh-CN"/>
        </w:rPr>
        <w:t>（</w:t>
      </w:r>
      <w:r>
        <w:rPr>
          <w:rFonts w:hint="default" w:ascii="Times New Roman" w:hAnsi="Times New Roman" w:cs="Times New Roman"/>
          <w:color w:val="auto"/>
          <w:kern w:val="28"/>
          <w:sz w:val="24"/>
          <w:highlight w:val="none"/>
        </w:rPr>
        <w:t>http://www.creditchina.gov.cn）（或中国执行信息公开网 http://zxgk.court.gov.cn/shixin/）中被列入失信被执行人名单；</w:t>
      </w:r>
    </w:p>
    <w:p w14:paraId="6E8DD4C1">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（6）投标人或其法定代表人、拟委任的项目</w:t>
      </w:r>
      <w:r>
        <w:rPr>
          <w:rFonts w:hint="default" w:ascii="Times New Roman" w:hAnsi="Times New Roman" w:cs="Times New Roman"/>
          <w:color w:val="auto"/>
          <w:kern w:val="28"/>
          <w:sz w:val="24"/>
          <w:highlight w:val="none"/>
          <w:lang w:val="en-US" w:eastAsia="zh-CN"/>
        </w:rPr>
        <w:t>经理</w:t>
      </w:r>
      <w:r>
        <w:rPr>
          <w:rFonts w:hint="default" w:ascii="Times New Roman" w:hAnsi="Times New Roman" w:cs="Times New Roman"/>
          <w:color w:val="auto"/>
          <w:kern w:val="28"/>
          <w:sz w:val="24"/>
          <w:highlight w:val="none"/>
        </w:rPr>
        <w:t>在近三年内有行贿犯罪行为的；</w:t>
      </w:r>
    </w:p>
    <w:p w14:paraId="420A5C50">
      <w:pPr>
        <w:keepNext w:val="0"/>
        <w:keepLines w:val="0"/>
        <w:pageBreakBefore w:val="0"/>
        <w:widowControl w:val="0"/>
        <w:tabs>
          <w:tab w:val="left" w:pos="360"/>
        </w:tabs>
        <w:kinsoku/>
        <w:wordWrap w:val="0"/>
        <w:overflowPunct/>
        <w:topLinePunct w:val="0"/>
        <w:autoSpaceDE/>
        <w:autoSpaceDN/>
        <w:bidi w:val="0"/>
        <w:adjustRightInd/>
        <w:snapToGrid/>
        <w:spacing w:line="400" w:lineRule="atLeast"/>
        <w:ind w:firstLine="480" w:firstLineChars="200"/>
        <w:textAlignment w:val="auto"/>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kern w:val="28"/>
          <w:sz w:val="24"/>
          <w:highlight w:val="none"/>
        </w:rPr>
        <w:t>（7）法律法规规定的其他情形</w:t>
      </w:r>
      <w:r>
        <w:rPr>
          <w:rFonts w:hint="eastAsia" w:cs="Times New Roman"/>
          <w:color w:val="auto"/>
          <w:kern w:val="28"/>
          <w:sz w:val="24"/>
          <w:highlight w:val="none"/>
          <w:lang w:eastAsia="zh-CN"/>
        </w:rPr>
        <w:t>。</w:t>
      </w:r>
    </w:p>
    <w:p w14:paraId="40514D61">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22" w:name="_Toc470760976"/>
      <w:bookmarkStart w:id="23" w:name="_Toc31217"/>
      <w:bookmarkStart w:id="24" w:name="_Toc24263"/>
      <w:bookmarkStart w:id="25" w:name="_Toc20700"/>
      <w:r>
        <w:rPr>
          <w:rFonts w:hint="default" w:ascii="Times New Roman" w:hAnsi="Times New Roman" w:eastAsia="黑体" w:cs="Times New Roman"/>
          <w:color w:val="auto"/>
          <w:sz w:val="28"/>
          <w:szCs w:val="28"/>
          <w:highlight w:val="none"/>
        </w:rPr>
        <w:t>4. 招标文件的获取</w:t>
      </w:r>
      <w:bookmarkEnd w:id="22"/>
      <w:bookmarkEnd w:id="23"/>
      <w:bookmarkEnd w:id="24"/>
      <w:bookmarkEnd w:id="25"/>
      <w:r>
        <w:rPr>
          <w:rFonts w:hint="default" w:ascii="Times New Roman" w:hAnsi="Times New Roman" w:eastAsia="黑体" w:cs="Times New Roman"/>
          <w:color w:val="auto"/>
          <w:sz w:val="28"/>
          <w:szCs w:val="28"/>
          <w:highlight w:val="none"/>
        </w:rPr>
        <w:tab/>
      </w:r>
    </w:p>
    <w:p w14:paraId="5F4032A0">
      <w:pPr>
        <w:pageBreakBefore w:val="0"/>
        <w:tabs>
          <w:tab w:val="left" w:pos="360"/>
        </w:tabs>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 凡有意参加投标者，请在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szCs w:val="24"/>
          <w:highlight w:val="none"/>
          <w:u w:val="single"/>
        </w:rPr>
        <w:t>辽宁省公共资源交易</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一张网</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电子化平台</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，网址：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eastAsiaTheme="minorEastAsia"/>
          <w:color w:val="auto"/>
          <w:sz w:val="24"/>
          <w:szCs w:val="24"/>
          <w:highlight w:val="none"/>
          <w:u w:val="single" w:color="auto"/>
          <w:lang w:val="en-US" w:eastAsia="zh-CN"/>
        </w:rPr>
        <w:t>https://www.lnsggzy.com/EpointSSO/login/oauth2login</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）进行网员注册，并</w:t>
      </w:r>
      <w:r>
        <w:rPr>
          <w:rFonts w:hint="eastAsia" w:cs="Times New Roman"/>
          <w:color w:val="auto"/>
          <w:sz w:val="24"/>
          <w:highlight w:val="none"/>
          <w:lang w:val="en-US" w:eastAsia="zh-CN"/>
        </w:rPr>
        <w:t>办理</w:t>
      </w:r>
      <w:r>
        <w:rPr>
          <w:rFonts w:hint="default" w:ascii="Times New Roman" w:hAnsi="Times New Roman" w:cs="Times New Roman"/>
          <w:color w:val="auto"/>
          <w:sz w:val="24"/>
          <w:highlight w:val="none"/>
        </w:rPr>
        <w:t>CA数字证书。</w:t>
      </w:r>
    </w:p>
    <w:p w14:paraId="2EC03204">
      <w:pPr>
        <w:pageBreakBefore w:val="0"/>
        <w:tabs>
          <w:tab w:val="left" w:pos="36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4.2 完成网员注册后，请于</w:t>
      </w:r>
      <w:r>
        <w:rPr>
          <w:rFonts w:hint="eastAsia" w:cs="Times New Roman"/>
          <w:color w:val="auto"/>
          <w:sz w:val="24"/>
          <w:highlight w:val="none"/>
          <w:u w:val="single"/>
          <w:lang w:val="en-US" w:eastAsia="zh-CN"/>
        </w:rPr>
        <w:t>2026</w:t>
      </w:r>
      <w:r>
        <w:rPr>
          <w:rFonts w:hint="default" w:ascii="Times New Roman" w:hAnsi="Times New Roman" w:cs="Times New Roman"/>
          <w:color w:val="auto"/>
          <w:sz w:val="24"/>
          <w:highlight w:val="none"/>
        </w:rPr>
        <w:t xml:space="preserve"> 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w:t>
      </w:r>
      <w:r>
        <w:rPr>
          <w:rFonts w:hint="eastAsia" w:cs="Times New Roman"/>
          <w:color w:val="auto"/>
          <w:sz w:val="24"/>
          <w:highlight w:val="none"/>
          <w:u w:val="single"/>
          <w:lang w:val="en-US" w:eastAsia="zh-CN"/>
        </w:rPr>
        <w:t>17</w:t>
      </w:r>
      <w:r>
        <w:rPr>
          <w:rFonts w:ascii="Times New Roman" w:hAnsi="Times New Roman" w:eastAsia="宋体" w:cs="Times New Roman"/>
          <w:color w:val="auto"/>
          <w:sz w:val="24"/>
          <w:highlight w:val="none"/>
        </w:rPr>
        <w:t>时</w:t>
      </w:r>
      <w:r>
        <w:rPr>
          <w:rFonts w:hint="eastAsia" w:cs="Times New Roman"/>
          <w:color w:val="auto"/>
          <w:sz w:val="24"/>
          <w:highlight w:val="none"/>
          <w:u w:val="single"/>
          <w:lang w:val="en-US" w:eastAsia="zh-CN"/>
        </w:rPr>
        <w:t>00</w:t>
      </w:r>
      <w:r>
        <w:rPr>
          <w:rFonts w:ascii="Times New Roman" w:hAnsi="Times New Roman" w:eastAsia="宋体" w:cs="Times New Roman"/>
          <w:color w:val="auto"/>
          <w:sz w:val="24"/>
          <w:highlight w:val="none"/>
        </w:rPr>
        <w:t>分</w:t>
      </w:r>
      <w:r>
        <w:rPr>
          <w:rFonts w:hint="default" w:ascii="Times New Roman" w:hAnsi="Times New Roman" w:cs="Times New Roman"/>
          <w:color w:val="auto"/>
          <w:sz w:val="24"/>
          <w:highlight w:val="none"/>
        </w:rPr>
        <w:t>至</w:t>
      </w:r>
      <w:r>
        <w:rPr>
          <w:rFonts w:hint="eastAsia" w:cs="Times New Roman"/>
          <w:color w:val="auto"/>
          <w:sz w:val="24"/>
          <w:highlight w:val="none"/>
          <w:u w:val="single"/>
          <w:lang w:val="en-US" w:eastAsia="zh-CN"/>
        </w:rPr>
        <w:t>2026</w:t>
      </w:r>
      <w:r>
        <w:rPr>
          <w:rFonts w:hint="default" w:ascii="Times New Roman" w:hAnsi="Times New Roman" w:cs="Times New Roman"/>
          <w:color w:val="auto"/>
          <w:sz w:val="24"/>
          <w:highlight w:val="none"/>
        </w:rPr>
        <w:t xml:space="preserve"> 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w:t>
      </w:r>
      <w:r>
        <w:rPr>
          <w:rFonts w:hint="eastAsia" w:cs="Times New Roman"/>
          <w:color w:val="auto"/>
          <w:sz w:val="24"/>
          <w:highlight w:val="none"/>
          <w:u w:val="single"/>
          <w:lang w:val="en-US" w:eastAsia="zh-CN"/>
        </w:rPr>
        <w:t>00</w:t>
      </w:r>
      <w:r>
        <w:rPr>
          <w:rFonts w:ascii="Times New Roman" w:hAnsi="Times New Roman" w:eastAsia="宋体" w:cs="Times New Roman"/>
          <w:color w:val="auto"/>
          <w:sz w:val="24"/>
          <w:highlight w:val="none"/>
        </w:rPr>
        <w:t>时</w:t>
      </w:r>
      <w:r>
        <w:rPr>
          <w:rFonts w:hint="eastAsia" w:cs="Times New Roman"/>
          <w:color w:val="auto"/>
          <w:sz w:val="24"/>
          <w:highlight w:val="none"/>
          <w:u w:val="single"/>
          <w:lang w:val="en-US" w:eastAsia="zh-CN"/>
        </w:rPr>
        <w:t>00</w:t>
      </w:r>
      <w:r>
        <w:rPr>
          <w:rFonts w:ascii="Times New Roman" w:hAnsi="Times New Roman" w:eastAsia="宋体" w:cs="Times New Roman"/>
          <w:color w:val="auto"/>
          <w:sz w:val="24"/>
          <w:highlight w:val="none"/>
        </w:rPr>
        <w:t>分</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，明确所投标段，</w:t>
      </w:r>
      <w:r>
        <w:rPr>
          <w:rFonts w:hint="default" w:ascii="Times New Roman" w:hAnsi="Times New Roman" w:cs="Times New Roman"/>
          <w:color w:val="auto"/>
          <w:sz w:val="24"/>
          <w:highlight w:val="none"/>
          <w:lang w:val="en-US" w:eastAsia="zh-CN"/>
        </w:rPr>
        <w:t>匿名免费下载招标文件</w:t>
      </w:r>
      <w:r>
        <w:rPr>
          <w:rFonts w:hint="default" w:ascii="Times New Roman" w:hAnsi="Times New Roman" w:cs="Times New Roman"/>
          <w:color w:val="auto"/>
          <w:sz w:val="24"/>
          <w:highlight w:val="none"/>
        </w:rPr>
        <w:t>、图纸和参考资料。联合体投标的，由联合体牵头人完成招标文件等资料下载。</w:t>
      </w:r>
    </w:p>
    <w:p w14:paraId="3D39F6E9">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26" w:name="_Toc22946"/>
      <w:bookmarkStart w:id="27" w:name="_Toc470760977"/>
      <w:bookmarkStart w:id="28" w:name="_Toc7236"/>
      <w:bookmarkStart w:id="29" w:name="_Toc26563"/>
      <w:r>
        <w:rPr>
          <w:rFonts w:hint="default" w:ascii="Times New Roman" w:hAnsi="Times New Roman" w:eastAsia="黑体" w:cs="Times New Roman"/>
          <w:color w:val="auto"/>
          <w:sz w:val="28"/>
          <w:szCs w:val="28"/>
          <w:highlight w:val="none"/>
        </w:rPr>
        <w:t>5. 投标文件的递交及相关事宜</w:t>
      </w:r>
      <w:bookmarkEnd w:id="26"/>
      <w:bookmarkEnd w:id="27"/>
      <w:bookmarkEnd w:id="28"/>
      <w:bookmarkEnd w:id="29"/>
    </w:p>
    <w:p w14:paraId="5E7B56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color w:val="auto"/>
          <w:sz w:val="24"/>
          <w:highlight w:val="none"/>
        </w:rPr>
        <w:t>5.1 招标人将</w:t>
      </w:r>
      <w:r>
        <w:rPr>
          <w:rFonts w:hint="eastAsia" w:cs="Times New Roman"/>
          <w:color w:val="auto"/>
          <w:sz w:val="24"/>
          <w:highlight w:val="none"/>
          <w:lang w:val="en-US" w:eastAsia="zh-CN"/>
        </w:rPr>
        <w:t xml:space="preserve">  </w:t>
      </w:r>
      <w:r>
        <w:rPr>
          <w:rFonts w:hint="eastAsia" w:ascii="Times New Roman" w:hAnsi="Times New Roman" w:eastAsia="宋体" w:cs="Times New Roman"/>
          <w:b w:val="0"/>
          <w:bCs w:val="0"/>
          <w:color w:val="auto"/>
          <w:sz w:val="24"/>
          <w:szCs w:val="24"/>
          <w:highlight w:val="none"/>
          <w:lang w:val="en-US" w:eastAsia="zh-CN"/>
        </w:rPr>
        <w:t xml:space="preserve"> </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不组织进行工程现场踏勘和召开投标预备会。</w:t>
      </w:r>
    </w:p>
    <w:p w14:paraId="5A1BFC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60" w:firstLineChars="900"/>
        <w:textAlignment w:val="auto"/>
        <w:rPr>
          <w:rFonts w:hint="default" w:ascii="Times New Roman" w:hAnsi="Times New Roman" w:eastAsia="宋体" w:cs="Times New Roman"/>
          <w:b w:val="0"/>
          <w:bCs w:val="0"/>
          <w:color w:val="auto"/>
          <w:sz w:val="24"/>
          <w:szCs w:val="24"/>
          <w:highlight w:val="none"/>
        </w:rPr>
      </w:pPr>
      <w:sdt>
        <w:sdtPr>
          <w:rPr>
            <w:rFonts w:hint="default" w:ascii="Times New Roman" w:hAnsi="Times New Roman" w:eastAsia="宋体" w:cs="Times New Roman"/>
            <w:b w:val="0"/>
            <w:bCs w:val="0"/>
            <w:color w:val="auto"/>
            <w:sz w:val="24"/>
            <w:szCs w:val="24"/>
            <w:highlight w:val="none"/>
            <w:shd w:val="clear" w:color="auto" w:fill="FFFFFF"/>
          </w:rPr>
          <w:id w:val="49361775"/>
          <w14:checkbox>
            <w14:checked w14:val="0"/>
            <w14:checkedState w14:val="0052" w14:font="Wingdings 2"/>
            <w14:uncheckedState w14:val="2610" w14:font="MS Gothic"/>
          </w14:checkbox>
        </w:sdtPr>
        <w:sdtEndPr>
          <w:rPr>
            <w:rFonts w:hint="default" w:ascii="Times New Roman" w:hAnsi="Times New Roman" w:eastAsia="宋体" w:cs="Times New Roman"/>
            <w:b w:val="0"/>
            <w:bCs w:val="0"/>
            <w:color w:val="auto"/>
            <w:sz w:val="24"/>
            <w:szCs w:val="24"/>
            <w:highlight w:val="none"/>
            <w:shd w:val="clear" w:color="auto" w:fill="FFFFFF"/>
          </w:rPr>
        </w:sdtEndPr>
        <w:sdtContent>
          <w:r>
            <w:rPr>
              <w:rFonts w:hint="default" w:ascii="Times New Roman" w:hAnsi="Times New Roman" w:eastAsia="MS Gothic" w:cs="Times New Roman"/>
              <w:b w:val="0"/>
              <w:bCs w:val="0"/>
              <w:color w:val="auto"/>
              <w:kern w:val="2"/>
              <w:sz w:val="24"/>
              <w:szCs w:val="24"/>
              <w:highlight w:val="none"/>
              <w:shd w:val="clear" w:color="auto" w:fill="FFFFFF"/>
              <w:lang w:val="en-US" w:eastAsia="zh-CN" w:bidi="ar-SA"/>
            </w:rPr>
            <w:t>☐</w:t>
          </w:r>
        </w:sdtContent>
      </w:sdt>
      <w:r>
        <w:rPr>
          <w:rFonts w:hint="default" w:ascii="Times New Roman" w:hAnsi="Times New Roman" w:eastAsia="宋体" w:cs="Times New Roman"/>
          <w:b w:val="0"/>
          <w:bCs w:val="0"/>
          <w:color w:val="auto"/>
          <w:sz w:val="24"/>
          <w:szCs w:val="24"/>
          <w:highlight w:val="none"/>
        </w:rPr>
        <w:t xml:space="preserve"> 组织进行工程现场踏勘和召开投标预备会，时间地点：</w:t>
      </w:r>
    </w:p>
    <w:p w14:paraId="514719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 投标文件应为加密的投标文件。投标文件递交的截止时间（投标截止时间，下同）为</w:t>
      </w:r>
      <w:r>
        <w:rPr>
          <w:rFonts w:hint="eastAsia" w:cs="Times New Roman"/>
          <w:color w:val="auto"/>
          <w:sz w:val="24"/>
          <w:highlight w:val="none"/>
          <w:u w:val="single"/>
          <w:lang w:val="en-US" w:eastAsia="zh-CN"/>
        </w:rPr>
        <w:t>2026</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eastAsia" w:cs="Times New Roman"/>
          <w:color w:val="auto"/>
          <w:sz w:val="24"/>
          <w:highlight w:val="none"/>
          <w:u w:val="single"/>
          <w:lang w:val="en-US" w:eastAsia="zh-CN"/>
        </w:rPr>
        <w:t>09</w:t>
      </w:r>
      <w:r>
        <w:rPr>
          <w:rFonts w:hint="default" w:ascii="Times New Roman" w:hAnsi="Times New Roman" w:cs="Times New Roman"/>
          <w:color w:val="auto"/>
          <w:sz w:val="24"/>
          <w:highlight w:val="none"/>
        </w:rPr>
        <w:t>时</w:t>
      </w:r>
      <w:r>
        <w:rPr>
          <w:rFonts w:hint="eastAsia" w:cs="Times New Roman"/>
          <w:color w:val="auto"/>
          <w:sz w:val="24"/>
          <w:highlight w:val="none"/>
          <w:u w:val="single"/>
          <w:lang w:val="en-US" w:eastAsia="zh-CN"/>
        </w:rPr>
        <w:t>30</w:t>
      </w:r>
      <w:r>
        <w:rPr>
          <w:rFonts w:hint="default" w:ascii="Times New Roman" w:hAnsi="Times New Roman" w:cs="Times New Roman"/>
          <w:color w:val="auto"/>
          <w:sz w:val="24"/>
          <w:highlight w:val="none"/>
        </w:rPr>
        <w:t>分</w:t>
      </w:r>
      <w:r>
        <w:rPr>
          <w:color w:val="auto"/>
          <w:sz w:val="24"/>
          <w:highlight w:val="none"/>
        </w:rPr>
        <w:t>（北京时间，下同）</w:t>
      </w:r>
      <w:r>
        <w:rPr>
          <w:rFonts w:hint="default" w:ascii="Times New Roman" w:hAnsi="Times New Roman" w:cs="Times New Roman"/>
          <w:color w:val="auto"/>
          <w:sz w:val="24"/>
          <w:highlight w:val="none"/>
        </w:rPr>
        <w:t>，投标人应在投标截止时间前，通过互联网使用CA数字证书登录</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，将加密的投标文件上传。逾期未完成上传或未按规定加密的投标文件，招标人予以拒收。联合体投标的，由联合体牵头人完成</w:t>
      </w:r>
      <w:r>
        <w:rPr>
          <w:rFonts w:hint="eastAsia" w:cs="Times New Roman"/>
          <w:color w:val="auto"/>
          <w:sz w:val="24"/>
          <w:highlight w:val="none"/>
          <w:lang w:val="en-US" w:eastAsia="zh-CN"/>
        </w:rPr>
        <w:t>投标文件的上传等工作</w:t>
      </w:r>
      <w:r>
        <w:rPr>
          <w:rFonts w:hint="default" w:ascii="Times New Roman" w:hAnsi="Times New Roman" w:cs="Times New Roman"/>
          <w:color w:val="auto"/>
          <w:sz w:val="24"/>
          <w:highlight w:val="none"/>
        </w:rPr>
        <w:t>。</w:t>
      </w:r>
    </w:p>
    <w:p w14:paraId="13948D39">
      <w:pPr>
        <w:pStyle w:val="2"/>
        <w:pageBreakBefore w:val="0"/>
        <w:kinsoku/>
        <w:wordWrap w:val="0"/>
        <w:overflowPunct/>
        <w:bidi w:val="0"/>
        <w:spacing w:line="240" w:lineRule="auto"/>
        <w:jc w:val="left"/>
        <w:outlineLvl w:val="1"/>
        <w:rPr>
          <w:rFonts w:hint="default" w:ascii="Times New Roman" w:hAnsi="Times New Roman" w:eastAsia="黑体" w:cs="Times New Roman"/>
          <w:b w:val="0"/>
          <w:bCs/>
          <w:i w:val="0"/>
          <w:iCs w:val="0"/>
          <w:color w:val="auto"/>
          <w:kern w:val="44"/>
          <w:sz w:val="28"/>
          <w:szCs w:val="28"/>
          <w:highlight w:val="none"/>
          <w:lang w:val="en-US" w:eastAsia="zh-CN" w:bidi="ar-SA"/>
        </w:rPr>
      </w:pPr>
      <w:bookmarkStart w:id="30" w:name="_Toc21427"/>
      <w:bookmarkStart w:id="31" w:name="_Toc6994_WPSOffice_Level2"/>
      <w:bookmarkStart w:id="32" w:name="_Toc22018"/>
      <w:bookmarkStart w:id="33" w:name="_Toc29510"/>
      <w:bookmarkStart w:id="34" w:name="_Toc31627"/>
      <w:bookmarkStart w:id="35" w:name="_Toc4681"/>
      <w:bookmarkStart w:id="36" w:name="_Toc234832850"/>
      <w:r>
        <w:rPr>
          <w:rFonts w:hint="default" w:ascii="Times New Roman" w:hAnsi="Times New Roman" w:cs="Times New Roman"/>
          <w:b w:val="0"/>
          <w:bCs/>
          <w:i w:val="0"/>
          <w:iCs w:val="0"/>
          <w:color w:val="auto"/>
          <w:kern w:val="44"/>
          <w:sz w:val="28"/>
          <w:szCs w:val="28"/>
          <w:highlight w:val="none"/>
          <w:lang w:val="en-US" w:eastAsia="zh-CN" w:bidi="ar-SA"/>
        </w:rPr>
        <w:t>6</w:t>
      </w:r>
      <w:r>
        <w:rPr>
          <w:rFonts w:hint="default" w:ascii="Times New Roman" w:hAnsi="Times New Roman" w:eastAsia="黑体" w:cs="Times New Roman"/>
          <w:b w:val="0"/>
          <w:bCs/>
          <w:i w:val="0"/>
          <w:iCs w:val="0"/>
          <w:color w:val="auto"/>
          <w:kern w:val="44"/>
          <w:sz w:val="28"/>
          <w:szCs w:val="28"/>
          <w:highlight w:val="none"/>
          <w:lang w:val="en-US" w:eastAsia="zh-CN" w:bidi="ar-SA"/>
        </w:rPr>
        <w:t>. 评标办法</w:t>
      </w:r>
      <w:bookmarkEnd w:id="30"/>
      <w:bookmarkEnd w:id="31"/>
      <w:bookmarkEnd w:id="32"/>
      <w:bookmarkEnd w:id="33"/>
      <w:bookmarkEnd w:id="34"/>
      <w:bookmarkEnd w:id="35"/>
    </w:p>
    <w:p w14:paraId="65B31F46">
      <w:pPr>
        <w:pageBreakBefore w:val="0"/>
        <w:shd w:val="clear"/>
        <w:kinsoku/>
        <w:wordWrap w:val="0"/>
        <w:overflowPunct w:val="0"/>
        <w:autoSpaceDE/>
        <w:autoSpaceDN/>
        <w:bidi w:val="0"/>
        <w:adjustRightInd/>
        <w:snapToGrid/>
        <w:spacing w:line="360" w:lineRule="auto"/>
        <w:ind w:firstLine="472" w:firstLineChars="200"/>
        <w:jc w:val="both"/>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2"/>
          <w:sz w:val="24"/>
          <w:szCs w:val="24"/>
          <w:highlight w:val="none"/>
        </w:rPr>
        <w:t>本项目评标办法采用</w:t>
      </w:r>
      <w:r>
        <w:rPr>
          <w:rFonts w:hint="eastAsia" w:ascii="宋体" w:hAnsi="宋体" w:eastAsia="宋体" w:cs="宋体"/>
          <w:color w:val="auto"/>
          <w:spacing w:val="-2"/>
          <w:sz w:val="24"/>
          <w:szCs w:val="24"/>
          <w:highlight w:val="none"/>
          <w:u w:val="single"/>
          <w:lang w:val="en-US" w:eastAsia="zh-CN"/>
        </w:rPr>
        <w:t>合理低价法</w:t>
      </w:r>
      <w:r>
        <w:rPr>
          <w:rFonts w:hint="default" w:ascii="Times New Roman" w:hAnsi="Times New Roman" w:cs="Times New Roman" w:eastAsiaTheme="minorEastAsia"/>
          <w:color w:val="auto"/>
          <w:spacing w:val="-2"/>
          <w:sz w:val="24"/>
          <w:szCs w:val="24"/>
          <w:highlight w:val="none"/>
          <w:u w:val="single"/>
        </w:rPr>
        <w:t xml:space="preserve"> </w:t>
      </w:r>
      <w:r>
        <w:rPr>
          <w:rFonts w:hint="default" w:ascii="Times New Roman" w:hAnsi="Times New Roman" w:cs="Times New Roman" w:eastAsiaTheme="minorEastAsia"/>
          <w:color w:val="auto"/>
          <w:spacing w:val="-2"/>
          <w:sz w:val="24"/>
          <w:szCs w:val="24"/>
          <w:highlight w:val="none"/>
          <w:u w:val="none"/>
          <w:lang w:eastAsia="zh-CN"/>
        </w:rPr>
        <w:t>（</w:t>
      </w:r>
      <w:r>
        <w:rPr>
          <w:rFonts w:hint="default" w:ascii="Times New Roman" w:hAnsi="Times New Roman" w:cs="Times New Roman" w:eastAsiaTheme="minorEastAsia"/>
          <w:color w:val="auto"/>
          <w:spacing w:val="-2"/>
          <w:sz w:val="24"/>
          <w:szCs w:val="24"/>
          <w:highlight w:val="none"/>
          <w:u w:val="none"/>
          <w:lang w:val="en-US" w:eastAsia="zh-CN"/>
        </w:rPr>
        <w:t>评标办法</w:t>
      </w:r>
      <w:r>
        <w:rPr>
          <w:rFonts w:hint="default" w:ascii="Times New Roman" w:hAnsi="Times New Roman" w:cs="Times New Roman" w:eastAsiaTheme="minorEastAsia"/>
          <w:color w:val="auto"/>
          <w:spacing w:val="-2"/>
          <w:sz w:val="24"/>
          <w:szCs w:val="24"/>
          <w:highlight w:val="none"/>
          <w:u w:val="none"/>
          <w:lang w:eastAsia="zh-CN"/>
        </w:rPr>
        <w:t>）</w:t>
      </w:r>
      <w:r>
        <w:rPr>
          <w:rFonts w:hint="default" w:ascii="Times New Roman" w:hAnsi="Times New Roman" w:eastAsia="宋体" w:cs="Times New Roman"/>
          <w:color w:val="auto"/>
          <w:spacing w:val="-2"/>
          <w:sz w:val="24"/>
          <w:szCs w:val="24"/>
          <w:highlight w:val="none"/>
        </w:rPr>
        <w:t>，评标标准和方法详见</w:t>
      </w:r>
      <w:r>
        <w:rPr>
          <w:rFonts w:hint="eastAsia" w:ascii="宋体" w:hAnsi="宋体" w:eastAsia="宋体" w:cs="宋体"/>
          <w:color w:val="auto"/>
          <w:spacing w:val="-2"/>
          <w:sz w:val="24"/>
          <w:szCs w:val="24"/>
          <w:highlight w:val="none"/>
          <w:u w:val="single"/>
        </w:rPr>
        <w:t>辽宁省招标投标监管网附件《招标公告》</w:t>
      </w:r>
      <w:r>
        <w:rPr>
          <w:rFonts w:hint="default" w:ascii="Times New Roman" w:hAnsi="Times New Roman" w:eastAsia="宋体" w:cs="Times New Roman"/>
          <w:color w:val="auto"/>
          <w:spacing w:val="-6"/>
          <w:sz w:val="24"/>
          <w:szCs w:val="24"/>
          <w:highlight w:val="none"/>
        </w:rPr>
        <w:t>。</w:t>
      </w:r>
    </w:p>
    <w:p w14:paraId="04ACFA2F">
      <w:pPr>
        <w:pStyle w:val="2"/>
        <w:pageBreakBefore w:val="0"/>
        <w:kinsoku/>
        <w:wordWrap w:val="0"/>
        <w:overflowPunct/>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37" w:name="_Toc4689"/>
      <w:bookmarkStart w:id="38" w:name="_Toc1626"/>
      <w:bookmarkStart w:id="39" w:name="_Toc31461"/>
      <w:bookmarkStart w:id="40" w:name="_Toc26310"/>
      <w:r>
        <w:rPr>
          <w:rFonts w:hint="default" w:ascii="Times New Roman" w:hAnsi="Times New Roman" w:cs="Times New Roman"/>
          <w:color w:val="auto"/>
          <w:sz w:val="28"/>
          <w:szCs w:val="28"/>
          <w:highlight w:val="none"/>
          <w:lang w:val="en-US" w:eastAsia="zh-CN"/>
        </w:rPr>
        <w:t>7</w:t>
      </w:r>
      <w:r>
        <w:rPr>
          <w:rFonts w:hint="default" w:ascii="Times New Roman" w:hAnsi="Times New Roman" w:eastAsia="黑体" w:cs="Times New Roman"/>
          <w:color w:val="auto"/>
          <w:sz w:val="28"/>
          <w:szCs w:val="28"/>
          <w:highlight w:val="none"/>
        </w:rPr>
        <w:t>. 发布公告的媒介</w:t>
      </w:r>
      <w:bookmarkEnd w:id="36"/>
      <w:bookmarkEnd w:id="37"/>
      <w:bookmarkEnd w:id="38"/>
      <w:bookmarkEnd w:id="39"/>
      <w:bookmarkEnd w:id="40"/>
    </w:p>
    <w:p w14:paraId="7FE7F033">
      <w:pPr>
        <w:pStyle w:val="15"/>
        <w:pageBreakBefore w:val="0"/>
        <w:kinsoku/>
        <w:wordWrap w:val="0"/>
        <w:topLinePunct/>
        <w:bidi w:val="0"/>
        <w:spacing w:line="400" w:lineRule="atLeast"/>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 w:val="24"/>
          <w:szCs w:val="24"/>
          <w:highlight w:val="none"/>
        </w:rPr>
        <w:t>本次招标公告同时在</w:t>
      </w:r>
      <w:r>
        <w:rPr>
          <w:rFonts w:hint="default" w:ascii="Times New Roman" w:hAnsi="Times New Roman" w:cs="Times New Roman"/>
          <w:color w:val="auto"/>
          <w:sz w:val="24"/>
          <w:szCs w:val="24"/>
          <w:highlight w:val="none"/>
          <w:u w:val="single"/>
        </w:rPr>
        <w:t xml:space="preserve"> </w:t>
      </w:r>
      <w:r>
        <w:rPr>
          <w:rFonts w:hint="eastAsia" w:ascii="宋体" w:hAnsi="宋体" w:eastAsia="宋体" w:cs="宋体"/>
          <w:color w:val="auto"/>
          <w:sz w:val="24"/>
          <w:szCs w:val="24"/>
          <w:highlight w:val="none"/>
          <w:u w:val="single"/>
        </w:rPr>
        <w:t>辽宁省公共资源交易一张网电子化平台</w:t>
      </w:r>
      <w:r>
        <w:rPr>
          <w:rFonts w:hint="eastAsia"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辽宁省招标投标监管网</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全国公共资源交易平台（辽宁·</w:t>
      </w:r>
      <w:r>
        <w:rPr>
          <w:rFonts w:hint="eastAsia" w:ascii="宋体" w:hAnsi="宋体" w:eastAsia="宋体" w:cs="宋体"/>
          <w:color w:val="auto"/>
          <w:sz w:val="24"/>
          <w:szCs w:val="24"/>
          <w:highlight w:val="none"/>
          <w:u w:val="single"/>
          <w:lang w:val="en-US" w:eastAsia="zh-CN"/>
        </w:rPr>
        <w:t>营口</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（发布公告的媒介名称）上发布</w:t>
      </w:r>
      <w:r>
        <w:rPr>
          <w:rFonts w:hint="default" w:ascii="Times New Roman" w:hAnsi="Times New Roman" w:cs="Times New Roman"/>
          <w:color w:val="auto"/>
          <w:szCs w:val="24"/>
          <w:highlight w:val="none"/>
        </w:rPr>
        <w:t>。</w:t>
      </w:r>
    </w:p>
    <w:p w14:paraId="329A18AA">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41" w:name="_Toc26506"/>
      <w:bookmarkStart w:id="42" w:name="_Toc31367"/>
      <w:bookmarkStart w:id="43" w:name="_Toc27909"/>
      <w:bookmarkStart w:id="44" w:name="_Toc470760979"/>
      <w:r>
        <w:rPr>
          <w:rFonts w:hint="eastAsia" w:cs="Times New Roman"/>
          <w:color w:val="auto"/>
          <w:sz w:val="28"/>
          <w:szCs w:val="28"/>
          <w:highlight w:val="none"/>
          <w:lang w:val="en-US" w:eastAsia="zh-CN"/>
        </w:rPr>
        <w:t>8</w:t>
      </w:r>
      <w:r>
        <w:rPr>
          <w:rFonts w:hint="default" w:ascii="Times New Roman" w:hAnsi="Times New Roman" w:eastAsia="黑体" w:cs="Times New Roman"/>
          <w:color w:val="auto"/>
          <w:sz w:val="28"/>
          <w:szCs w:val="28"/>
          <w:highlight w:val="none"/>
        </w:rPr>
        <w:t xml:space="preserve">. </w:t>
      </w:r>
      <w:bookmarkEnd w:id="41"/>
      <w:bookmarkEnd w:id="42"/>
      <w:bookmarkEnd w:id="43"/>
      <w:bookmarkEnd w:id="44"/>
      <w:r>
        <w:rPr>
          <w:rFonts w:hint="default" w:ascii="Times New Roman" w:hAnsi="Times New Roman" w:eastAsia="黑体" w:cs="Times New Roman"/>
          <w:color w:val="auto"/>
          <w:sz w:val="28"/>
          <w:szCs w:val="28"/>
          <w:highlight w:val="none"/>
        </w:rPr>
        <w:t>招标工作公开接受社会监督</w:t>
      </w:r>
    </w:p>
    <w:p w14:paraId="1340E79A">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8.1 公示制度 </w:t>
      </w:r>
    </w:p>
    <w:p w14:paraId="1E386A20">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招标人在收到评标报告之日起3日内，将评标结果以及招标文件中规定的其他信息在相关网站上公示不少于3日以接受社会公开监督。投标人或者其他利害关系人对评标结果有异议的，应当在中标候选人公示期间提出。 </w:t>
      </w:r>
    </w:p>
    <w:p w14:paraId="7DC4E523">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8.2 异议、投诉处理</w:t>
      </w:r>
    </w:p>
    <w:p w14:paraId="4E95304C">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8.2.1 异议处理 </w:t>
      </w:r>
    </w:p>
    <w:p w14:paraId="795B4638">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（1）潜在投标人或者其他利害关系人对招标文件的异议以及招标人的答复，均应通过“电子交易系统” 在“异议与答复”菜单中完成。</w:t>
      </w:r>
    </w:p>
    <w:p w14:paraId="1E3CCDC9">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（2）投标人对开标如有异议，应在“电子交易系统”提出。</w:t>
      </w:r>
    </w:p>
    <w:p w14:paraId="2F22BFF3">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（3）投标人或者其他利害关系人对评标结果如有异议，应在中标候选人公示期间提出。投标人提出异议以及招标人的答复均应通过“电子交易系统”中进行。</w:t>
      </w:r>
    </w:p>
    <w:p w14:paraId="5B9CBDAC">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8.2.2 投诉处理 </w:t>
      </w:r>
    </w:p>
    <w:p w14:paraId="5B635A9C">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行政监督部门按照《</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4%B8%AD%E5%8D%8E%E4%BA%BA%E6%B0%91%E5%85%B1%E5%92%8C%E5%9B%BD%E6%8B%9B%E6%A0%87%E6%8A%95%E6%A0%87%E6%B3%95%E5%AE%9E%E6%96%BD%E6%9D%A1%E4%BE%8B?fromtitle=%E6%8B%9B%E6%A0%87%E6%8A%95%E6%A0%87%E6%B3%95%E5%AE%9E%E6%96%BD%E6%9D%A1%E4%BE%8B&amp;fromid=2312380&amp;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招标投标法实施条例</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u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"https://baike.baidu.com/item/%E5%B7%A5%E7%A8%8B%E5%BB%BA%E8%AE%BE%E9%A1%B9%E7%9B%AE%E6%8B%9B%E6%A0%87%E6%8A%95%E6%A0%87%E6%B4%BB%E5%8A%A8%E6%8A%95%E8%AF%89%E5%A4%84%E7%90%86%E5%8A%9E%E6%B3%95?fromModule=lemma_search-box"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工程建设项目招标投标活动投诉处理办法</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u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（2013年3月国家发展改革委第23号令修改）、《</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"https://www.ndrc.gov.cn/xwdt/tzgg/202102/t20210225_1267906.html"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关于建立健全招标投标领域优化营商环境长效机制的通知</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lang w:val="en-US" w:eastAsia="zh-CN" w:bidi="ar-SA"/>
        </w:rPr>
        <w:t>》（发改法规〔2021〕240号）、交通运输部《</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"https://baike.baidu.com/item/%E5%85%AC%E8%B7%AF%E5%B7%A5%E7%A8%8B%E5%BB%BA%E8%AE%BE%E9%A1%B9%E7%9B%AE%E6%8B%9B%E6%A0%87%E6%8A%95%E6%A0%87%E7%AE%A1%E7%90%86%E5%8A%9E%E6%B3%95?fromModule=lemma_search-box"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公路工程建设项目招标投标管理办法</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lang w:val="en-US" w:eastAsia="zh-CN" w:bidi="ar-SA"/>
        </w:rPr>
        <w:t>》等相关规定，接受针对公示内容的投诉。投诉材料要求、投诉受理条件及查处按照上述规定执行。</w:t>
      </w:r>
    </w:p>
    <w:p w14:paraId="1BFB629E">
      <w:pPr>
        <w:pStyle w:val="2"/>
        <w:pageBreakBefore w:val="0"/>
        <w:kinsoku/>
        <w:wordWrap w:val="0"/>
        <w:bidi w:val="0"/>
        <w:spacing w:before="240" w:after="240" w:line="240" w:lineRule="atLeast"/>
        <w:outlineLvl w:val="1"/>
        <w:rPr>
          <w:rFonts w:hint="eastAsia" w:ascii="Times New Roman" w:hAnsi="Times New Roman" w:cs="Times New Roman"/>
          <w:color w:val="auto"/>
          <w:sz w:val="28"/>
          <w:szCs w:val="28"/>
          <w:highlight w:val="none"/>
          <w:lang w:val="en-US" w:eastAsia="zh-CN"/>
        </w:rPr>
      </w:pPr>
      <w:bookmarkStart w:id="45" w:name="_Toc17635"/>
      <w:r>
        <w:rPr>
          <w:rFonts w:hint="eastAsia" w:ascii="Times New Roman" w:hAnsi="Times New Roman" w:cs="Times New Roman"/>
          <w:color w:val="auto"/>
          <w:sz w:val="28"/>
          <w:szCs w:val="28"/>
          <w:highlight w:val="none"/>
          <w:lang w:val="en-US" w:eastAsia="zh-CN"/>
        </w:rPr>
        <w:t>9. 联系方式</w:t>
      </w:r>
      <w:bookmarkEnd w:id="45"/>
    </w:p>
    <w:p w14:paraId="34EA1E96">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监督部门：</w:t>
      </w:r>
      <w:r>
        <w:rPr>
          <w:rFonts w:hint="eastAsia" w:ascii="宋体" w:hAnsi="宋体" w:eastAsia="宋体" w:cs="宋体"/>
          <w:color w:val="auto"/>
          <w:sz w:val="24"/>
          <w:szCs w:val="24"/>
          <w:highlight w:val="none"/>
          <w:u w:val="single"/>
        </w:rPr>
        <w:t>大石桥市交通运输局</w:t>
      </w:r>
    </w:p>
    <w:p w14:paraId="5193AF3A">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    址：</w:t>
      </w:r>
      <w:r>
        <w:rPr>
          <w:rFonts w:hint="eastAsia" w:ascii="宋体" w:hAnsi="宋体" w:eastAsia="宋体" w:cs="宋体"/>
          <w:color w:val="auto"/>
          <w:sz w:val="24"/>
          <w:szCs w:val="24"/>
          <w:highlight w:val="none"/>
          <w:u w:val="single"/>
        </w:rPr>
        <w:t>大石桥市哈大中路1号</w:t>
      </w:r>
    </w:p>
    <w:p w14:paraId="5BDAE552">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邮    编：</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64D6D4A9">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 系 人：</w:t>
      </w:r>
      <w:r>
        <w:rPr>
          <w:rFonts w:hint="eastAsia" w:ascii="宋体" w:hAnsi="宋体" w:eastAsia="宋体" w:cs="宋体"/>
          <w:color w:val="auto"/>
          <w:sz w:val="24"/>
          <w:szCs w:val="24"/>
          <w:highlight w:val="none"/>
          <w:u w:val="single"/>
          <w:lang w:val="en-US" w:eastAsia="zh-CN"/>
        </w:rPr>
        <w:t>董博</w:t>
      </w:r>
      <w:r>
        <w:rPr>
          <w:rFonts w:hint="eastAsia" w:ascii="宋体" w:hAnsi="宋体" w:cs="宋体"/>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1521D136">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电    话：</w:t>
      </w:r>
      <w:r>
        <w:rPr>
          <w:rFonts w:hint="eastAsia" w:ascii="宋体" w:hAnsi="宋体" w:cs="宋体"/>
          <w:color w:val="auto"/>
          <w:sz w:val="24"/>
          <w:szCs w:val="24"/>
          <w:highlight w:val="none"/>
          <w:u w:val="single"/>
          <w:lang w:eastAsia="zh-CN"/>
        </w:rPr>
        <w:t>0417-5836231</w:t>
      </w:r>
      <w:r>
        <w:rPr>
          <w:rFonts w:hint="eastAsia" w:ascii="宋体" w:hAnsi="宋体" w:cs="宋体"/>
          <w:color w:val="auto"/>
          <w:sz w:val="24"/>
          <w:szCs w:val="24"/>
          <w:highlight w:val="none"/>
          <w:u w:val="single"/>
          <w:lang w:val="en-US" w:eastAsia="zh-CN"/>
        </w:rPr>
        <w:t xml:space="preserve">       </w:t>
      </w:r>
    </w:p>
    <w:p w14:paraId="428CF65C">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0516534E">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电子邮件：</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2F6A8818">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网    址：</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3D170D1F">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p>
    <w:p w14:paraId="79F2FA86">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 标 人：</w:t>
      </w:r>
      <w:r>
        <w:rPr>
          <w:rFonts w:hint="eastAsia" w:ascii="宋体" w:hAnsi="宋体" w:cs="宋体"/>
          <w:color w:val="auto"/>
          <w:sz w:val="24"/>
          <w:szCs w:val="24"/>
          <w:highlight w:val="none"/>
          <w:u w:val="single"/>
          <w:lang w:val="en-US" w:eastAsia="zh-CN"/>
        </w:rPr>
        <w:t>大石桥市交通运输事务中心</w:t>
      </w:r>
      <w:r>
        <w:rPr>
          <w:rFonts w:hint="default" w:ascii="Times New Roman" w:hAnsi="Times New Roman" w:eastAsia="黑体" w:cs="Times New Roman"/>
          <w:color w:val="auto"/>
          <w:sz w:val="24"/>
          <w:szCs w:val="24"/>
          <w:highlight w:val="none"/>
          <w:u w:val="single"/>
        </w:rPr>
        <w:t xml:space="preserve"> </w:t>
      </w:r>
    </w:p>
    <w:p w14:paraId="423A482A">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    址：</w:t>
      </w:r>
      <w:r>
        <w:rPr>
          <w:rFonts w:hint="eastAsia" w:ascii="宋体" w:hAnsi="宋体" w:cs="宋体"/>
          <w:color w:val="auto"/>
          <w:sz w:val="24"/>
          <w:szCs w:val="24"/>
          <w:highlight w:val="none"/>
          <w:u w:val="single"/>
          <w:lang w:val="en-US" w:eastAsia="zh-CN"/>
        </w:rPr>
        <w:t>大石桥市哈大中路1号</w:t>
      </w:r>
      <w:r>
        <w:rPr>
          <w:rFonts w:hint="default" w:ascii="Times New Roman" w:hAnsi="Times New Roman" w:eastAsia="黑体" w:cs="Times New Roman"/>
          <w:color w:val="auto"/>
          <w:sz w:val="24"/>
          <w:szCs w:val="24"/>
          <w:highlight w:val="none"/>
          <w:u w:val="single"/>
        </w:rPr>
        <w:t xml:space="preserve"> </w:t>
      </w:r>
    </w:p>
    <w:p w14:paraId="6E6907B9">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邮    编：</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1ED84D06">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 系 人：</w:t>
      </w:r>
      <w:r>
        <w:rPr>
          <w:rFonts w:hint="eastAsia" w:ascii="宋体" w:hAnsi="宋体" w:cs="宋体"/>
          <w:color w:val="auto"/>
          <w:sz w:val="24"/>
          <w:szCs w:val="24"/>
          <w:highlight w:val="none"/>
          <w:u w:val="single"/>
          <w:lang w:val="en-US" w:eastAsia="zh-CN"/>
        </w:rPr>
        <w:t>张立营</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25DA6804">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电    话：</w:t>
      </w:r>
      <w:bookmarkStart w:id="46" w:name="_Toc352691454"/>
      <w:bookmarkStart w:id="47" w:name="_Toc361508561"/>
      <w:bookmarkStart w:id="48" w:name="_Toc384308186"/>
      <w:bookmarkStart w:id="49" w:name="_Toc300834928"/>
      <w:bookmarkStart w:id="50" w:name="_Toc369531496"/>
      <w:bookmarkStart w:id="51" w:name="_Toc247513933"/>
      <w:bookmarkStart w:id="52" w:name="_Toc247527534"/>
      <w:bookmarkStart w:id="53" w:name="_Toc3520"/>
      <w:r>
        <w:rPr>
          <w:rFonts w:hint="eastAsia" w:ascii="宋体" w:hAnsi="宋体" w:cs="宋体"/>
          <w:color w:val="auto"/>
          <w:sz w:val="24"/>
          <w:szCs w:val="24"/>
          <w:highlight w:val="none"/>
          <w:u w:val="single"/>
          <w:lang w:val="en-US" w:eastAsia="zh-CN"/>
        </w:rPr>
        <w:t>0417-5836236</w:t>
      </w:r>
      <w:r>
        <w:rPr>
          <w:rFonts w:hint="default" w:ascii="Times New Roman" w:hAnsi="Times New Roman" w:eastAsia="黑体" w:cs="Times New Roman"/>
          <w:color w:val="auto"/>
          <w:sz w:val="24"/>
          <w:szCs w:val="24"/>
          <w:highlight w:val="none"/>
          <w:u w:val="single"/>
        </w:rPr>
        <w:t xml:space="preserve">       </w:t>
      </w:r>
      <w:bookmarkEnd w:id="46"/>
      <w:bookmarkEnd w:id="47"/>
      <w:bookmarkEnd w:id="48"/>
      <w:bookmarkEnd w:id="49"/>
      <w:bookmarkEnd w:id="50"/>
      <w:bookmarkEnd w:id="51"/>
      <w:bookmarkEnd w:id="52"/>
      <w:bookmarkEnd w:id="53"/>
    </w:p>
    <w:p w14:paraId="40CE214C">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6D078580">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电子邮件：</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760FC0F2">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网    址：</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368CF387">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lang w:val="en-US" w:eastAsia="zh-CN"/>
        </w:rPr>
      </w:pPr>
    </w:p>
    <w:p w14:paraId="55FED375">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招标代理机构</w:t>
      </w:r>
      <w:r>
        <w:rPr>
          <w:rFonts w:hint="default" w:ascii="Times New Roman" w:hAnsi="Times New Roman" w:cs="Times New Roman"/>
          <w:color w:val="auto"/>
          <w:sz w:val="24"/>
          <w:szCs w:val="24"/>
          <w:highlight w:val="none"/>
        </w:rPr>
        <w:t>：</w:t>
      </w:r>
      <w:r>
        <w:rPr>
          <w:rFonts w:hint="eastAsia" w:ascii="宋体" w:hAnsi="宋体" w:cs="宋体"/>
          <w:color w:val="auto"/>
          <w:sz w:val="24"/>
          <w:szCs w:val="24"/>
          <w:highlight w:val="none"/>
          <w:u w:val="single"/>
          <w:lang w:val="en-US" w:eastAsia="zh-CN"/>
        </w:rPr>
        <w:t>合亿工程管理咨询有限公司</w:t>
      </w:r>
    </w:p>
    <w:p w14:paraId="09CBD413">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    址：</w:t>
      </w:r>
      <w:r>
        <w:rPr>
          <w:rFonts w:hint="eastAsia" w:ascii="宋体" w:hAnsi="宋体" w:cs="宋体"/>
          <w:color w:val="auto"/>
          <w:sz w:val="24"/>
          <w:szCs w:val="24"/>
          <w:highlight w:val="none"/>
          <w:u w:val="single"/>
          <w:lang w:val="en-US" w:eastAsia="zh-CN"/>
        </w:rPr>
        <w:t>盘锦市兴隆台区东方托莱多9号商网116号</w:t>
      </w:r>
      <w:r>
        <w:rPr>
          <w:rFonts w:hint="default" w:ascii="Times New Roman" w:hAnsi="Times New Roman" w:eastAsia="黑体" w:cs="Times New Roman"/>
          <w:color w:val="auto"/>
          <w:sz w:val="24"/>
          <w:szCs w:val="24"/>
          <w:highlight w:val="none"/>
          <w:u w:val="single"/>
        </w:rPr>
        <w:t xml:space="preserve">  </w:t>
      </w:r>
    </w:p>
    <w:p w14:paraId="6859154E">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邮    编：</w:t>
      </w:r>
      <w:r>
        <w:rPr>
          <w:rFonts w:hint="eastAsia" w:ascii="宋体" w:hAnsi="宋体" w:cs="宋体"/>
          <w:color w:val="auto"/>
          <w:sz w:val="24"/>
          <w:szCs w:val="24"/>
          <w:highlight w:val="none"/>
          <w:u w:val="single"/>
          <w:lang w:val="en-US" w:eastAsia="zh-CN"/>
        </w:rPr>
        <w:t>124000</w:t>
      </w:r>
      <w:r>
        <w:rPr>
          <w:rFonts w:hint="default" w:ascii="Times New Roman" w:hAnsi="Times New Roman" w:eastAsia="黑体" w:cs="Times New Roman"/>
          <w:color w:val="auto"/>
          <w:sz w:val="24"/>
          <w:szCs w:val="24"/>
          <w:highlight w:val="none"/>
          <w:u w:val="single"/>
        </w:rPr>
        <w:t xml:space="preserve">            </w:t>
      </w:r>
    </w:p>
    <w:p w14:paraId="7EB2960C">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 系 人：</w:t>
      </w:r>
      <w:r>
        <w:rPr>
          <w:rFonts w:hint="eastAsia" w:ascii="宋体" w:hAnsi="宋体" w:cs="宋体"/>
          <w:color w:val="auto"/>
          <w:sz w:val="24"/>
          <w:szCs w:val="24"/>
          <w:highlight w:val="none"/>
          <w:u w:val="single"/>
          <w:lang w:val="en-US" w:eastAsia="zh-CN"/>
        </w:rPr>
        <w:t>李菲菲</w:t>
      </w:r>
      <w:r>
        <w:rPr>
          <w:rFonts w:hint="default" w:ascii="Times New Roman" w:hAnsi="Times New Roman" w:eastAsia="黑体" w:cs="Times New Roman"/>
          <w:color w:val="auto"/>
          <w:sz w:val="24"/>
          <w:szCs w:val="24"/>
          <w:highlight w:val="none"/>
          <w:u w:val="single"/>
        </w:rPr>
        <w:t xml:space="preserve">            </w:t>
      </w:r>
    </w:p>
    <w:p w14:paraId="780FBE68">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电    话：</w:t>
      </w:r>
      <w:r>
        <w:rPr>
          <w:rFonts w:hint="eastAsia" w:ascii="宋体" w:hAnsi="宋体" w:cs="宋体"/>
          <w:color w:val="auto"/>
          <w:sz w:val="24"/>
          <w:szCs w:val="24"/>
          <w:highlight w:val="none"/>
          <w:u w:val="single"/>
          <w:lang w:val="en-US" w:eastAsia="zh-CN"/>
        </w:rPr>
        <w:t>0427-2959199</w:t>
      </w:r>
      <w:bookmarkStart w:id="2042" w:name="_GoBack"/>
      <w:bookmarkEnd w:id="2042"/>
      <w:r>
        <w:rPr>
          <w:rFonts w:hint="default" w:ascii="Times New Roman" w:hAnsi="Times New Roman" w:eastAsia="黑体" w:cs="Times New Roman"/>
          <w:color w:val="auto"/>
          <w:sz w:val="24"/>
          <w:szCs w:val="24"/>
          <w:highlight w:val="none"/>
          <w:u w:val="single"/>
        </w:rPr>
        <w:t xml:space="preserve">       </w:t>
      </w:r>
    </w:p>
    <w:p w14:paraId="222DD13F">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15B119B2">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电子邮件：</w:t>
      </w:r>
      <w:r>
        <w:rPr>
          <w:rFonts w:hint="eastAsia" w:ascii="宋体" w:hAnsi="宋体" w:eastAsia="宋体" w:cs="宋体"/>
          <w:color w:val="auto"/>
          <w:sz w:val="24"/>
          <w:szCs w:val="24"/>
          <w:highlight w:val="none"/>
          <w:u w:val="single"/>
          <w:lang w:val="en-US" w:eastAsia="zh-CN"/>
        </w:rPr>
        <w:t>hyzx2023@163.com</w:t>
      </w:r>
      <w:r>
        <w:rPr>
          <w:rFonts w:hint="default" w:ascii="Times New Roman" w:hAnsi="Times New Roman" w:eastAsia="黑体" w:cs="Times New Roman"/>
          <w:color w:val="auto"/>
          <w:sz w:val="24"/>
          <w:szCs w:val="24"/>
          <w:highlight w:val="none"/>
          <w:u w:val="single"/>
        </w:rPr>
        <w:t xml:space="preserve">   </w:t>
      </w:r>
    </w:p>
    <w:p w14:paraId="0FDCFD1A">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网    址：</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highlight w:val="none"/>
        </w:rPr>
        <w:t xml:space="preserve">                                                    </w:t>
      </w:r>
    </w:p>
    <w:p w14:paraId="748183F3">
      <w:pPr>
        <w:pageBreakBefore w:val="0"/>
        <w:widowControl/>
        <w:kinsoku/>
        <w:wordWrap w:val="0"/>
        <w:bidi w:val="0"/>
        <w:ind w:firstLine="960" w:firstLineChars="400"/>
        <w:jc w:val="left"/>
        <w:rPr>
          <w:rFonts w:hint="default" w:ascii="Times New Roman" w:hAnsi="Times New Roman" w:cs="Times New Roman"/>
          <w:color w:val="auto"/>
          <w:sz w:val="24"/>
          <w:highlight w:val="none"/>
        </w:rPr>
        <w:sectPr>
          <w:headerReference r:id="rId15" w:type="default"/>
          <w:footerReference r:id="rId17" w:type="default"/>
          <w:headerReference r:id="rId16" w:type="even"/>
          <w:footerReference r:id="rId18"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r>
        <w:rPr>
          <w:rFonts w:hint="default" w:ascii="Times New Roman" w:hAnsi="Times New Roman" w:cs="Times New Roman"/>
          <w:color w:val="auto"/>
          <w:sz w:val="24"/>
          <w:highlight w:val="none"/>
        </w:rPr>
        <w:t>　　　　　　　　 　       　　　　　</w:t>
      </w:r>
      <w:r>
        <w:rPr>
          <w:rFonts w:hint="eastAsia" w:cs="Times New Roman"/>
          <w:color w:val="auto"/>
          <w:sz w:val="24"/>
          <w:highlight w:val="none"/>
          <w:u w:val="single"/>
          <w:lang w:val="en-US" w:eastAsia="zh-CN"/>
        </w:rPr>
        <w:t>2026</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6CF4ACC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8FFDF8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CC5B88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4DCBFEB9">
      <w:pPr>
        <w:pageBreakBefore w:val="0"/>
        <w:kinsoku/>
        <w:wordWrap w:val="0"/>
        <w:topLinePunct/>
        <w:bidi w:val="0"/>
        <w:spacing w:line="440" w:lineRule="exact"/>
        <w:ind w:right="31" w:rightChars="15"/>
        <w:rPr>
          <w:rFonts w:hint="default" w:ascii="Times New Roman" w:hAnsi="Times New Roman" w:eastAsia="黑体" w:cs="Times New Roman"/>
          <w:color w:val="auto"/>
          <w:sz w:val="29"/>
          <w:szCs w:val="29"/>
          <w:highlight w:val="none"/>
        </w:rPr>
      </w:pPr>
    </w:p>
    <w:p w14:paraId="559286E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38AEB80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6D841E8">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CA6845E">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4502DBDE">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53293682">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r>
        <w:rPr>
          <w:rFonts w:hint="default" w:ascii="Times New Roman" w:hAnsi="Times New Roman" w:eastAsia="黑体" w:cs="Times New Roman"/>
          <w:color w:val="auto"/>
          <w:sz w:val="56"/>
          <w:szCs w:val="56"/>
          <w:highlight w:val="none"/>
        </w:rPr>
        <w:t>第二章  投标人须知</w:t>
      </w:r>
    </w:p>
    <w:p w14:paraId="48702411">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48837A9A">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headerReference r:id="rId19" w:type="default"/>
          <w:footerReference r:id="rId21" w:type="default"/>
          <w:headerReference r:id="rId20" w:type="even"/>
          <w:footerReference r:id="rId22"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65E9556B">
      <w:pPr>
        <w:pageBreakBefore w:val="0"/>
        <w:kinsoku/>
        <w:wordWrap w:val="0"/>
        <w:bidi w:val="0"/>
        <w:spacing w:line="440" w:lineRule="exact"/>
        <w:jc w:val="center"/>
        <w:outlineLvl w:val="0"/>
        <w:rPr>
          <w:rStyle w:val="53"/>
          <w:rFonts w:hint="default" w:ascii="Times New Roman" w:hAnsi="Times New Roman" w:eastAsia="黑体" w:cs="Times New Roman"/>
          <w:color w:val="auto"/>
          <w:sz w:val="42"/>
          <w:szCs w:val="42"/>
          <w:highlight w:val="none"/>
        </w:rPr>
      </w:pPr>
      <w:bookmarkStart w:id="54" w:name="_Toc19741"/>
      <w:bookmarkStart w:id="55" w:name="_Toc10289"/>
      <w:bookmarkStart w:id="56" w:name="_Toc9806"/>
      <w:bookmarkStart w:id="57" w:name="_Toc234832861"/>
      <w:r>
        <w:rPr>
          <w:rStyle w:val="53"/>
          <w:rFonts w:hint="default" w:ascii="Times New Roman" w:hAnsi="Times New Roman" w:eastAsia="黑体" w:cs="Times New Roman"/>
          <w:color w:val="auto"/>
          <w:sz w:val="42"/>
          <w:szCs w:val="42"/>
          <w:highlight w:val="none"/>
        </w:rPr>
        <w:t>第二章  投标人须知</w:t>
      </w:r>
      <w:bookmarkEnd w:id="54"/>
      <w:bookmarkEnd w:id="55"/>
      <w:bookmarkEnd w:id="56"/>
      <w:bookmarkEnd w:id="57"/>
    </w:p>
    <w:p w14:paraId="047A5BB3">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58" w:name="_Toc234832862"/>
      <w:bookmarkStart w:id="59" w:name="_Toc29020"/>
      <w:bookmarkStart w:id="60" w:name="_Toc8928"/>
      <w:bookmarkStart w:id="61" w:name="_Toc20369"/>
      <w:r>
        <w:rPr>
          <w:rFonts w:hint="default" w:ascii="Times New Roman" w:hAnsi="Times New Roman" w:eastAsia="黑体" w:cs="Times New Roman"/>
          <w:color w:val="auto"/>
          <w:sz w:val="28"/>
          <w:szCs w:val="28"/>
          <w:highlight w:val="none"/>
        </w:rPr>
        <w:t>投标人须知前附表</w:t>
      </w:r>
      <w:r>
        <w:rPr>
          <w:rStyle w:val="47"/>
          <w:rFonts w:hint="default" w:ascii="Times New Roman" w:hAnsi="Times New Roman" w:eastAsia="黑体" w:cs="Times New Roman"/>
          <w:color w:val="auto"/>
          <w:sz w:val="28"/>
          <w:szCs w:val="28"/>
          <w:highlight w:val="none"/>
        </w:rPr>
        <w:footnoteReference w:id="5"/>
      </w:r>
      <w:bookmarkEnd w:id="58"/>
      <w:bookmarkEnd w:id="59"/>
      <w:bookmarkEnd w:id="60"/>
      <w:bookmarkEnd w:id="61"/>
    </w:p>
    <w:tbl>
      <w:tblPr>
        <w:tblStyle w:val="39"/>
        <w:tblW w:w="0" w:type="auto"/>
        <w:tblInd w:w="0" w:type="dxa"/>
        <w:tblLayout w:type="fixed"/>
        <w:tblCellMar>
          <w:top w:w="0" w:type="dxa"/>
          <w:left w:w="108" w:type="dxa"/>
          <w:bottom w:w="0" w:type="dxa"/>
          <w:right w:w="108" w:type="dxa"/>
        </w:tblCellMar>
      </w:tblPr>
      <w:tblGrid>
        <w:gridCol w:w="1036"/>
        <w:gridCol w:w="3101"/>
        <w:gridCol w:w="4867"/>
      </w:tblGrid>
      <w:tr w14:paraId="5525B28C">
        <w:tblPrEx>
          <w:tblCellMar>
            <w:top w:w="0" w:type="dxa"/>
            <w:left w:w="108" w:type="dxa"/>
            <w:bottom w:w="0" w:type="dxa"/>
            <w:right w:w="108" w:type="dxa"/>
          </w:tblCellMar>
        </w:tblPrEx>
        <w:trPr>
          <w:trHeight w:val="340" w:hRule="atLeast"/>
          <w:tblHeader/>
        </w:trPr>
        <w:tc>
          <w:tcPr>
            <w:tcW w:w="1036" w:type="dxa"/>
            <w:tcBorders>
              <w:top w:val="single" w:color="auto" w:sz="4" w:space="0"/>
              <w:left w:val="single" w:color="auto" w:sz="4" w:space="0"/>
              <w:bottom w:val="single" w:color="auto" w:sz="4" w:space="0"/>
              <w:right w:val="single" w:color="auto" w:sz="4" w:space="0"/>
            </w:tcBorders>
            <w:noWrap w:val="0"/>
            <w:vAlign w:val="center"/>
          </w:tcPr>
          <w:p w14:paraId="1D557085">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条款号</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9766A1E">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  款  名  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3A7FA39">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编  列  内  容</w:t>
            </w:r>
          </w:p>
        </w:tc>
      </w:tr>
      <w:tr w14:paraId="4E895BB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98685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885C6C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招标人</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844E869">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FB4489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56F685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C5A1D0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招标代理机构</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A8E4169">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FCA285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20FA89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0DED3C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招标项目名称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135690F">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17C92AE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91477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5A1C83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标段建设地点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B2A82C5">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4862A7E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6B626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2323CF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资金来源及比例</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49D12B6">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BBC3E3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AC8A0A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7CFB58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资金落实情况</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C4BF00B">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6B0912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EF4B41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E25540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招标范围</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7F3ED51">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F28689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EED933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EE47A8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计划工期</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C507577">
            <w:pP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1F2CBF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7403B1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980BB5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质量要求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4652800">
            <w:pPr>
              <w:pStyle w:val="15"/>
              <w:pageBreakBefore w:val="0"/>
              <w:kinsoku/>
              <w:wordWrap w:val="0"/>
              <w:topLinePunct/>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标段工程交工验收的质量评定：</w:t>
            </w:r>
            <w:r>
              <w:rPr>
                <w:rFonts w:hint="default" w:ascii="Times New Roman" w:hAnsi="Times New Roman" w:cs="Times New Roman"/>
                <w:color w:val="auto"/>
                <w:sz w:val="24"/>
                <w:szCs w:val="24"/>
                <w:highlight w:val="none"/>
                <w:u w:val="single"/>
              </w:rPr>
              <w:t xml:space="preserve">合格  </w:t>
            </w:r>
          </w:p>
          <w:p w14:paraId="2F9128B5">
            <w:pPr>
              <w:pStyle w:val="15"/>
              <w:pageBreakBefore w:val="0"/>
              <w:kinsoku/>
              <w:wordWrap w:val="0"/>
              <w:topLinePunct/>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竣工验收的质量评定：</w:t>
            </w:r>
            <w:r>
              <w:rPr>
                <w:rFonts w:hint="default" w:ascii="Times New Roman" w:hAnsi="Times New Roman" w:cs="Times New Roman"/>
                <w:color w:val="auto"/>
                <w:sz w:val="24"/>
                <w:szCs w:val="24"/>
                <w:highlight w:val="none"/>
                <w:u w:val="single"/>
              </w:rPr>
              <w:t xml:space="preserve">合格  </w:t>
            </w:r>
          </w:p>
        </w:tc>
      </w:tr>
      <w:tr w14:paraId="7B47F7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6A54CC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1.3.4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04DDED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安全目标</w:t>
            </w:r>
            <w:r>
              <w:rPr>
                <w:rStyle w:val="47"/>
                <w:rFonts w:hint="default" w:ascii="Times New Roman" w:hAnsi="Times New Roman" w:eastAsia="黑体" w:cs="Times New Roman"/>
                <w:color w:val="auto"/>
                <w:sz w:val="24"/>
                <w:szCs w:val="24"/>
                <w:highlight w:val="none"/>
              </w:rPr>
              <w:footnoteReference w:id="6"/>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817854B">
            <w:pPr>
              <w:pStyle w:val="15"/>
              <w:pageBreakBefore w:val="0"/>
              <w:numPr>
                <w:ilvl w:val="0"/>
                <w:numId w:val="0"/>
              </w:numPr>
              <w:kinsoku/>
              <w:wordWrap w:val="0"/>
              <w:topLinePunct/>
              <w:bidi w:val="0"/>
              <w:spacing w:line="360" w:lineRule="atLeast"/>
              <w:rPr>
                <w:rFonts w:hint="eastAsia"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（1）安全生产“零死亡”；</w:t>
            </w:r>
          </w:p>
          <w:p w14:paraId="0646D0AA">
            <w:pPr>
              <w:pStyle w:val="15"/>
              <w:pageBreakBefore w:val="0"/>
              <w:numPr>
                <w:ilvl w:val="-1"/>
                <w:numId w:val="0"/>
              </w:numPr>
              <w:kinsoku/>
              <w:wordWrap w:val="0"/>
              <w:topLinePunct/>
              <w:bidi w:val="0"/>
              <w:spacing w:line="440" w:lineRule="exact"/>
              <w:rPr>
                <w:rFonts w:hint="default"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（2）其他：</w:t>
            </w:r>
            <w:r>
              <w:rPr>
                <w:rFonts w:hint="eastAsia" w:ascii="Times New Roman" w:cs="Times New Roman"/>
                <w:color w:val="auto"/>
                <w:sz w:val="24"/>
                <w:szCs w:val="24"/>
                <w:highlight w:val="none"/>
                <w:u w:val="single"/>
                <w:lang w:val="en-US" w:eastAsia="zh-CN"/>
              </w:rPr>
              <w:t xml:space="preserve">    /        </w:t>
            </w:r>
          </w:p>
        </w:tc>
      </w:tr>
      <w:tr w14:paraId="3DFFC71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45F097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C30638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投标人资质条件、能力和信誉</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E7EFDA6">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资质要求：见</w:t>
            </w:r>
            <w:r>
              <w:rPr>
                <w:rFonts w:hint="default" w:ascii="Times New Roman" w:hAnsi="Times New Roman" w:eastAsia="黑体" w:cs="Times New Roman"/>
                <w:color w:val="auto"/>
                <w:sz w:val="24"/>
                <w:szCs w:val="24"/>
                <w:highlight w:val="none"/>
              </w:rPr>
              <w:t>附录1</w:t>
            </w:r>
          </w:p>
          <w:p w14:paraId="7B77EB4D">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财务要求：见</w:t>
            </w:r>
            <w:r>
              <w:rPr>
                <w:rFonts w:hint="default" w:ascii="Times New Roman" w:hAnsi="Times New Roman" w:eastAsia="黑体" w:cs="Times New Roman"/>
                <w:color w:val="auto"/>
                <w:sz w:val="24"/>
                <w:szCs w:val="24"/>
                <w:highlight w:val="none"/>
              </w:rPr>
              <w:t>附录2</w:t>
            </w:r>
          </w:p>
          <w:p w14:paraId="313858D6">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业绩要求：见</w:t>
            </w:r>
            <w:r>
              <w:rPr>
                <w:rFonts w:hint="default" w:ascii="Times New Roman" w:hAnsi="Times New Roman" w:eastAsia="黑体" w:cs="Times New Roman"/>
                <w:color w:val="auto"/>
                <w:sz w:val="24"/>
                <w:szCs w:val="24"/>
                <w:highlight w:val="none"/>
              </w:rPr>
              <w:t>附录3</w:t>
            </w:r>
          </w:p>
          <w:p w14:paraId="05BAA2C6">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信誉要求：见</w:t>
            </w:r>
            <w:r>
              <w:rPr>
                <w:rFonts w:hint="default" w:ascii="Times New Roman" w:hAnsi="Times New Roman" w:eastAsia="黑体" w:cs="Times New Roman"/>
                <w:color w:val="auto"/>
                <w:sz w:val="24"/>
                <w:szCs w:val="24"/>
                <w:highlight w:val="none"/>
              </w:rPr>
              <w:t>附录4</w:t>
            </w:r>
          </w:p>
          <w:p w14:paraId="5555C800">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项目经理和项目总工资格：见</w:t>
            </w:r>
            <w:r>
              <w:rPr>
                <w:rFonts w:hint="default" w:ascii="Times New Roman" w:hAnsi="Times New Roman" w:eastAsia="黑体" w:cs="Times New Roman"/>
                <w:color w:val="auto"/>
                <w:sz w:val="24"/>
                <w:szCs w:val="24"/>
                <w:highlight w:val="none"/>
              </w:rPr>
              <w:t>附录5</w:t>
            </w:r>
          </w:p>
          <w:p w14:paraId="56B1F652">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其他要求：</w:t>
            </w:r>
            <w:r>
              <w:rPr>
                <w:rStyle w:val="47"/>
                <w:rFonts w:hint="default" w:ascii="Times New Roman" w:hAnsi="Times New Roman" w:eastAsia="黑体" w:cs="Times New Roman"/>
                <w:color w:val="auto"/>
                <w:sz w:val="24"/>
                <w:szCs w:val="24"/>
                <w:highlight w:val="none"/>
              </w:rPr>
              <w:footnoteReference w:id="7"/>
            </w:r>
          </w:p>
        </w:tc>
      </w:tr>
      <w:tr w14:paraId="620F995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F252B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6131086">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是否接受联合体投标</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797FB73">
            <w:pPr>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lang w:val="en-US" w:eastAsia="zh-CN"/>
              </w:rPr>
              <w:t>标段，</w:t>
            </w:r>
            <w:r>
              <w:rPr>
                <w:rFonts w:hint="default" w:ascii="Times New Roman" w:hAnsi="Times New Roman" w:cs="Times New Roman"/>
                <w:color w:val="auto"/>
                <w:sz w:val="24"/>
                <w:szCs w:val="24"/>
                <w:highlight w:val="none"/>
              </w:rPr>
              <w:t>不接受</w:t>
            </w:r>
          </w:p>
          <w:p w14:paraId="3BC1E7AB">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lang w:val="en-US" w:eastAsia="zh-CN"/>
              </w:rPr>
              <w:t>标段，</w:t>
            </w:r>
            <w:r>
              <w:rPr>
                <w:rFonts w:hint="default" w:ascii="Times New Roman" w:hAnsi="Times New Roman" w:cs="Times New Roman"/>
                <w:color w:val="auto"/>
                <w:sz w:val="24"/>
                <w:szCs w:val="24"/>
                <w:highlight w:val="none"/>
              </w:rPr>
              <w:t>接受，应满足下列要求：</w:t>
            </w:r>
          </w:p>
        </w:tc>
      </w:tr>
      <w:tr w14:paraId="4C50D71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C7E622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BF1A6D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投标人不得存在的其他关联情形</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71652E">
            <w:pPr>
              <w:pageBreakBefore w:val="0"/>
              <w:kinsoku/>
              <w:wordWrap w:val="0"/>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与招标人存在利害关系可能影响招标公正性的单位，不得参加投标。单位负责人为同一人或存在控股、管理关系的不同单位，不得参加同一标段投标，否则相关投标均无效。</w:t>
            </w:r>
          </w:p>
        </w:tc>
      </w:tr>
      <w:tr w14:paraId="39EE75A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582BA5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DE9F4B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投标人不得存在的其他不良状况或不良信用记录</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A945D2">
            <w:pPr>
              <w:pageBreakBefore w:val="0"/>
              <w:kinsoku/>
              <w:wordWrap w:val="0"/>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1）被省级及以上交通运输主管部门取消招标项目所在地的投标资格且处于有效期内；（2）被责令停业，暂扣或吊销执照，或吊销资质证书；（3）进入清算程序，或被宣告破产，或其他丧失履约能力的情形；（4）在国家企业信用信息公示系统（http：//www.gsxt.gov.cn）中被列入严重违法失信企业名单；（5）在“信用中国”网站（http：//www.creditchina.gov.cn）中被列入失信被执行人名单；（6）投标人或其法定代表人、拟委任的项目经理在近三年内有行贿犯罪行为的；（7）法律法规规定的其他情形。</w:t>
            </w:r>
          </w:p>
        </w:tc>
      </w:tr>
      <w:tr w14:paraId="7E2AB666">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01F7BAF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1.10.2</w:t>
            </w:r>
          </w:p>
        </w:tc>
        <w:tc>
          <w:tcPr>
            <w:tcW w:w="3101" w:type="dxa"/>
            <w:vMerge w:val="restart"/>
            <w:tcBorders>
              <w:top w:val="single" w:color="auto" w:sz="4" w:space="0"/>
              <w:left w:val="single" w:color="auto" w:sz="4" w:space="0"/>
              <w:right w:val="single" w:color="auto" w:sz="4" w:space="0"/>
            </w:tcBorders>
            <w:noWrap w:val="0"/>
            <w:vAlign w:val="center"/>
          </w:tcPr>
          <w:p w14:paraId="78E2CC0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投标人在投标预备会前提出问题</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B6C4D9">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w:t>
            </w:r>
            <w:r>
              <w:rPr>
                <w:rFonts w:hint="eastAsia" w:cs="Times New Roman"/>
                <w:color w:val="auto"/>
                <w:sz w:val="24"/>
                <w:szCs w:val="24"/>
                <w:highlight w:val="none"/>
                <w:lang w:val="en-US" w:eastAsia="zh-CN"/>
              </w:rPr>
              <w:t>/</w:t>
            </w:r>
          </w:p>
        </w:tc>
      </w:tr>
      <w:tr w14:paraId="06BA87F4">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2FAB4984">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04C36145">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0C8A34">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eastAsia="zh-CN"/>
              </w:rPr>
              <w:t>答疑澄清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菜单以书面形式将提出的问题送达招标人</w:t>
            </w:r>
          </w:p>
        </w:tc>
      </w:tr>
      <w:tr w14:paraId="58DAE83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60A1B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200ECE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  包</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321693">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不允许</w:t>
            </w:r>
          </w:p>
          <w:p w14:paraId="77A82F18">
            <w:pPr>
              <w:pStyle w:val="14"/>
              <w:pageBreakBefore w:val="0"/>
              <w:kinsoku/>
              <w:wordWrap w:val="0"/>
              <w:bidi w:val="0"/>
              <w:spacing w:line="360" w:lineRule="atLeast"/>
              <w:ind w:left="160" w:hanging="120" w:hangingChars="5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□允许，允许分包的专项工程（或不允许分包的专项工程）：</w:t>
            </w:r>
            <w:r>
              <w:rPr>
                <w:rFonts w:hint="default" w:ascii="Times New Roman" w:hAnsi="Times New Roman" w:cs="Times New Roman"/>
                <w:color w:val="auto"/>
                <w:sz w:val="24"/>
                <w:szCs w:val="24"/>
                <w:highlight w:val="none"/>
                <w:u w:val="single"/>
              </w:rPr>
              <w:t xml:space="preserve">         </w:t>
            </w:r>
          </w:p>
          <w:p w14:paraId="4227F737">
            <w:pPr>
              <w:pStyle w:val="14"/>
              <w:pageBreakBefore w:val="0"/>
              <w:kinsoku/>
              <w:wordWrap w:val="0"/>
              <w:bidi w:val="0"/>
              <w:spacing w:line="360" w:lineRule="atLeast"/>
              <w:ind w:firstLine="120" w:firstLineChars="5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对分包人的资格要求：</w:t>
            </w:r>
            <w:r>
              <w:rPr>
                <w:rFonts w:hint="default" w:ascii="Times New Roman" w:hAnsi="Times New Roman" w:cs="Times New Roman"/>
                <w:color w:val="auto"/>
                <w:sz w:val="24"/>
                <w:szCs w:val="24"/>
                <w:highlight w:val="none"/>
                <w:u w:val="single"/>
              </w:rPr>
              <w:t xml:space="preserve">         </w:t>
            </w:r>
          </w:p>
        </w:tc>
      </w:tr>
      <w:tr w14:paraId="50C2EE2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A1FED9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B44E00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构成招标文件的其他资料</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75538F">
            <w:pPr>
              <w:pageBreakBefore w:val="0"/>
              <w:kinsoku/>
              <w:wordWrap w:val="0"/>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招标文件的澄清文件和修改文件均构成招标文件的组成部分，对所有投标人均具有约束力。当招标文件、招标文件的澄清或修改等在同一内容的表述上不一致时，以电子交易平台最后发出的书面文件为准。</w:t>
            </w:r>
          </w:p>
        </w:tc>
      </w:tr>
      <w:tr w14:paraId="4314300B">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0A27F56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2.2.1</w:t>
            </w:r>
          </w:p>
        </w:tc>
        <w:tc>
          <w:tcPr>
            <w:tcW w:w="3101" w:type="dxa"/>
            <w:vMerge w:val="restart"/>
            <w:tcBorders>
              <w:top w:val="single" w:color="auto" w:sz="4" w:space="0"/>
              <w:left w:val="single" w:color="auto" w:sz="4" w:space="0"/>
              <w:right w:val="single" w:color="auto" w:sz="4" w:space="0"/>
            </w:tcBorders>
            <w:noWrap w:val="0"/>
            <w:vAlign w:val="center"/>
          </w:tcPr>
          <w:p w14:paraId="377CF16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投标人要求澄清招标文件</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A4FC1C">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时间：递交投标文件截止之日</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10</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天前（以发出时间为准）</w:t>
            </w:r>
          </w:p>
        </w:tc>
      </w:tr>
      <w:tr w14:paraId="0FD59EE6">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6DB1C808">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7187FEAE">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E60952">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eastAsia="zh-CN"/>
              </w:rPr>
              <w:t>答疑澄清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菜单以书面形式将提出的问题送达招标人</w:t>
            </w:r>
          </w:p>
        </w:tc>
      </w:tr>
      <w:tr w14:paraId="6C723EE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832CB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0F89870">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招标文件澄清发出的形式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5FAD505">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发出招标文件澄清</w:t>
            </w:r>
          </w:p>
        </w:tc>
      </w:tr>
      <w:tr w14:paraId="2A5AEFE8">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216ACD2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2.2.3</w:t>
            </w:r>
          </w:p>
        </w:tc>
        <w:tc>
          <w:tcPr>
            <w:tcW w:w="3101" w:type="dxa"/>
            <w:tcBorders>
              <w:top w:val="single" w:color="auto" w:sz="4" w:space="0"/>
              <w:left w:val="single" w:color="auto" w:sz="4" w:space="0"/>
              <w:right w:val="single" w:color="auto" w:sz="4" w:space="0"/>
            </w:tcBorders>
            <w:noWrap w:val="0"/>
            <w:vAlign w:val="center"/>
          </w:tcPr>
          <w:p w14:paraId="7FB2032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投标人确认收到招标文件澄清</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82EE4CF">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default" w:ascii="Times New Roman" w:hAnsi="Times New Roman" w:cs="Times New Roman"/>
                <w:color w:val="auto"/>
                <w:sz w:val="24"/>
                <w:szCs w:val="24"/>
                <w:highlight w:val="none"/>
                <w:lang w:val="en-US" w:eastAsia="zh-CN"/>
              </w:rPr>
              <w:t>澄清</w:t>
            </w: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发出完成即视为潜在投标人已收悉，无</w:t>
            </w:r>
            <w:r>
              <w:rPr>
                <w:rFonts w:hint="default" w:ascii="Times New Roman" w:hAnsi="Times New Roman" w:cs="Times New Roman"/>
                <w:color w:val="auto"/>
                <w:sz w:val="24"/>
                <w:szCs w:val="24"/>
                <w:highlight w:val="none"/>
                <w:lang w:val="en-US" w:eastAsia="zh-CN"/>
              </w:rPr>
              <w:t>需</w:t>
            </w:r>
            <w:r>
              <w:rPr>
                <w:rFonts w:hint="default" w:ascii="Times New Roman" w:hAnsi="Times New Roman" w:cs="Times New Roman"/>
                <w:color w:val="auto"/>
                <w:sz w:val="24"/>
                <w:szCs w:val="24"/>
                <w:highlight w:val="none"/>
              </w:rPr>
              <w:t>回函确认。</w:t>
            </w:r>
          </w:p>
        </w:tc>
      </w:tr>
      <w:tr w14:paraId="387C2FF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4CA7C1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5972558">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招标文件修改发出的形式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95ADC98">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发出招标文件</w:t>
            </w:r>
            <w:r>
              <w:rPr>
                <w:rFonts w:hint="default" w:ascii="Times New Roman" w:hAnsi="Times New Roman" w:cs="Times New Roman"/>
                <w:color w:val="auto"/>
                <w:sz w:val="24"/>
                <w:szCs w:val="24"/>
                <w:highlight w:val="none"/>
                <w:lang w:val="en-US" w:eastAsia="zh-CN"/>
              </w:rPr>
              <w:t>修改</w:t>
            </w:r>
          </w:p>
        </w:tc>
      </w:tr>
      <w:tr w14:paraId="3C568692">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007C2D2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2.3.2</w:t>
            </w:r>
          </w:p>
        </w:tc>
        <w:tc>
          <w:tcPr>
            <w:tcW w:w="3101" w:type="dxa"/>
            <w:tcBorders>
              <w:top w:val="single" w:color="auto" w:sz="4" w:space="0"/>
              <w:left w:val="single" w:color="auto" w:sz="4" w:space="0"/>
              <w:right w:val="single" w:color="auto" w:sz="4" w:space="0"/>
            </w:tcBorders>
            <w:noWrap w:val="0"/>
            <w:vAlign w:val="center"/>
          </w:tcPr>
          <w:p w14:paraId="2489000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投标人确认收到招标文件修改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47BF4CD">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default" w:ascii="Times New Roman" w:hAnsi="Times New Roman"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发出完成即视为潜在投标人已收悉，无</w:t>
            </w:r>
            <w:r>
              <w:rPr>
                <w:rFonts w:hint="default" w:ascii="Times New Roman" w:hAnsi="Times New Roman" w:cs="Times New Roman"/>
                <w:color w:val="auto"/>
                <w:sz w:val="24"/>
                <w:szCs w:val="24"/>
                <w:highlight w:val="none"/>
                <w:lang w:val="en-US" w:eastAsia="zh-CN"/>
              </w:rPr>
              <w:t>需</w:t>
            </w:r>
            <w:r>
              <w:rPr>
                <w:rFonts w:hint="default" w:ascii="Times New Roman" w:hAnsi="Times New Roman" w:cs="Times New Roman"/>
                <w:color w:val="auto"/>
                <w:sz w:val="24"/>
                <w:szCs w:val="24"/>
                <w:highlight w:val="none"/>
              </w:rPr>
              <w:t>回函确认。</w:t>
            </w:r>
          </w:p>
        </w:tc>
      </w:tr>
      <w:tr w14:paraId="69A14A8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7AD3E8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487532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构成投标文件的其他资料</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F853416">
            <w:pPr>
              <w:pageBreakBefore w:val="0"/>
              <w:kinsoku/>
              <w:wordWrap w:val="0"/>
              <w:bidi w:val="0"/>
              <w:spacing w:line="440" w:lineRule="exact"/>
              <w:rPr>
                <w:rFonts w:hint="default" w:ascii="Times New Roman" w:hAnsi="Times New Roman" w:cs="Times New Roman"/>
                <w:color w:val="auto"/>
                <w:sz w:val="24"/>
                <w:szCs w:val="24"/>
                <w:highlight w:val="none"/>
              </w:rPr>
            </w:pPr>
          </w:p>
        </w:tc>
      </w:tr>
      <w:tr w14:paraId="5141EFE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4EE87C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74D6D5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增值税税金的计算方法</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3461EB6">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一般计税法</w:t>
            </w:r>
          </w:p>
          <w:p w14:paraId="19E99B92">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简易计税法</w:t>
            </w:r>
          </w:p>
          <w:p w14:paraId="5C4FEE46">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扣缴计税法</w:t>
            </w:r>
          </w:p>
          <w:p w14:paraId="68F9C27B">
            <w:pPr>
              <w:pageBreakBefore w:val="0"/>
              <w:kinsoku/>
              <w:wordWrap w:val="0"/>
              <w:bidi w:val="0"/>
              <w:spacing w:line="440" w:lineRule="exact"/>
              <w:ind w:left="460" w:hanging="480" w:hangingChars="200"/>
              <w:rPr>
                <w:rFonts w:hint="default" w:ascii="Times New Roman" w:hAnsi="Times New Roman" w:cs="Times New Roman"/>
                <w:color w:val="auto"/>
                <w:spacing w:val="10"/>
                <w:sz w:val="24"/>
                <w:szCs w:val="24"/>
                <w:highlight w:val="none"/>
                <w:bdr w:val="single" w:color="auto" w:sz="4" w:space="0"/>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计税法</w:t>
            </w:r>
          </w:p>
        </w:tc>
      </w:tr>
      <w:tr w14:paraId="42E2F8A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24FDB4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A40335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工程量清单的填写方式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E78D9F7">
            <w:pPr>
              <w:pageBreakBefore w:val="0"/>
              <w:kinsoku/>
              <w:wordWrap w:val="0"/>
              <w:bidi w:val="0"/>
              <w:spacing w:line="440" w:lineRule="exact"/>
              <w:ind w:left="160" w:hanging="120" w:hangingChars="50"/>
              <w:rPr>
                <w:rFonts w:hint="default" w:ascii="Times New Roman" w:hAnsi="Times New Roman" w:cs="Times New Roman"/>
                <w:color w:val="auto"/>
                <w:sz w:val="24"/>
                <w:szCs w:val="24"/>
                <w:highlight w:val="none"/>
                <w:u w:val="single"/>
                <w:lang w:val="en-US"/>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投标人按照招标人提供的工程量清单电子文件填写工程量清单，下载网站：</w:t>
            </w:r>
            <w:r>
              <w:rPr>
                <w:rFonts w:hint="default" w:ascii="Times New Roman" w:hAnsi="Times New Roman" w:cs="Times New Roman"/>
                <w:color w:val="auto"/>
                <w:sz w:val="24"/>
                <w:szCs w:val="24"/>
                <w:highlight w:val="none"/>
                <w:u w:val="single"/>
              </w:rPr>
              <w:t xml:space="preserve"> 通过</w:t>
            </w:r>
            <w:r>
              <w:rPr>
                <w:rFonts w:hint="eastAsia" w:ascii="宋体" w:hAnsi="宋体" w:eastAsia="宋体" w:cs="宋体"/>
                <w:color w:val="auto"/>
                <w:sz w:val="24"/>
                <w:szCs w:val="24"/>
                <w:highlight w:val="none"/>
                <w:u w:val="single"/>
              </w:rPr>
              <w:t>“</w:t>
            </w:r>
            <w:r>
              <w:rPr>
                <w:rFonts w:hint="eastAsia" w:cs="Times New Roman"/>
                <w:color w:val="auto"/>
                <w:sz w:val="24"/>
                <w:szCs w:val="24"/>
                <w:highlight w:val="none"/>
                <w:u w:val="single"/>
                <w:lang w:eastAsia="zh-CN"/>
              </w:rPr>
              <w:t>电子交易平台</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发出</w:t>
            </w:r>
          </w:p>
        </w:tc>
      </w:tr>
      <w:tr w14:paraId="2D632EB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154104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C3A402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报价方式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9EEC2BF">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单价</w:t>
            </w:r>
          </w:p>
          <w:p w14:paraId="134DCE89">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总价</w:t>
            </w:r>
          </w:p>
        </w:tc>
      </w:tr>
      <w:tr w14:paraId="40EEEFB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F055FBB">
            <w:pPr>
              <w:pageBreakBefore w:val="0"/>
              <w:kinsoku/>
              <w:wordWrap w:val="0"/>
              <w:bidi w:val="0"/>
              <w:spacing w:line="44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3.2.</w:t>
            </w:r>
            <w:r>
              <w:rPr>
                <w:rFonts w:hint="eastAsia" w:cs="Times New Roman"/>
                <w:color w:val="auto"/>
                <w:sz w:val="24"/>
                <w:szCs w:val="24"/>
                <w:highlight w:val="none"/>
                <w:lang w:val="en-US" w:eastAsia="zh-CN"/>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2AD9A98">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最高投标限价</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B58AAA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无</w:t>
            </w:r>
          </w:p>
          <w:p w14:paraId="5BC5303B">
            <w:pPr>
              <w:pageBreakBefore w:val="0"/>
              <w:kinsoku/>
              <w:wordWrap w:val="0"/>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有，最高投标限价：</w:t>
            </w:r>
            <w:r>
              <w:rPr>
                <w:rFonts w:hint="eastAsia" w:cs="Times New Roman"/>
                <w:color w:val="auto"/>
                <w:sz w:val="24"/>
                <w:szCs w:val="24"/>
                <w:highlight w:val="none"/>
                <w:lang w:val="en-US" w:eastAsia="zh-CN"/>
              </w:rPr>
              <w:t>1009.60万元</w:t>
            </w:r>
          </w:p>
          <w:p w14:paraId="775B64F8">
            <w:pPr>
              <w:pStyle w:val="15"/>
              <w:pageBreakBefore w:val="0"/>
              <w:kinsoku/>
              <w:wordWrap w:val="0"/>
              <w:overflowPunct/>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有，最高投标限价以补遗书的形式通过</w:t>
            </w:r>
            <w:r>
              <w:rPr>
                <w:rFonts w:hint="eastAsia" w:ascii="宋体" w:hAnsi="宋体" w:eastAsia="宋体" w:cs="宋体"/>
                <w:color w:val="auto"/>
                <w:sz w:val="24"/>
                <w:szCs w:val="24"/>
                <w:highlight w:val="none"/>
              </w:rPr>
              <w:t>“</w:t>
            </w:r>
            <w:r>
              <w:rPr>
                <w:rFonts w:hint="eastAsia" w:ascii="Times New Roman"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发布</w:t>
            </w:r>
          </w:p>
        </w:tc>
      </w:tr>
      <w:tr w14:paraId="754848B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9DE04C0">
            <w:pPr>
              <w:pageBreakBefore w:val="0"/>
              <w:kinsoku/>
              <w:wordWrap w:val="0"/>
              <w:bidi w:val="0"/>
              <w:spacing w:line="44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3.2.</w:t>
            </w:r>
            <w:r>
              <w:rPr>
                <w:rFonts w:hint="eastAsia" w:cs="Times New Roman"/>
                <w:color w:val="auto"/>
                <w:sz w:val="24"/>
                <w:szCs w:val="24"/>
                <w:highlight w:val="none"/>
                <w:lang w:val="en-US" w:eastAsia="zh-CN"/>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3852EB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投标报价的其他要求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0A3025B">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详见本投标人须知前附表中补充的其他内容及工程量清单编制说明</w:t>
            </w:r>
          </w:p>
        </w:tc>
      </w:tr>
      <w:tr w14:paraId="412CF0A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D2B37B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F13450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投标有效期</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9116EFB">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自投标人提交投标文件截止之日起计算</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90</w:t>
            </w:r>
            <w:r>
              <w:rPr>
                <w:rFonts w:hint="default" w:ascii="Times New Roman" w:hAnsi="Times New Roman" w:cs="Times New Roman"/>
                <w:color w:val="auto"/>
                <w:sz w:val="24"/>
                <w:szCs w:val="24"/>
                <w:highlight w:val="none"/>
              </w:rPr>
              <w:t>日</w:t>
            </w:r>
          </w:p>
        </w:tc>
      </w:tr>
      <w:tr w14:paraId="33D976F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93DDA2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E673530">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投标保证金</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CB215D6">
            <w:pPr>
              <w:pStyle w:val="15"/>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是否要求投标人递交投标保证金：</w:t>
            </w:r>
          </w:p>
          <w:p w14:paraId="1E7F4CFA">
            <w:pPr>
              <w:pStyle w:val="15"/>
              <w:topLinePunct/>
              <w:spacing w:line="440" w:lineRule="exact"/>
              <w:rPr>
                <w:rFonts w:hint="default" w:ascii="Times New Roman" w:hAnsi="Times New Roman" w:cs="Times New Roman"/>
                <w:color w:val="auto"/>
                <w:sz w:val="24"/>
                <w:szCs w:val="24"/>
                <w:highlight w:val="none"/>
                <w:lang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要求</w:t>
            </w:r>
            <w:r>
              <w:rPr>
                <w:rFonts w:hint="default" w:ascii="Times New Roman" w:hAnsi="Times New Roman" w:cs="Times New Roman"/>
                <w:color w:val="auto"/>
                <w:sz w:val="24"/>
                <w:szCs w:val="24"/>
                <w:highlight w:val="none"/>
                <w:lang w:eastAsia="zh-CN"/>
              </w:rPr>
              <w:t>：</w:t>
            </w:r>
          </w:p>
          <w:p w14:paraId="0CE868F4">
            <w:pPr>
              <w:pStyle w:val="15"/>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投标保证金的金额：</w:t>
            </w:r>
            <w:r>
              <w:rPr>
                <w:rFonts w:hint="eastAsia" w:ascii="Times New Roman" w:cs="Times New Roman"/>
                <w:color w:val="auto"/>
                <w:sz w:val="24"/>
                <w:szCs w:val="24"/>
                <w:highlight w:val="none"/>
                <w:u w:val="single"/>
                <w:lang w:val="en-US" w:eastAsia="zh-CN"/>
              </w:rPr>
              <w:t>100000.00</w:t>
            </w:r>
            <w:r>
              <w:rPr>
                <w:rStyle w:val="47"/>
                <w:rFonts w:hint="default" w:ascii="Times New Roman" w:hAnsi="Times New Roman" w:cs="Times New Roman"/>
                <w:color w:val="auto"/>
                <w:sz w:val="24"/>
                <w:szCs w:val="24"/>
                <w:highlight w:val="none"/>
              </w:rPr>
              <w:footnoteReference w:id="8"/>
            </w:r>
            <w:r>
              <w:rPr>
                <w:rFonts w:hint="default" w:ascii="Times New Roman" w:hAnsi="Times New Roman" w:cs="Times New Roman"/>
                <w:color w:val="auto"/>
                <w:sz w:val="24"/>
                <w:szCs w:val="24"/>
                <w:highlight w:val="none"/>
              </w:rPr>
              <w:t xml:space="preserve"> </w:t>
            </w:r>
          </w:p>
          <w:p w14:paraId="2482C74F">
            <w:pPr>
              <w:pStyle w:val="15"/>
              <w:topLinePunct/>
              <w:spacing w:line="440" w:lineRule="exac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投标保证金</w:t>
            </w:r>
            <w:r>
              <w:rPr>
                <w:rFonts w:hint="default" w:ascii="Times New Roman" w:hAnsi="Times New Roman" w:cs="Times New Roman"/>
                <w:color w:val="auto"/>
                <w:sz w:val="24"/>
                <w:szCs w:val="24"/>
                <w:highlight w:val="none"/>
                <w:lang w:eastAsia="zh-CN"/>
              </w:rPr>
              <w:t>的</w:t>
            </w:r>
            <w:r>
              <w:rPr>
                <w:rFonts w:hint="default" w:ascii="Times New Roman" w:hAnsi="Times New Roman" w:cs="Times New Roman"/>
                <w:color w:val="auto"/>
                <w:sz w:val="24"/>
                <w:szCs w:val="24"/>
                <w:highlight w:val="none"/>
              </w:rPr>
              <w:t>形式</w:t>
            </w:r>
            <w:r>
              <w:rPr>
                <w:rStyle w:val="47"/>
                <w:rFonts w:hint="default" w:ascii="Times New Roman" w:hAnsi="Times New Roman" w:cs="Times New Roman"/>
                <w:color w:val="auto"/>
                <w:sz w:val="24"/>
                <w:szCs w:val="24"/>
                <w:highlight w:val="none"/>
              </w:rPr>
              <w:footnoteReference w:id="9"/>
            </w:r>
          </w:p>
          <w:p w14:paraId="1A82FE7E">
            <w:pPr>
              <w:keepNext w:val="0"/>
              <w:keepLines w:val="0"/>
              <w:pageBreakBefore w:val="0"/>
              <w:widowControl w:val="0"/>
              <w:kinsoku/>
              <w:wordWrap/>
              <w:overflow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采用现金（银行电汇或网银转账或转账支票）形式：</w:t>
            </w:r>
          </w:p>
          <w:p w14:paraId="663B2717">
            <w:pPr>
              <w:keepNext w:val="0"/>
              <w:keepLines w:val="0"/>
              <w:pageBreakBefore w:val="0"/>
              <w:widowControl w:val="0"/>
              <w:kinsoku/>
              <w:wordWrap/>
              <w:overflowPunct/>
              <w:autoSpaceDE/>
              <w:autoSpaceDN/>
              <w:bidi w:val="0"/>
              <w:adjustRightInd/>
              <w:snapToGrid/>
              <w:spacing w:line="440" w:lineRule="exact"/>
              <w:ind w:firstLine="240" w:firstLineChars="100"/>
              <w:textAlignment w:val="auto"/>
              <w:rPr>
                <w:rFonts w:hint="default" w:ascii="Times New Roman" w:hAnsi="Times New Roman" w:eastAsia="黑体" w:cs="Times New Roman"/>
                <w:bCs/>
                <w:i/>
                <w:iCs/>
                <w:color w:val="auto"/>
                <w:sz w:val="24"/>
                <w:szCs w:val="24"/>
                <w:highlight w:val="none"/>
              </w:rPr>
            </w:pPr>
            <w:r>
              <w:rPr>
                <w:rFonts w:hint="default" w:ascii="Times New Roman" w:hAnsi="Times New Roman" w:cs="Times New Roman"/>
                <w:color w:val="auto"/>
                <w:sz w:val="24"/>
                <w:szCs w:val="24"/>
                <w:highlight w:val="none"/>
              </w:rPr>
              <w:t>招标人指定的开户银行及账号如下：</w:t>
            </w:r>
          </w:p>
          <w:p w14:paraId="6D526367">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账户名称：</w:t>
            </w:r>
            <w:r>
              <w:rPr>
                <w:rFonts w:hint="default" w:ascii="Times New Roman" w:hAnsi="Times New Roman" w:cs="Times New Roman"/>
                <w:color w:val="auto"/>
                <w:sz w:val="24"/>
                <w:szCs w:val="24"/>
                <w:highlight w:val="none"/>
                <w:u w:val="single"/>
              </w:rPr>
              <w:t xml:space="preserve"> </w:t>
            </w:r>
            <w:r>
              <w:rPr>
                <w:rFonts w:hint="eastAsia" w:ascii="宋体" w:hAnsi="宋体" w:cs="宋体"/>
                <w:color w:val="auto"/>
                <w:spacing w:val="9"/>
                <w:sz w:val="23"/>
                <w:szCs w:val="23"/>
                <w:highlight w:val="none"/>
                <w:u w:val="single" w:color="auto"/>
                <w:lang w:eastAsia="zh-CN"/>
              </w:rPr>
              <w:t>合亿工程管理咨询有限公司</w:t>
            </w:r>
            <w:r>
              <w:rPr>
                <w:rFonts w:hint="default" w:ascii="Times New Roman" w:hAnsi="Times New Roman" w:cs="Times New Roman"/>
                <w:color w:val="auto"/>
                <w:sz w:val="24"/>
                <w:szCs w:val="24"/>
                <w:highlight w:val="none"/>
                <w:u w:val="single"/>
              </w:rPr>
              <w:t xml:space="preserve">   </w:t>
            </w:r>
          </w:p>
          <w:p w14:paraId="4FE40783">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开户银行：</w:t>
            </w:r>
            <w:r>
              <w:rPr>
                <w:rFonts w:hint="default" w:ascii="Times New Roman" w:hAnsi="Times New Roman" w:cs="Times New Roman"/>
                <w:color w:val="auto"/>
                <w:sz w:val="24"/>
                <w:szCs w:val="24"/>
                <w:highlight w:val="none"/>
                <w:u w:val="single"/>
              </w:rPr>
              <w:t xml:space="preserve"> </w:t>
            </w:r>
            <w:r>
              <w:rPr>
                <w:rFonts w:hint="eastAsia" w:ascii="宋体" w:hAnsi="宋体" w:eastAsia="宋体" w:cs="宋体"/>
                <w:color w:val="auto"/>
                <w:spacing w:val="9"/>
                <w:sz w:val="23"/>
                <w:szCs w:val="23"/>
                <w:highlight w:val="none"/>
                <w:u w:val="single" w:color="auto"/>
                <w:lang w:val="en-US" w:eastAsia="zh-CN"/>
              </w:rPr>
              <w:t>中国建设银行股份有限公司盘锦辽河路支行</w:t>
            </w:r>
            <w:r>
              <w:rPr>
                <w:rFonts w:hint="default" w:ascii="Times New Roman" w:hAnsi="Times New Roman" w:cs="Times New Roman"/>
                <w:color w:val="auto"/>
                <w:sz w:val="24"/>
                <w:szCs w:val="24"/>
                <w:highlight w:val="none"/>
                <w:u w:val="single"/>
              </w:rPr>
              <w:t xml:space="preserve"> </w:t>
            </w:r>
          </w:p>
          <w:p w14:paraId="4414EBC4">
            <w:pPr>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账    号：</w:t>
            </w:r>
            <w:r>
              <w:rPr>
                <w:rFonts w:hint="eastAsia" w:ascii="宋体" w:hAnsi="宋体" w:cs="宋体"/>
                <w:color w:val="auto"/>
                <w:spacing w:val="5"/>
                <w:sz w:val="23"/>
                <w:szCs w:val="23"/>
                <w:highlight w:val="none"/>
                <w:u w:val="single" w:color="auto"/>
                <w:lang w:val="en-US" w:eastAsia="zh-CN"/>
              </w:rPr>
              <w:t>21050110237900000504</w:t>
            </w:r>
            <w:r>
              <w:rPr>
                <w:rFonts w:hint="default" w:ascii="Times New Roman" w:hAnsi="Times New Roman" w:cs="Times New Roman"/>
                <w:color w:val="auto"/>
                <w:sz w:val="24"/>
                <w:szCs w:val="24"/>
                <w:highlight w:val="none"/>
                <w:u w:val="single"/>
              </w:rPr>
              <w:t xml:space="preserve"> </w:t>
            </w:r>
          </w:p>
          <w:p w14:paraId="45ECC0DD">
            <w:pPr>
              <w:keepNext w:val="0"/>
              <w:keepLines w:val="0"/>
              <w:pageBreakBefore w:val="0"/>
              <w:widowControl w:val="0"/>
              <w:kinsoku/>
              <w:wordWrap/>
              <w:overflow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为确保在</w:t>
            </w:r>
            <w:r>
              <w:rPr>
                <w:rFonts w:hint="default" w:ascii="Times New Roman" w:hAnsi="Times New Roman" w:cs="Times New Roman"/>
                <w:color w:val="auto"/>
                <w:sz w:val="24"/>
                <w:szCs w:val="24"/>
                <w:highlight w:val="none"/>
                <w:lang w:val="en-US" w:eastAsia="zh-CN"/>
              </w:rPr>
              <w:t>规定</w:t>
            </w:r>
            <w:r>
              <w:rPr>
                <w:rFonts w:hint="default" w:ascii="Times New Roman" w:hAnsi="Times New Roman" w:cs="Times New Roman"/>
                <w:color w:val="auto"/>
                <w:sz w:val="24"/>
                <w:szCs w:val="24"/>
                <w:highlight w:val="none"/>
              </w:rPr>
              <w:t>时间前投标保证金能到达招标人指定账户，投标人在汇款时须充分考虑银行汇款的时间误差风险，否则所造成的后果由投标人自负。</w:t>
            </w:r>
          </w:p>
          <w:p w14:paraId="6D3ED587">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pacing w:val="-8"/>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pacing w:val="-8"/>
                <w:sz w:val="24"/>
                <w:szCs w:val="24"/>
                <w:highlight w:val="none"/>
              </w:rPr>
              <w:t>采用银行保函</w:t>
            </w:r>
            <w:r>
              <w:rPr>
                <w:rFonts w:hint="default" w:ascii="Times New Roman" w:hAnsi="Times New Roman" w:cs="Times New Roman"/>
                <w:color w:val="auto"/>
                <w:spacing w:val="-8"/>
                <w:sz w:val="24"/>
                <w:szCs w:val="24"/>
                <w:highlight w:val="none"/>
                <w:lang w:val="en-US" w:eastAsia="zh-CN"/>
              </w:rPr>
              <w:t>形式：</w:t>
            </w:r>
          </w:p>
          <w:p w14:paraId="301AC671">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出具保函的银行级别：</w:t>
            </w:r>
            <w:r>
              <w:rPr>
                <w:rFonts w:hint="default" w:ascii="Times New Roman" w:hAnsi="Times New Roman" w:cs="Times New Roman"/>
                <w:color w:val="auto"/>
                <w:sz w:val="24"/>
                <w:szCs w:val="24"/>
                <w:highlight w:val="none"/>
                <w:u w:val="single"/>
              </w:rPr>
              <w:t>1.投标保证金缴纳方式 1.1 采用电汇或支票方式缴纳的，应在投</w:t>
            </w:r>
          </w:p>
          <w:p w14:paraId="6F2747E2">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 xml:space="preserve">标截止时间前通过企业基本户缴纳至以下账户，并按照招标文件中投标文件格式要求填写缴纳信息和上传缴纳凭证、基本户开户许可证等证明材料，投标保证金截止时间之后递交的投标保证金将被拒绝。 请投标人在汇款时务必注明所投标项目的名称，标段，否则因款项用途不明导致投标无效等后果由投标人自行承担。 投标人请自行将投标保证金银行汇款凭证制作为电子图片，附加在“投标文件格式”指定位置。作为投标文件的重要组成部分，代理机构不再对投标保证金开具收据。 1.2 </w:t>
            </w:r>
            <w:r>
              <w:rPr>
                <w:rFonts w:hint="eastAsia" w:ascii="Times New Roman" w:cs="Times New Roman"/>
                <w:color w:val="auto"/>
                <w:sz w:val="24"/>
                <w:szCs w:val="24"/>
                <w:highlight w:val="none"/>
                <w:u w:val="single"/>
                <w:lang w:val="en-US" w:eastAsia="zh-CN"/>
              </w:rPr>
              <w:t>使用</w:t>
            </w:r>
            <w:r>
              <w:rPr>
                <w:rFonts w:hint="default" w:ascii="Times New Roman" w:hAnsi="Times New Roman" w:cs="Times New Roman"/>
                <w:color w:val="auto"/>
                <w:sz w:val="24"/>
                <w:szCs w:val="24"/>
                <w:highlight w:val="none"/>
                <w:u w:val="single"/>
              </w:rPr>
              <w:t xml:space="preserve">保函或担保保函形式缴纳投标保证金的投标人应在投标保证金截止时间前（开标现场递交）将保函原件正本递交给代理公司备查，投标保证金截止时间之后递交的将被拒绝。保函需制作为电子图片，附加在“投标文件格式”指定位置。投标人提供的保函需注明所投标项目、标段名称，否则，由此导致投标无效等后果由投标人自行承担。保函的有效期应与投标有效期一致或长于投标有效期。 1.3 采用电子保函方式缴纳的，应在投标截止时间前开具完成，按照招标文件中投标文件格式要求填写缴纳信息和上传担保文书、保函财务费用支付凭证、基本户开户许可证等证明材料，并提供查询平台网址，如验证未通过则视为投标保函未提交。 1.4.投标人应按照招标文件中给定的投标文件格式完整准确填写投标保证金缴纳信息、缴纳凭证等证明材料，否则由此造成的不一致或错误由投标人自行承担。 </w:t>
            </w:r>
          </w:p>
          <w:p w14:paraId="38300250">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none"/>
              </w:rPr>
              <w:t>银行保函应采用招标文件提供的格式，若采用银行自有格式，其提交的银行保函内容不得对担保金额、担保范围、担保期限、担保内容作出降低担保效力的实质性修改。</w:t>
            </w:r>
          </w:p>
          <w:p w14:paraId="1F62C2B4">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采用电子保函形式：</w:t>
            </w:r>
          </w:p>
          <w:p w14:paraId="652A6F42">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保函应由投标人自主选</w:t>
            </w:r>
            <w:r>
              <w:rPr>
                <w:rFonts w:hint="eastAsia" w:ascii="Times New Roman" w:cs="Times New Roman"/>
                <w:b w:val="0"/>
                <w:bCs w:val="0"/>
                <w:color w:val="auto"/>
                <w:sz w:val="24"/>
                <w:szCs w:val="24"/>
                <w:highlight w:val="none"/>
                <w:lang w:val="en-US" w:eastAsia="zh-CN"/>
              </w:rPr>
              <w:t>择</w:t>
            </w:r>
            <w:r>
              <w:rPr>
                <w:rFonts w:hint="default" w:ascii="Times New Roman" w:hAnsi="Times New Roman" w:cs="Times New Roman"/>
                <w:b w:val="0"/>
                <w:bCs w:val="0"/>
                <w:color w:val="auto"/>
                <w:sz w:val="24"/>
                <w:szCs w:val="24"/>
                <w:highlight w:val="none"/>
                <w:lang w:val="en-US" w:eastAsia="zh-CN"/>
              </w:rPr>
              <w:t>具有金融服务担保能力的机构出具，保函办理机构应提供电子化保函验真渠道和保函财务费用支付</w:t>
            </w:r>
            <w:r>
              <w:rPr>
                <w:rFonts w:hint="eastAsia" w:ascii="Times New Roman" w:cs="Times New Roman"/>
                <w:b w:val="0"/>
                <w:bCs w:val="0"/>
                <w:color w:val="auto"/>
                <w:sz w:val="24"/>
                <w:szCs w:val="24"/>
                <w:highlight w:val="none"/>
                <w:lang w:val="en-US" w:eastAsia="zh-CN"/>
              </w:rPr>
              <w:t>凭证（保函财务费用应从投标人基本账户支出）</w:t>
            </w:r>
            <w:r>
              <w:rPr>
                <w:rFonts w:hint="default" w:ascii="Times New Roman" w:hAnsi="Times New Roman" w:cs="Times New Roman"/>
                <w:b w:val="0"/>
                <w:bCs w:val="0"/>
                <w:color w:val="auto"/>
                <w:sz w:val="24"/>
                <w:szCs w:val="24"/>
                <w:highlight w:val="none"/>
                <w:lang w:val="en-US" w:eastAsia="zh-CN"/>
              </w:rPr>
              <w:t>。</w:t>
            </w:r>
          </w:p>
          <w:p w14:paraId="26A26685">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u w:val="singl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其他</w:t>
            </w:r>
            <w:r>
              <w:rPr>
                <w:rFonts w:hint="eastAsia" w:ascii="Times New Roman" w:cs="Times New Roman"/>
                <w:color w:val="auto"/>
                <w:sz w:val="24"/>
                <w:szCs w:val="24"/>
                <w:highlight w:val="none"/>
                <w:lang w:val="en-US" w:eastAsia="zh-CN"/>
              </w:rPr>
              <w:t>要求</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u w:val="single"/>
                <w:lang w:val="en-US" w:eastAsia="zh-CN"/>
              </w:rPr>
              <w:t xml:space="preserve">        </w:t>
            </w:r>
          </w:p>
          <w:p w14:paraId="7B27CA9A">
            <w:pP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不要求</w:t>
            </w:r>
          </w:p>
        </w:tc>
      </w:tr>
      <w:tr w14:paraId="7A5B28B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21E7C1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6211757">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eastAsiaTheme="minorEastAsia"/>
                <w:color w:val="auto"/>
                <w:sz w:val="24"/>
                <w:szCs w:val="24"/>
                <w:highlight w:val="none"/>
              </w:rPr>
              <w:t>投标保证金利息计算原则</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43C76A4">
            <w:pPr>
              <w:pStyle w:val="15"/>
              <w:spacing w:line="400" w:lineRule="exact"/>
              <w:rPr>
                <w:rFonts w:hint="eastAsia" w:ascii="宋体" w:hAnsi="宋体" w:eastAsia="宋体" w:cs="宋体"/>
                <w:color w:val="auto"/>
                <w:spacing w:val="-6"/>
                <w:highlight w:val="none"/>
                <w:u w:val="single"/>
              </w:rPr>
            </w:pPr>
            <w:r>
              <w:rPr>
                <w:rFonts w:hint="eastAsia" w:ascii="Times New Roman" w:cs="Times New Roman"/>
                <w:color w:val="auto"/>
                <w:sz w:val="24"/>
                <w:szCs w:val="24"/>
                <w:highlight w:val="none"/>
                <w:u w:val="single"/>
                <w:lang w:val="en-US" w:eastAsia="zh-CN"/>
              </w:rPr>
              <w:t xml:space="preserve"> </w:t>
            </w:r>
            <w:r>
              <w:rPr>
                <w:rFonts w:hint="eastAsia" w:ascii="宋体" w:hAnsi="宋体" w:eastAsia="宋体" w:cs="宋体"/>
                <w:color w:val="auto"/>
                <w:spacing w:val="-6"/>
                <w:highlight w:val="none"/>
                <w:u w:val="single"/>
              </w:rPr>
              <w:t xml:space="preserve">计息标准：人民银行同期活期存款利率。 </w:t>
            </w:r>
          </w:p>
          <w:p w14:paraId="662330B5">
            <w:pPr>
              <w:pStyle w:val="15"/>
              <w:spacing w:line="400" w:lineRule="exact"/>
              <w:rPr>
                <w:rFonts w:hint="eastAsia" w:ascii="宋体" w:hAnsi="宋体" w:eastAsia="宋体" w:cs="宋体"/>
                <w:color w:val="auto"/>
                <w:spacing w:val="-6"/>
                <w:highlight w:val="none"/>
                <w:u w:val="single"/>
              </w:rPr>
            </w:pPr>
            <w:r>
              <w:rPr>
                <w:rFonts w:hint="eastAsia" w:ascii="宋体" w:hAnsi="宋体" w:eastAsia="宋体" w:cs="宋体"/>
                <w:color w:val="auto"/>
                <w:spacing w:val="-6"/>
                <w:highlight w:val="none"/>
                <w:u w:val="single"/>
              </w:rPr>
              <w:t xml:space="preserve">计息时间：投标截止之日至退还的前一日。 </w:t>
            </w:r>
          </w:p>
          <w:p w14:paraId="4A4E5F5B">
            <w:pPr>
              <w:pStyle w:val="15"/>
              <w:spacing w:line="400" w:lineRule="exact"/>
              <w:rPr>
                <w:rFonts w:hint="eastAsia" w:ascii="宋体" w:hAnsi="宋体" w:eastAsia="宋体" w:cs="宋体"/>
                <w:color w:val="auto"/>
                <w:spacing w:val="-6"/>
                <w:highlight w:val="none"/>
                <w:u w:val="single"/>
              </w:rPr>
            </w:pPr>
            <w:r>
              <w:rPr>
                <w:rFonts w:hint="eastAsia" w:ascii="宋体" w:hAnsi="宋体" w:eastAsia="宋体" w:cs="宋体"/>
                <w:color w:val="auto"/>
                <w:spacing w:val="-6"/>
                <w:highlight w:val="none"/>
                <w:u w:val="single"/>
              </w:rPr>
              <w:t>保证金退还方式：电汇或保函</w:t>
            </w:r>
          </w:p>
          <w:p w14:paraId="0B9F1783">
            <w:pPr>
              <w:pStyle w:val="15"/>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spacing w:val="-6"/>
                <w:highlight w:val="none"/>
                <w:u w:val="single"/>
              </w:rPr>
              <w:t>按照《招投标法实施条例》第五十七条规定：保证金退返时间最迟应在书面合同签订后5日内。</w:t>
            </w:r>
            <w:r>
              <w:rPr>
                <w:rFonts w:hint="eastAsia" w:ascii="Times New Roman" w:cs="Times New Roman"/>
                <w:color w:val="auto"/>
                <w:sz w:val="24"/>
                <w:szCs w:val="24"/>
                <w:highlight w:val="none"/>
                <w:u w:val="single"/>
                <w:lang w:val="en-US" w:eastAsia="zh-CN"/>
              </w:rPr>
              <w:t xml:space="preserve"> </w:t>
            </w:r>
          </w:p>
        </w:tc>
      </w:tr>
      <w:tr w14:paraId="0C4DC77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B0942D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27A45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其他可以不予退还投标保证金的情形</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77FF709">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single"/>
              </w:rPr>
            </w:pPr>
            <w:r>
              <w:rPr>
                <w:rFonts w:hint="eastAsia" w:ascii="宋体" w:hAnsi="宋体" w:eastAsia="宋体" w:cs="宋体"/>
                <w:color w:val="auto"/>
                <w:spacing w:val="2"/>
                <w:sz w:val="23"/>
                <w:szCs w:val="23"/>
                <w:highlight w:val="none"/>
              </w:rPr>
              <w:t>有下列情形之一的，投标保证金可不予退还：（1）投标人不接受依据评标办法的规定对其投标文件中细微偏差进行澄清和补正；（2）投标人在规定的投标有效期内撤销或修改其投标文件，包括在收到中标通知书前放弃中标候选人资格的情形；（3）中标人在收到中标通知书后，无正当理由拒签合同协议书；（4）中标人在签订合同时向招标人提出附加条件，或不按照招标文件要求提交履约保证金；（5）投标人提交了虚假资料；（6）投标人有串标、围标、“挂靠”其他单位参与投标，贿赂评标专家或招标工作人员，以及其他违反国家招标投标管理有关规定的行为</w:t>
            </w:r>
          </w:p>
        </w:tc>
      </w:tr>
      <w:tr w14:paraId="3A9994B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4632F6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D232C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资格审查资料的特殊要求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FCD4E41">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无</w:t>
            </w:r>
          </w:p>
          <w:p w14:paraId="07F4B17A">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有，具体要求：</w:t>
            </w:r>
            <w:r>
              <w:rPr>
                <w:rFonts w:hint="default" w:ascii="Times New Roman" w:hAnsi="Times New Roman" w:cs="Times New Roman"/>
                <w:color w:val="auto"/>
                <w:sz w:val="24"/>
                <w:szCs w:val="24"/>
                <w:highlight w:val="none"/>
                <w:u w:val="single"/>
                <w:lang w:val="en-US" w:eastAsia="zh-CN"/>
              </w:rPr>
              <w:t xml:space="preserve"> 投标文件“资格审查资料” 各项表格应提供的证明材料以本附表各附录中的规定为准</w:t>
            </w:r>
            <w:r>
              <w:rPr>
                <w:rFonts w:hint="eastAsia" w:asci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lang w:val="en-US" w:eastAsia="zh-CN"/>
              </w:rPr>
              <w:t xml:space="preserve"> </w:t>
            </w:r>
          </w:p>
        </w:tc>
      </w:tr>
      <w:tr w14:paraId="43F0A14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CC8574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3957D5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近年财务状况的年份要求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E0C7DE6">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年至</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p>
        </w:tc>
      </w:tr>
      <w:tr w14:paraId="53AE5D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A7020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428FB7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近年完成的类似项目情况的时间要求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E90396A">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日至投标文件递交截止日</w:t>
            </w:r>
          </w:p>
        </w:tc>
      </w:tr>
      <w:tr w14:paraId="6FA4687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8BDCAD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81B3AA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是否允许递交备选投标方案</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6A64DA6">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不允许</w:t>
            </w:r>
          </w:p>
          <w:p w14:paraId="58FF1E35">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允许</w:t>
            </w:r>
          </w:p>
        </w:tc>
      </w:tr>
      <w:tr w14:paraId="7028200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B3ED631">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br w:type="page"/>
            </w: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413421">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投标文件</w:t>
            </w:r>
            <w:r>
              <w:rPr>
                <w:rFonts w:hint="default" w:ascii="Times New Roman" w:hAnsi="Times New Roman" w:cs="Times New Roman"/>
                <w:color w:val="auto"/>
                <w:sz w:val="24"/>
                <w:szCs w:val="24"/>
                <w:highlight w:val="none"/>
                <w:lang w:val="en-US" w:eastAsia="zh-CN"/>
              </w:rPr>
              <w:t>上传</w:t>
            </w:r>
            <w:r>
              <w:rPr>
                <w:rFonts w:hint="default" w:ascii="Times New Roman" w:hAnsi="Times New Roman" w:cs="Times New Roman"/>
                <w:color w:val="auto"/>
                <w:sz w:val="24"/>
                <w:szCs w:val="24"/>
                <w:highlight w:val="none"/>
              </w:rPr>
              <w:t>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CE6FB7C">
            <w:pPr>
              <w:pStyle w:val="15"/>
              <w:pageBreakBefore w:val="0"/>
              <w:kinsoku/>
              <w:wordWrap w:val="0"/>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投标人应在规定的投标截止时间前，通过互联网</w:t>
            </w:r>
            <w:r>
              <w:rPr>
                <w:rFonts w:hint="eastAsia" w:ascii="Times New Roman"/>
                <w:color w:val="auto"/>
                <w:sz w:val="24"/>
                <w:szCs w:val="32"/>
                <w:highlight w:val="none"/>
                <w:lang w:val="en-US" w:eastAsia="zh-CN"/>
              </w:rPr>
              <w:t>使用</w:t>
            </w:r>
            <w:r>
              <w:rPr>
                <w:rFonts w:hint="default" w:ascii="Times New Roman" w:hAnsi="Times New Roman" w:cs="Times New Roman"/>
                <w:color w:val="auto"/>
                <w:sz w:val="24"/>
                <w:szCs w:val="24"/>
                <w:highlight w:val="none"/>
              </w:rPr>
              <w:t>CA数字证书登录</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tc>
      </w:tr>
      <w:tr w14:paraId="70C638F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BD390CA">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E39B399">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投标文件其他要求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C6BB211">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本项目采用电子招标投标形式，投标期间不需提供纸质投标文件。中标人在合同签订前需向招标人提交资料：</w:t>
            </w:r>
          </w:p>
          <w:p w14:paraId="64BFB142">
            <w:pPr>
              <w:spacing w:line="440" w:lineRule="exact"/>
              <w:jc w:val="lef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 xml:space="preserve"> 纸质版投标文件：</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套；</w:t>
            </w:r>
          </w:p>
          <w:p w14:paraId="00C70B82">
            <w:pPr>
              <w:pStyle w:val="15"/>
              <w:pageBreakBefore w:val="0"/>
              <w:kinsoku/>
              <w:wordWrap w:val="0"/>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Cs w:val="24"/>
                <w:highlight w:val="none"/>
              </w:rPr>
              <w:t xml:space="preserve"> 电子版投标文件，具体要求为：</w:t>
            </w:r>
            <w:r>
              <w:rPr>
                <w:rFonts w:hint="default" w:ascii="Times New Roman" w:hAnsi="Times New Roman" w:cs="Times New Roman"/>
                <w:color w:val="auto"/>
                <w:szCs w:val="24"/>
                <w:highlight w:val="none"/>
                <w:u w:val="single"/>
              </w:rPr>
              <w:t xml:space="preserve"> 电子投标文件 U 盘2 份(PDF 格式）。本项目采用远程解密、远程直播开标。投标文件需要用实体 CA 数字证书或移动 CA 数字证书生成上传,解密时由投标人自行携带解密工具。解密时限为递交投标文件截止时间起 30 分钟内(因开标系统发生不可抗力产生延误解密时间的，招标人将延长相应的解密时长，其他原因不予延长解密时间)，登录交易系统进入所投开标项目，使用 CA 数字证书解密。未在规定时间内完成解密的投标人，视为放弃本次投标，招标人不再接收。 </w:t>
            </w:r>
          </w:p>
        </w:tc>
      </w:tr>
      <w:tr w14:paraId="00948D8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09BE5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0350A4A">
            <w:pPr>
              <w:shd w:val="clea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开标时间和地点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667D744">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投标文件第一个信封（商务及技术文件）开标时间：同投标截止时间</w:t>
            </w:r>
          </w:p>
          <w:p w14:paraId="78F308F6">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按照第一章</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招标公告</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需要</w:t>
            </w:r>
            <w:r>
              <w:rPr>
                <w:rFonts w:hint="default" w:ascii="Times New Roman" w:hAnsi="Times New Roman" w:eastAsia="宋体" w:cs="Times New Roman"/>
                <w:color w:val="auto"/>
                <w:kern w:val="2"/>
                <w:sz w:val="24"/>
                <w:szCs w:val="24"/>
                <w:highlight w:val="none"/>
                <w:lang w:val="en-US" w:eastAsia="zh-CN" w:bidi="ar-SA"/>
              </w:rPr>
              <w:t>随机确定投标人参与的具体标段号的时间：另行通知</w:t>
            </w:r>
            <w:r>
              <w:rPr>
                <w:rFonts w:hint="eastAsia" w:cs="Times New Roman"/>
                <w:color w:val="auto"/>
                <w:kern w:val="2"/>
                <w:sz w:val="24"/>
                <w:szCs w:val="24"/>
                <w:highlight w:val="none"/>
                <w:lang w:val="en-US" w:eastAsia="zh-CN" w:bidi="ar-SA"/>
              </w:rPr>
              <w:t>（如需）</w:t>
            </w:r>
          </w:p>
          <w:p w14:paraId="75BBAE71">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投标文件第二个信封（报价文件）开标时间：另行通知</w:t>
            </w:r>
          </w:p>
          <w:p w14:paraId="497E7C28">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地点：</w:t>
            </w:r>
            <w:r>
              <w:rPr>
                <w:rFonts w:hint="default" w:ascii="Times New Roman" w:hAnsi="Times New Roman" w:cs="Times New Roman"/>
                <w:color w:val="auto"/>
                <w:kern w:val="2"/>
                <w:sz w:val="24"/>
                <w:szCs w:val="24"/>
                <w:highlight w:val="none"/>
                <w:u w:val="single"/>
                <w:lang w:val="en-US" w:eastAsia="zh-CN" w:bidi="ar-SA"/>
              </w:rPr>
              <w:t>地点：本项目采用不见面开标，投标人无需至开标现场。</w:t>
            </w:r>
            <w:r>
              <w:rPr>
                <w:rFonts w:hint="default" w:ascii="Times New Roman" w:hAnsi="Times New Roman" w:cs="Times New Roman"/>
                <w:color w:val="auto"/>
                <w:kern w:val="2"/>
                <w:sz w:val="24"/>
                <w:szCs w:val="24"/>
                <w:highlight w:val="none"/>
                <w:lang w:val="en-US" w:eastAsia="zh-CN" w:bidi="ar-SA"/>
              </w:rPr>
              <w:t xml:space="preserve"> </w:t>
            </w:r>
          </w:p>
        </w:tc>
      </w:tr>
      <w:tr w14:paraId="5F7FC97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4C919D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54BACAD">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第一个信封（商务及技术文件）开标程序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9FD28A8">
            <w:pPr>
              <w:pageBreakBefore w:val="0"/>
              <w:numPr>
                <w:ilvl w:val="0"/>
                <w:numId w:val="0"/>
              </w:numPr>
              <w:kinsoku/>
              <w:wordWrap w:val="0"/>
              <w:bidi w:val="0"/>
              <w:spacing w:line="440" w:lineRule="exact"/>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 xml:space="preserve">30 </w:t>
            </w:r>
            <w:r>
              <w:rPr>
                <w:rFonts w:hint="eastAsia" w:cs="Times New Roman"/>
                <w:color w:val="auto"/>
                <w:sz w:val="24"/>
                <w:szCs w:val="24"/>
                <w:highlight w:val="none"/>
                <w:u w:val="none"/>
                <w:lang w:val="en-US" w:eastAsia="zh-CN"/>
              </w:rPr>
              <w:t>分钟，当所有上传的电子投标文件均完成解密时，时长相应缩短。</w:t>
            </w:r>
          </w:p>
          <w:p w14:paraId="76507759">
            <w:pPr>
              <w:pageBreakBefore w:val="0"/>
              <w:numPr>
                <w:ilvl w:val="0"/>
                <w:numId w:val="0"/>
              </w:numPr>
              <w:kinsoku/>
              <w:wordWrap w:val="0"/>
              <w:bidi w:val="0"/>
              <w:spacing w:line="440" w:lineRule="exact"/>
              <w:ind w:left="0" w:leftChars="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tc>
      </w:tr>
      <w:tr w14:paraId="38D70EA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B073DC5">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587ED1B">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投标人参与详细评审的具体标段号的随机确定程序</w:t>
            </w:r>
            <w:r>
              <w:rPr>
                <w:rStyle w:val="47"/>
                <w:rFonts w:hint="default" w:ascii="Times New Roman" w:hAnsi="Times New Roman" w:cs="Times New Roman"/>
                <w:color w:val="auto"/>
                <w:sz w:val="24"/>
                <w:szCs w:val="24"/>
                <w:highlight w:val="none"/>
              </w:rPr>
              <w:footnoteReference w:id="10"/>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6A89715">
            <w:pPr>
              <w:pageBreakBefore w:val="0"/>
              <w:kinsoku/>
              <w:wordWrap w:val="0"/>
              <w:bidi w:val="0"/>
              <w:spacing w:line="440" w:lineRule="exact"/>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按系统要求操作</w:t>
            </w:r>
          </w:p>
        </w:tc>
      </w:tr>
      <w:tr w14:paraId="5842EA2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A8F0FC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21DB37B">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第二个信封（报价文件）开标程序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177BDC2">
            <w:pPr>
              <w:wordWrap w:val="0"/>
              <w:spacing w:line="440" w:lineRule="exact"/>
              <w:rPr>
                <w:color w:val="auto"/>
                <w:sz w:val="24"/>
                <w:highlight w:val="none"/>
                <w:lang w:eastAsia="zh"/>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rPr>
              <w:t>第二个信封（报价文件）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 xml:space="preserve">30 </w:t>
            </w:r>
            <w:r>
              <w:rPr>
                <w:rFonts w:hint="eastAsia"/>
                <w:color w:val="auto"/>
                <w:sz w:val="24"/>
                <w:highlight w:val="none"/>
                <w:u w:val="single"/>
              </w:rPr>
              <w:t xml:space="preserve"> </w:t>
            </w:r>
            <w:r>
              <w:rPr>
                <w:rFonts w:hint="eastAsia"/>
                <w:color w:val="auto"/>
                <w:sz w:val="24"/>
                <w:highlight w:val="none"/>
                <w:u w:val="none"/>
                <w:lang w:eastAsia="zh"/>
              </w:rPr>
              <w:t>分钟，当所有参与第二个信封评审的电子投标文件均完成解密时，时长相应缩短。</w:t>
            </w:r>
          </w:p>
          <w:p w14:paraId="58BFE5A1">
            <w:pPr>
              <w:pageBreakBefore w:val="0"/>
              <w:kinsoku/>
              <w:wordWrap w:val="0"/>
              <w:bidi w:val="0"/>
              <w:spacing w:line="440" w:lineRule="exact"/>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p w14:paraId="61571D77">
            <w:pPr>
              <w:pageBreakBefore w:val="0"/>
              <w:kinsoku/>
              <w:wordWrap w:val="0"/>
              <w:bidi w:val="0"/>
              <w:spacing w:line="440" w:lineRule="exact"/>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投标人应确保“电子交易平台”所留项目联系方式正确且开评标期间全程畅通。如若投标人未解密文件或投标人电话未接通或投标人所留联系方式不正确，导致未在规定时间内解密，投标视为无效</w:t>
            </w:r>
            <w:r>
              <w:rPr>
                <w:rFonts w:hint="default" w:ascii="Times New Roman" w:hAnsi="Times New Roman" w:cs="Times New Roman"/>
                <w:color w:val="auto"/>
                <w:sz w:val="24"/>
                <w:szCs w:val="24"/>
                <w:highlight w:val="none"/>
                <w:lang w:eastAsia="zh-CN"/>
              </w:rPr>
              <w:t>。</w:t>
            </w:r>
          </w:p>
        </w:tc>
      </w:tr>
      <w:tr w14:paraId="2E9E306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7D7FBC">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B549FD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开标补救措施</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082F8B3">
            <w:pPr>
              <w:pageBreakBefore w:val="0"/>
              <w:kinsoku/>
              <w:wordWrap w:val="0"/>
              <w:bidi w:val="0"/>
              <w:spacing w:line="440" w:lineRule="exact"/>
              <w:rPr>
                <w:rFonts w:hint="default" w:ascii="Times New Roman" w:hAnsi="Times New Roman" w:cs="Times New Roman"/>
                <w:color w:val="auto"/>
                <w:sz w:val="24"/>
                <w:szCs w:val="24"/>
                <w:highlight w:val="none"/>
              </w:rPr>
            </w:pPr>
          </w:p>
        </w:tc>
      </w:tr>
      <w:tr w14:paraId="086A64A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C94406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6F386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评标委员会的组建</w:t>
            </w:r>
            <w:r>
              <w:rPr>
                <w:rStyle w:val="47"/>
                <w:rFonts w:hint="default" w:ascii="Times New Roman" w:hAnsi="Times New Roman" w:cs="Times New Roman"/>
                <w:color w:val="auto"/>
                <w:sz w:val="24"/>
                <w:szCs w:val="24"/>
                <w:highlight w:val="none"/>
              </w:rPr>
              <w:footnoteReference w:id="11"/>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8998106">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评标委员会构成：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人，其中招标人代表</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人，专家</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w:t>
            </w:r>
          </w:p>
          <w:p w14:paraId="46303E64">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评标专家确定方式：</w:t>
            </w:r>
            <w:r>
              <w:rPr>
                <w:rFonts w:hint="default" w:ascii="Times New Roman" w:hAnsi="Times New Roman" w:cs="Times New Roman"/>
                <w:color w:val="auto"/>
                <w:sz w:val="24"/>
                <w:szCs w:val="24"/>
                <w:highlight w:val="none"/>
                <w:u w:val="single"/>
              </w:rPr>
              <w:t>依法从相应评标专家库中随机抽取</w:t>
            </w:r>
          </w:p>
        </w:tc>
      </w:tr>
      <w:tr w14:paraId="03BDDADA">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D52C7C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B5F56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评标委员会推荐中标候选人的人数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13A0AAB">
            <w:pPr>
              <w:pageBreakBefore w:val="0"/>
              <w:kinsoku/>
              <w:wordWrap w:val="0"/>
              <w:bidi w:val="0"/>
              <w:spacing w:line="440" w:lineRule="exact"/>
              <w:rPr>
                <w:rFonts w:hint="default" w:ascii="Times New Roman" w:hAnsi="Times New Roman" w:cs="Times New Roman"/>
                <w:color w:val="auto"/>
                <w:spacing w:val="10"/>
                <w:sz w:val="24"/>
                <w:szCs w:val="24"/>
                <w:highlight w:val="none"/>
                <w:bdr w:val="single" w:color="auto" w:sz="4" w:space="0"/>
              </w:rPr>
            </w:pPr>
            <w:r>
              <w:rPr>
                <w:rFonts w:hint="eastAsia" w:cs="Times New Roman"/>
                <w:color w:val="auto"/>
                <w:sz w:val="24"/>
                <w:szCs w:val="24"/>
                <w:highlight w:val="none"/>
                <w:lang w:val="en-US" w:eastAsia="zh-CN"/>
              </w:rPr>
              <w:t>3名</w:t>
            </w:r>
          </w:p>
        </w:tc>
      </w:tr>
      <w:tr w14:paraId="0ABCEBD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745E8A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3E1E01A">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中标候选人公示媒介及期限</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26B7E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公示媒介：同发布招标公告媒介</w:t>
            </w:r>
          </w:p>
          <w:p w14:paraId="51ED97CC">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公示期限：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single"/>
              </w:rPr>
              <w:t xml:space="preserve">不少于 3    </w:t>
            </w:r>
            <w:r>
              <w:rPr>
                <w:rFonts w:hint="default" w:ascii="Times New Roman" w:hAnsi="Times New Roman" w:cs="Times New Roman"/>
                <w:color w:val="auto"/>
                <w:sz w:val="24"/>
                <w:szCs w:val="24"/>
                <w:highlight w:val="none"/>
              </w:rPr>
              <w:t>日</w:t>
            </w:r>
          </w:p>
          <w:p w14:paraId="0AFBAAEE">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公示的其他内容：</w:t>
            </w:r>
          </w:p>
          <w:p w14:paraId="044923A6">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详细评审的评标委员会成员打分</w:t>
            </w:r>
          </w:p>
          <w:p w14:paraId="0D075AB7">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受理异议和投诉的联系方式</w:t>
            </w:r>
          </w:p>
          <w:p w14:paraId="50C90949">
            <w:pPr>
              <w:pStyle w:val="16"/>
              <w:keepNext w:val="0"/>
              <w:keepLines w:val="0"/>
              <w:pageBreakBefore w:val="0"/>
              <w:widowControl w:val="0"/>
              <w:kinsoku/>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 xml:space="preserve">         </w:t>
            </w:r>
          </w:p>
          <w:p w14:paraId="65BCCD46">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u w:val="none"/>
              </w:rPr>
              <w:t>如发现投标人存在弄虚作假行为，招标人将取消其中标候选人资格，并上报省级交通主管部门，作为不良记录纳入</w:t>
            </w:r>
            <w:r>
              <w:rPr>
                <w:rFonts w:hint="eastAsia" w:cs="Times New Roman"/>
                <w:color w:val="auto"/>
                <w:sz w:val="24"/>
                <w:szCs w:val="24"/>
                <w:highlight w:val="none"/>
                <w:u w:val="none"/>
                <w:lang w:eastAsia="zh-CN"/>
              </w:rPr>
              <w:t>全国公路建设市场监督管理系统</w:t>
            </w:r>
            <w:r>
              <w:rPr>
                <w:rFonts w:hint="default" w:ascii="Times New Roman" w:hAnsi="Times New Roman" w:cs="Times New Roman"/>
                <w:color w:val="auto"/>
                <w:sz w:val="24"/>
                <w:szCs w:val="24"/>
                <w:highlight w:val="none"/>
                <w:u w:val="none"/>
              </w:rPr>
              <w:t>。</w:t>
            </w:r>
          </w:p>
        </w:tc>
      </w:tr>
      <w:tr w14:paraId="68F6C32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2420E92">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7.4</w:t>
            </w:r>
            <w:r>
              <w:rPr>
                <w:rFonts w:hint="eastAsia" w:cs="Times New Roman"/>
                <w:color w:val="auto"/>
                <w:sz w:val="24"/>
                <w:szCs w:val="24"/>
                <w:highlight w:val="none"/>
                <w:lang w:val="en-US" w:eastAsia="zh-CN"/>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D01A70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是否授权评标委员会确定中标人</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461DE1B">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是</w:t>
            </w:r>
          </w:p>
          <w:p w14:paraId="65690AA5">
            <w:pPr>
              <w:pageBreakBefore w:val="0"/>
              <w:kinsoku/>
              <w:wordWrap w:val="0"/>
              <w:bidi w:val="0"/>
              <w:snapToGrid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否</w:t>
            </w:r>
          </w:p>
        </w:tc>
      </w:tr>
      <w:tr w14:paraId="6A0BC3F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21C2546">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7.4.2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A18B24E">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定标规则</w:t>
            </w:r>
            <w:r>
              <w:rPr>
                <w:rStyle w:val="47"/>
                <w:rFonts w:hint="eastAsia" w:cs="Times New Roman"/>
                <w:color w:val="auto"/>
                <w:sz w:val="24"/>
                <w:szCs w:val="24"/>
                <w:highlight w:val="none"/>
                <w:lang w:val="en-US" w:eastAsia="zh-CN"/>
              </w:rPr>
              <w:footnoteReference w:id="12"/>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49C25DDD">
            <w:pPr>
              <w:pageBreakBefore w:val="0"/>
              <w:kinsoku/>
              <w:wordWrap w:val="0"/>
              <w:bidi w:val="0"/>
              <w:snapToGrid w:val="0"/>
              <w:spacing w:line="440" w:lineRule="exact"/>
              <w:rPr>
                <w:rFonts w:hint="default"/>
                <w:color w:val="auto"/>
                <w:sz w:val="24"/>
                <w:highlight w:val="none"/>
                <w:lang w:val="en-US" w:eastAsia="zh-CN"/>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w:t>
            </w:r>
            <w:r>
              <w:rPr>
                <w:rFonts w:hint="eastAsia" w:ascii="Times New Roman" w:hAnsi="Times New Roman" w:cs="Times New Roman"/>
                <w:color w:val="auto"/>
                <w:sz w:val="24"/>
                <w:szCs w:val="24"/>
                <w:highlight w:val="none"/>
                <w:lang w:val="en-US" w:eastAsia="zh-CN"/>
              </w:rPr>
              <w:t>三</w:t>
            </w:r>
            <w:r>
              <w:rPr>
                <w:rFonts w:hint="default" w:ascii="Times New Roman" w:hAnsi="Times New Roman" w:cs="Times New Roman"/>
                <w:color w:val="auto"/>
                <w:sz w:val="24"/>
                <w:szCs w:val="24"/>
                <w:highlight w:val="none"/>
                <w:lang w:eastAsia="zh-CN"/>
              </w:rPr>
              <w:t>章</w:t>
            </w:r>
            <w:r>
              <w:rPr>
                <w:rFonts w:hint="eastAsia" w:ascii="宋体" w:hAnsi="宋体" w:eastAsia="宋体" w:cs="宋体"/>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评标办法</w:t>
            </w:r>
            <w:r>
              <w:rPr>
                <w:rFonts w:hint="eastAsia" w:ascii="宋体" w:hAnsi="宋体" w:eastAsia="宋体" w:cs="宋体"/>
                <w:color w:val="auto"/>
                <w:sz w:val="24"/>
                <w:szCs w:val="24"/>
                <w:highlight w:val="none"/>
                <w:lang w:eastAsia="zh-CN"/>
              </w:rPr>
              <w:t>”</w:t>
            </w:r>
          </w:p>
        </w:tc>
      </w:tr>
      <w:tr w14:paraId="6E90C3F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0AAA3B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31F10A0">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中标通知书的形式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0D94815">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书面形式</w:t>
            </w:r>
          </w:p>
          <w:p w14:paraId="61F5B63E">
            <w:pPr>
              <w:pageBreakBefore w:val="0"/>
              <w:kinsoku/>
              <w:wordWrap w:val="0"/>
              <w:overflow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电子形式：</w:t>
            </w:r>
            <w:r>
              <w:rPr>
                <w:rFonts w:hint="eastAsia" w:cs="Times New Roman"/>
                <w:color w:val="auto"/>
                <w:sz w:val="24"/>
                <w:szCs w:val="24"/>
                <w:highlight w:val="none"/>
                <w:lang w:val="en-US" w:eastAsia="zh-CN"/>
              </w:rPr>
              <w:t xml:space="preserve">            </w:t>
            </w:r>
          </w:p>
        </w:tc>
      </w:tr>
      <w:tr w14:paraId="6A22294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5E0CB2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B2F08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中标结果公告媒介及期限</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BE7017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公告媒介：同发布招标公告媒介</w:t>
            </w:r>
          </w:p>
          <w:p w14:paraId="7BCC0869">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公告期限：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tc>
      </w:tr>
      <w:tr w14:paraId="5894342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C2CEB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7.7.1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7F904F">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履约保证金</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EE28A3F">
            <w:pPr>
              <w:pStyle w:val="15"/>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是否要求中标人提交履约保证金：</w:t>
            </w:r>
          </w:p>
          <w:p w14:paraId="0B674437">
            <w:pPr>
              <w:pStyle w:val="15"/>
              <w:keepNext w:val="0"/>
              <w:keepLines w:val="0"/>
              <w:pageBreakBefore w:val="0"/>
              <w:widowControl w:val="0"/>
              <w:kinsoku/>
              <w:wordWrap w:val="0"/>
              <w:overflowPunct/>
              <w:topLinePunct/>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要求，履约保证金的形式：</w:t>
            </w:r>
            <w:r>
              <w:rPr>
                <w:rFonts w:hint="default" w:ascii="Times New Roman" w:hAnsi="Times New Roman" w:cs="Times New Roman"/>
                <w:color w:val="auto"/>
                <w:sz w:val="24"/>
                <w:szCs w:val="24"/>
                <w:highlight w:val="none"/>
                <w:u w:val="single"/>
              </w:rPr>
              <w:t>由中标人自主选择银行保函或者现金、支票 等招标人可接受的支付形式。</w:t>
            </w:r>
            <w:r>
              <w:rPr>
                <w:rFonts w:hint="default" w:ascii="Times New Roman" w:hAnsi="Times New Roman" w:cs="Times New Roman"/>
                <w:color w:val="auto"/>
                <w:sz w:val="24"/>
                <w:szCs w:val="24"/>
                <w:highlight w:val="none"/>
                <w:u w:val="single"/>
                <w:lang w:val="en-US" w:eastAsia="zh-CN"/>
              </w:rPr>
              <w:t xml:space="preserve"> </w:t>
            </w:r>
            <w:r>
              <w:rPr>
                <w:rStyle w:val="47"/>
                <w:rFonts w:hint="default" w:ascii="Times New Roman" w:hAnsi="Times New Roman" w:cs="Times New Roman"/>
                <w:color w:val="auto"/>
                <w:sz w:val="24"/>
                <w:szCs w:val="24"/>
                <w:highlight w:val="none"/>
              </w:rPr>
              <w:footnoteReference w:id="13"/>
            </w:r>
          </w:p>
          <w:p w14:paraId="76695955">
            <w:pPr>
              <w:wordWrap w:val="0"/>
              <w:spacing w:line="440" w:lineRule="exact"/>
              <w:ind w:firstLine="480" w:firstLineChars="200"/>
              <w:rPr>
                <w:color w:val="auto"/>
                <w:sz w:val="24"/>
                <w:highlight w:val="none"/>
              </w:rPr>
            </w:pPr>
            <w:r>
              <w:rPr>
                <w:color w:val="auto"/>
                <w:sz w:val="24"/>
                <w:highlight w:val="none"/>
              </w:rPr>
              <w:t>履约保证金的金额：</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val="0"/>
                <w:bCs w:val="0"/>
                <w:color w:val="auto"/>
                <w:sz w:val="24"/>
                <w:szCs w:val="24"/>
                <w:highlight w:val="none"/>
                <w:u w:val="single"/>
              </w:rPr>
              <w:t xml:space="preserve"> 5％</w:t>
            </w:r>
            <w:r>
              <w:rPr>
                <w:rFonts w:hint="default" w:ascii="Times New Roman" w:hAnsi="Times New Roman" w:cs="Times New Roman"/>
                <w:color w:val="auto"/>
                <w:sz w:val="24"/>
                <w:szCs w:val="24"/>
                <w:highlight w:val="none"/>
              </w:rPr>
              <w:t>签约合同价</w:t>
            </w:r>
            <w:r>
              <w:rPr>
                <w:rStyle w:val="47"/>
                <w:rFonts w:hint="default" w:ascii="Times New Roman" w:hAnsi="Times New Roman" w:cs="Times New Roman"/>
                <w:color w:val="auto"/>
                <w:sz w:val="24"/>
                <w:szCs w:val="24"/>
                <w:highlight w:val="none"/>
              </w:rPr>
              <w:footnoteReference w:id="14"/>
            </w:r>
          </w:p>
          <w:p w14:paraId="25A58CE8">
            <w:pPr>
              <w:wordWrap w:val="0"/>
              <w:spacing w:line="440" w:lineRule="exact"/>
              <w:ind w:firstLine="448" w:firstLineChars="200"/>
              <w:rPr>
                <w:color w:val="auto"/>
                <w:sz w:val="24"/>
                <w:highlight w:val="none"/>
                <w:u w:val="single"/>
              </w:rPr>
            </w:pPr>
            <w:r>
              <w:rPr>
                <w:color w:val="auto"/>
                <w:spacing w:val="-8"/>
                <w:sz w:val="24"/>
                <w:highlight w:val="none"/>
              </w:rPr>
              <w:t>采用银行保函时，出具保函的银行级别</w:t>
            </w:r>
            <w:r>
              <w:rPr>
                <w:color w:val="auto"/>
                <w:sz w:val="24"/>
                <w:highlight w:val="none"/>
              </w:rPr>
              <w:t>：</w:t>
            </w:r>
            <w:r>
              <w:rPr>
                <w:color w:val="auto"/>
                <w:sz w:val="24"/>
                <w:highlight w:val="none"/>
                <w:u w:val="single"/>
              </w:rPr>
              <w:t xml:space="preserve">  </w:t>
            </w:r>
          </w:p>
          <w:p w14:paraId="7FFB59DC">
            <w:pPr>
              <w:wordWrap w:val="0"/>
              <w:spacing w:line="440" w:lineRule="exact"/>
              <w:ind w:firstLine="480" w:firstLineChars="200"/>
              <w:rPr>
                <w:rFonts w:hint="eastAsia"/>
                <w:color w:val="auto"/>
                <w:sz w:val="24"/>
                <w:highlight w:val="none"/>
                <w:u w:val="single"/>
                <w:lang w:val="en-US" w:eastAsia="zh-CN"/>
              </w:rPr>
            </w:pPr>
            <w:r>
              <w:rPr>
                <w:rFonts w:hint="eastAsia"/>
                <w:color w:val="auto"/>
                <w:sz w:val="24"/>
                <w:highlight w:val="none"/>
                <w:u w:val="none"/>
                <w:lang w:val="en-US" w:eastAsia="zh-CN"/>
              </w:rPr>
              <w:t>采用电子保函：</w:t>
            </w:r>
            <w:r>
              <w:rPr>
                <w:rFonts w:hint="eastAsia"/>
                <w:color w:val="auto"/>
                <w:sz w:val="24"/>
                <w:highlight w:val="none"/>
                <w:u w:val="single"/>
                <w:lang w:val="en-US" w:eastAsia="zh-CN"/>
              </w:rPr>
              <w:t xml:space="preserve">                 </w:t>
            </w:r>
          </w:p>
          <w:p w14:paraId="7BF1848F">
            <w:pPr>
              <w:keepNext w:val="0"/>
              <w:keepLines w:val="0"/>
              <w:pageBreakBefore w:val="0"/>
              <w:widowControl w:val="0"/>
              <w:kinsoku/>
              <w:wordWrap w:val="0"/>
              <w:overflowPunct/>
              <w:autoSpaceDE/>
              <w:autoSpaceDN/>
              <w:bidi w:val="0"/>
              <w:adjustRightInd/>
              <w:snapToGrid/>
              <w:spacing w:line="44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不要求</w:t>
            </w:r>
          </w:p>
        </w:tc>
      </w:tr>
      <w:tr w14:paraId="29BC03A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5D27AD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8.5.1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F129A5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监督部门</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D485F0B">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监督部门：</w:t>
            </w:r>
            <w:r>
              <w:rPr>
                <w:rFonts w:hint="default" w:ascii="Times New Roman" w:hAnsi="Times New Roman" w:cs="Times New Roman"/>
                <w:color w:val="auto"/>
                <w:sz w:val="24"/>
                <w:szCs w:val="24"/>
                <w:highlight w:val="none"/>
                <w:u w:val="single"/>
              </w:rPr>
              <w:t xml:space="preserve"> 大石桥市交通运输局 </w:t>
            </w:r>
          </w:p>
          <w:p w14:paraId="14E87CA8">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    址：</w:t>
            </w:r>
            <w:r>
              <w:rPr>
                <w:rFonts w:hint="default" w:ascii="Times New Roman" w:hAnsi="Times New Roman" w:cs="Times New Roman"/>
                <w:color w:val="auto"/>
                <w:sz w:val="24"/>
                <w:szCs w:val="24"/>
                <w:highlight w:val="none"/>
                <w:u w:val="single"/>
              </w:rPr>
              <w:t xml:space="preserve">  大石桥市  </w:t>
            </w:r>
          </w:p>
          <w:p w14:paraId="00087574">
            <w:pPr>
              <w:pageBreakBefore w:val="0"/>
              <w:kinsoku/>
              <w:wordWrap w:val="0"/>
              <w:bidi w:val="0"/>
              <w:spacing w:line="440" w:lineRule="exac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电    话：</w:t>
            </w:r>
            <w:r>
              <w:rPr>
                <w:rFonts w:hint="default" w:ascii="Times New Roman" w:hAnsi="Times New Roman" w:cs="Times New Roman"/>
                <w:color w:val="auto"/>
                <w:sz w:val="24"/>
                <w:szCs w:val="24"/>
                <w:highlight w:val="none"/>
                <w:u w:val="single"/>
              </w:rPr>
              <w:t>0417-5836231</w:t>
            </w:r>
          </w:p>
          <w:p w14:paraId="16C2A3E3">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rPr>
              <w:t xml:space="preserve">        </w:t>
            </w:r>
          </w:p>
          <w:p w14:paraId="5A70CC13">
            <w:pPr>
              <w:pageBreakBefore w:val="0"/>
              <w:kinsoku/>
              <w:wordWrap w:val="0"/>
              <w:bidi w:val="0"/>
              <w:spacing w:line="440" w:lineRule="exac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邮政编码：</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rPr>
              <w:t xml:space="preserve">        </w:t>
            </w:r>
          </w:p>
          <w:p w14:paraId="5BFFDBFF">
            <w:pPr>
              <w:widowControl w:val="0"/>
              <w:spacing w:line="44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补充：</w:t>
            </w:r>
          </w:p>
          <w:p w14:paraId="664D27E7">
            <w:pPr>
              <w:widowControl w:val="0"/>
              <w:spacing w:line="44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行政监督部门按照《招标投标法实施条例》《工程建设项目招标投标活动投诉处理办法》（2013年3月国家发展改革委第23号令修改）、《</w:t>
            </w: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HYPERLINK "https://www.ndrc.gov.cn/xwdt/tzgg/202102/t20210225_1267906.html"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u w:val="none"/>
                <w:lang w:val="en-US" w:eastAsia="zh-CN" w:bidi="ar-SA"/>
              </w:rPr>
              <w:t>关于建立健全招标投标领域优化营商环境长效机制的通知</w:t>
            </w:r>
            <w:r>
              <w:rPr>
                <w:rFonts w:hint="default" w:ascii="Times New Roman" w:hAnsi="Times New Roman" w:eastAsia="宋体" w:cs="Times New Roman"/>
                <w:color w:val="auto"/>
                <w:kern w:val="2"/>
                <w:sz w:val="24"/>
                <w:szCs w:val="24"/>
                <w:highlight w:val="none"/>
                <w:u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发改法规〔2021〕240号）、交通运输部</w:t>
            </w:r>
            <w:r>
              <w:rPr>
                <w:rFonts w:hint="default" w:ascii="Times New Roman" w:hAnsi="Times New Roman" w:eastAsia="宋体" w:cs="Times New Roman"/>
                <w:color w:val="auto"/>
                <w:kern w:val="2"/>
                <w:sz w:val="24"/>
                <w:szCs w:val="24"/>
                <w:highlight w:val="none"/>
                <w:lang w:val="en-US" w:eastAsia="zh-CN" w:bidi="ar-SA"/>
              </w:rPr>
              <w:t>《公路工程建设项目招标投标管理办法》等相关规定，接受针对公示内容的投诉。投诉材料要求、投诉受理条件及查处按照上述规定执行。</w:t>
            </w:r>
          </w:p>
          <w:p w14:paraId="4FAECA85">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（1）如果投标人或其他利害关系人就招标文件、开标及评标结果等事项投诉的，应当按法律、法规有关异议的规定先向招标人提出异议，对招标人的答复不满意或招标人未答复的，可向有关行政监督部门投诉。</w:t>
            </w:r>
          </w:p>
          <w:p w14:paraId="1CE84880">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（2）对于按法律法规规定需要先提出异议的投诉，行政监督部门在受理投诉时另</w:t>
            </w:r>
            <w:r>
              <w:rPr>
                <w:rFonts w:hint="eastAsia" w:cs="Times New Roman"/>
                <w:color w:val="auto"/>
                <w:sz w:val="24"/>
                <w:szCs w:val="24"/>
                <w:highlight w:val="none"/>
                <w:lang w:val="en-US" w:eastAsia="zh-CN"/>
              </w:rPr>
              <w:t>行</w:t>
            </w:r>
            <w:r>
              <w:rPr>
                <w:rFonts w:hint="default" w:ascii="Times New Roman" w:hAnsi="Times New Roman" w:eastAsia="宋体" w:cs="Times New Roman"/>
                <w:color w:val="auto"/>
                <w:sz w:val="24"/>
                <w:szCs w:val="24"/>
                <w:highlight w:val="none"/>
              </w:rPr>
              <w:t>要求投诉人递交提出异议的证明文件，已向其他有关行政监督部门投诉的，应当一并说明。未按规定提出异议或者未提交已提出异议的证明文件的投诉，不予受理。</w:t>
            </w:r>
          </w:p>
          <w:p w14:paraId="33662B8E">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投诉人缺乏事实根据或者法律依据进行投诉的，或者有证据表明投诉人捏造事实、伪造材料的，或者投诉人以非法手段取得证明材料进行投诉的，交通运输主管部门应当予以驳回，并对恶意投诉按照有关规定追究投诉人责任。</w:t>
            </w:r>
          </w:p>
          <w:p w14:paraId="7F27174A">
            <w:pPr>
              <w:pageBreakBefore w:val="0"/>
              <w:kinsoku/>
              <w:wordWrap w:val="0"/>
              <w:bidi w:val="0"/>
              <w:spacing w:line="440" w:lineRule="exact"/>
              <w:ind w:left="636" w:leftChars="0" w:hanging="636" w:hangingChars="265"/>
              <w:rPr>
                <w:rFonts w:hint="default" w:ascii="Times New Roman" w:hAnsi="Times New Roman" w:cs="Times New Roman"/>
                <w:color w:val="auto"/>
                <w:sz w:val="24"/>
                <w:szCs w:val="24"/>
                <w:highlight w:val="none"/>
                <w:u w:val="single"/>
              </w:rPr>
            </w:pPr>
            <w:r>
              <w:rPr>
                <w:rFonts w:hint="default" w:ascii="Times New Roman" w:hAnsi="Times New Roman" w:eastAsia="宋体" w:cs="Times New Roman"/>
                <w:color w:val="auto"/>
                <w:sz w:val="24"/>
                <w:szCs w:val="24"/>
                <w:highlight w:val="none"/>
              </w:rPr>
              <w:t>（4）行政监督部门对投诉事项作出的处理决定，在对该项目具有招标监督职责的部门网站上进行公告，包括投诉的事由、调查结果、处理决定、处罚依据以及处罚意见等内容。</w:t>
            </w:r>
          </w:p>
        </w:tc>
      </w:tr>
      <w:tr w14:paraId="47D92974">
        <w:tblPrEx>
          <w:tblCellMar>
            <w:top w:w="0" w:type="dxa"/>
            <w:left w:w="108" w:type="dxa"/>
            <w:bottom w:w="0" w:type="dxa"/>
            <w:right w:w="108" w:type="dxa"/>
          </w:tblCellMar>
        </w:tblPrEx>
        <w:trPr>
          <w:trHeight w:val="340" w:hRule="atLeast"/>
        </w:trPr>
        <w:tc>
          <w:tcPr>
            <w:tcW w:w="9004" w:type="dxa"/>
            <w:gridSpan w:val="3"/>
            <w:tcBorders>
              <w:top w:val="single" w:color="auto" w:sz="4" w:space="0"/>
              <w:left w:val="single" w:color="auto" w:sz="4" w:space="0"/>
              <w:bottom w:val="single" w:color="auto" w:sz="4" w:space="0"/>
              <w:right w:val="single" w:color="auto" w:sz="4" w:space="0"/>
            </w:tcBorders>
            <w:noWrap w:val="0"/>
            <w:vAlign w:val="center"/>
          </w:tcPr>
          <w:p w14:paraId="2FEE0998">
            <w:pPr>
              <w:pageBreakBefore w:val="0"/>
              <w:kinsoku/>
              <w:wordWrap w:val="0"/>
              <w:bidi w:val="0"/>
              <w:spacing w:line="440" w:lineRule="exac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需要补充的其他内容</w:t>
            </w:r>
          </w:p>
        </w:tc>
      </w:tr>
      <w:tr w14:paraId="7A14FBA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DCFEE14">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9.1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A0D56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施工组织设计的编制要求</w:t>
            </w:r>
            <w:r>
              <w:rPr>
                <w:rStyle w:val="47"/>
                <w:rFonts w:hint="default" w:ascii="Times New Roman" w:hAnsi="Times New Roman" w:cs="Times New Roman"/>
                <w:color w:val="auto"/>
                <w:sz w:val="24"/>
                <w:szCs w:val="24"/>
                <w:highlight w:val="none"/>
                <w:lang w:val="en-US" w:eastAsia="zh-CN"/>
              </w:rPr>
              <w:footnoteReference w:id="15"/>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434CD09C">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val="en-US" w:eastAsia="zh-CN"/>
              </w:rPr>
              <w:t>施工组织设计</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编制要求：</w:t>
            </w:r>
          </w:p>
          <w:p w14:paraId="1C3F4839">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采用暗标形式，必须按下列格式编制，否则视为未对招标文件作出实质性响应，按否决投标处理。</w:t>
            </w:r>
          </w:p>
          <w:p w14:paraId="75B49024">
            <w:pPr>
              <w:pageBreakBefore w:val="0"/>
              <w:kinsoku/>
              <w:wordWrap/>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A4</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纸张。页边距：</w:t>
            </w:r>
            <w:r>
              <w:rPr>
                <w:rFonts w:hint="default" w:ascii="Times New Roman" w:hAnsi="Times New Roman" w:cs="Times New Roman"/>
                <w:color w:val="auto"/>
                <w:sz w:val="24"/>
                <w:szCs w:val="24"/>
                <w:highlight w:val="none"/>
                <w:u w:val="single"/>
                <w:lang w:val="en-US" w:eastAsia="zh-CN"/>
              </w:rPr>
              <w:t xml:space="preserve"> 左边距为3.17厘米、右边及上下边距为2.54厘米</w:t>
            </w:r>
            <w:r>
              <w:rPr>
                <w:rFonts w:hint="default" w:ascii="Times New Roman" w:hAnsi="Times New Roman" w:cs="Times New Roman"/>
                <w:color w:val="auto"/>
                <w:sz w:val="24"/>
                <w:szCs w:val="24"/>
                <w:highlight w:val="none"/>
              </w:rPr>
              <w:t>。</w:t>
            </w:r>
          </w:p>
          <w:p w14:paraId="2F6BF0DA">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（2）除图纸、图表外所用文字采用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黑色</w:t>
            </w:r>
            <w:r>
              <w:rPr>
                <w:rFonts w:hint="default" w:ascii="Times New Roman" w:hAnsi="Times New Roman" w:cs="Times New Roman"/>
                <w:color w:val="auto"/>
                <w:sz w:val="24"/>
                <w:szCs w:val="24"/>
                <w:highlight w:val="none"/>
                <w:u w:val="single"/>
                <w:lang w:val="en-US" w:eastAsia="zh-CN"/>
              </w:rPr>
              <w:t>宋体</w:t>
            </w:r>
            <w:r>
              <w:rPr>
                <w:rFonts w:hint="eastAsia" w:cs="Times New Roman"/>
                <w:color w:val="auto"/>
                <w:sz w:val="24"/>
                <w:szCs w:val="24"/>
                <w:highlight w:val="none"/>
                <w:u w:val="single"/>
                <w:lang w:val="en-US" w:eastAsia="zh-CN"/>
              </w:rPr>
              <w:t>四</w:t>
            </w:r>
            <w:r>
              <w:rPr>
                <w:rFonts w:hint="default" w:ascii="Times New Roman" w:hAnsi="Times New Roman" w:cs="Times New Roman"/>
                <w:color w:val="auto"/>
                <w:sz w:val="24"/>
                <w:szCs w:val="24"/>
                <w:highlight w:val="none"/>
                <w:u w:val="single"/>
                <w:lang w:val="en-US" w:eastAsia="zh-CN"/>
              </w:rPr>
              <w:t>号</w:t>
            </w:r>
            <w:r>
              <w:rPr>
                <w:rFonts w:hint="eastAsia" w:cs="Times New Roman"/>
                <w:color w:val="auto"/>
                <w:sz w:val="24"/>
                <w:szCs w:val="24"/>
                <w:highlight w:val="none"/>
                <w:u w:val="single"/>
                <w:lang w:val="en-US" w:eastAsia="zh-CN"/>
              </w:rPr>
              <w:t>（含标题及目录）</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，图纸、图表中所有文字采用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黑色</w:t>
            </w:r>
            <w:r>
              <w:rPr>
                <w:rFonts w:hint="default" w:ascii="Times New Roman" w:hAnsi="Times New Roman" w:cs="Times New Roman"/>
                <w:color w:val="auto"/>
                <w:sz w:val="24"/>
                <w:szCs w:val="24"/>
                <w:highlight w:val="none"/>
                <w:u w:val="single"/>
                <w:lang w:val="en-US" w:eastAsia="zh-CN"/>
              </w:rPr>
              <w:t>宋体</w:t>
            </w:r>
            <w:r>
              <w:rPr>
                <w:rFonts w:hint="eastAsia" w:cs="Times New Roman"/>
                <w:color w:val="auto"/>
                <w:sz w:val="24"/>
                <w:szCs w:val="24"/>
                <w:highlight w:val="none"/>
                <w:u w:val="single"/>
                <w:lang w:val="en-US" w:eastAsia="zh-CN"/>
              </w:rPr>
              <w:t>五</w:t>
            </w:r>
            <w:r>
              <w:rPr>
                <w:rFonts w:hint="default" w:ascii="Times New Roman" w:hAnsi="Times New Roman" w:cs="Times New Roman"/>
                <w:color w:val="auto"/>
                <w:sz w:val="24"/>
                <w:szCs w:val="24"/>
                <w:highlight w:val="none"/>
                <w:u w:val="single"/>
                <w:lang w:val="en-US" w:eastAsia="zh-CN"/>
              </w:rPr>
              <w:t xml:space="preserve">号 </w:t>
            </w:r>
            <w:r>
              <w:rPr>
                <w:rFonts w:hint="default" w:ascii="Times New Roman" w:hAnsi="Times New Roman" w:cs="Times New Roman"/>
                <w:color w:val="auto"/>
                <w:sz w:val="24"/>
                <w:szCs w:val="24"/>
                <w:highlight w:val="none"/>
              </w:rPr>
              <w:t>；不得有任何加粗、斜体、下划线、边框、底纹、阴影等标记。不得设置页码、页眉、页脚；段落设置：</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 xml:space="preserve">行距为固定值18磅 </w:t>
            </w:r>
            <w:r>
              <w:rPr>
                <w:rFonts w:hint="default" w:ascii="Times New Roman" w:hAnsi="Times New Roman" w:cs="Times New Roman"/>
                <w:color w:val="auto"/>
                <w:sz w:val="24"/>
                <w:szCs w:val="24"/>
                <w:highlight w:val="none"/>
              </w:rPr>
              <w:t>，段落设置中</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如果定义了文档网格，则自动调整右缩进</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不打勾，</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如果定义了文档网格，则对齐到网格</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要打勾。</w:t>
            </w:r>
          </w:p>
          <w:p w14:paraId="14D9DA03">
            <w:pPr>
              <w:pageBreakBefore w:val="0"/>
              <w:kinsoku/>
              <w:wordWrap w:val="0"/>
              <w:bidi w:val="0"/>
              <w:spacing w:line="440" w:lineRule="exact"/>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（3）内容、文字均不得出现彩色文字与彩色图形，不得出现投标单位名称、相关人员姓名等能体现有关投标单位信息的提示性标记、文字、语句等，不得出现</w:t>
            </w:r>
            <w:r>
              <w:rPr>
                <w:rFonts w:hint="default" w:ascii="Times New Roman" w:hAnsi="Times New Roman" w:cs="Times New Roman"/>
                <w:color w:val="auto"/>
                <w:sz w:val="24"/>
                <w:szCs w:val="24"/>
                <w:highlight w:val="none"/>
                <w:lang w:val="en-US" w:eastAsia="zh-CN"/>
              </w:rPr>
              <w:t>投标人</w:t>
            </w:r>
            <w:r>
              <w:rPr>
                <w:rFonts w:hint="default" w:ascii="Times New Roman" w:hAnsi="Times New Roman" w:cs="Times New Roman"/>
                <w:color w:val="auto"/>
                <w:sz w:val="24"/>
                <w:szCs w:val="24"/>
                <w:highlight w:val="none"/>
              </w:rPr>
              <w:t>或人员电子签章，不得出现其他不符合暗标要求的内容</w:t>
            </w:r>
            <w:r>
              <w:rPr>
                <w:rFonts w:hint="default" w:ascii="Times New Roman" w:hAnsi="Times New Roman" w:cs="Times New Roman"/>
                <w:color w:val="auto"/>
                <w:sz w:val="24"/>
                <w:szCs w:val="24"/>
                <w:highlight w:val="none"/>
                <w:lang w:eastAsia="zh-CN"/>
              </w:rPr>
              <w:t>。</w:t>
            </w:r>
          </w:p>
          <w:p w14:paraId="7626F29F">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其他要求：</w:t>
            </w:r>
            <w:r>
              <w:rPr>
                <w:rFonts w:hint="default" w:ascii="Times New Roman" w:hAnsi="Times New Roman" w:cs="Times New Roman"/>
                <w:color w:val="auto"/>
                <w:sz w:val="24"/>
                <w:szCs w:val="24"/>
                <w:highlight w:val="none"/>
                <w:u w:val="single"/>
                <w:lang w:val="en-US" w:eastAsia="zh-CN"/>
              </w:rPr>
              <w:t xml:space="preserve"> 本项目不采用暗标形式 </w:t>
            </w:r>
            <w:r>
              <w:rPr>
                <w:rFonts w:hint="default" w:ascii="Times New Roman" w:hAnsi="Times New Roman" w:cs="Times New Roman"/>
                <w:color w:val="auto"/>
                <w:sz w:val="24"/>
                <w:szCs w:val="24"/>
                <w:highlight w:val="none"/>
              </w:rPr>
              <w:t>。</w:t>
            </w:r>
          </w:p>
        </w:tc>
      </w:tr>
      <w:tr w14:paraId="6B226EAA">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DD8403D">
            <w:pPr>
              <w:pageBreakBefore w:val="0"/>
              <w:kinsoku/>
              <w:wordWrap w:val="0"/>
              <w:bidi w:val="0"/>
              <w:spacing w:line="440" w:lineRule="exact"/>
              <w:jc w:val="center"/>
              <w:rPr>
                <w:rFonts w:hint="eastAsia" w:eastAsia="宋体" w:cs="Times New Roman"/>
                <w:color w:val="auto"/>
                <w:sz w:val="24"/>
                <w:szCs w:val="24"/>
                <w:highlight w:val="none"/>
                <w:lang w:val="en-US" w:eastAsia="zh-CN"/>
              </w:rPr>
            </w:pP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76993E09">
            <w:pPr>
              <w:spacing w:line="44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投标人须知正文补充第</w:t>
            </w:r>
            <w:r>
              <w:rPr>
                <w:rFonts w:hint="eastAsia" w:cs="Times New Roman"/>
                <w:color w:val="auto"/>
                <w:sz w:val="24"/>
                <w:szCs w:val="24"/>
                <w:highlight w:val="none"/>
                <w:lang w:eastAsia="zh-CN"/>
              </w:rPr>
              <w:t>9</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2款</w:t>
            </w:r>
            <w:r>
              <w:rPr>
                <w:rFonts w:hint="default" w:ascii="Times New Roman" w:hAnsi="Times New Roman" w:eastAsia="宋体" w:cs="Times New Roman"/>
                <w:color w:val="auto"/>
                <w:sz w:val="24"/>
                <w:szCs w:val="24"/>
                <w:highlight w:val="none"/>
                <w:vertAlign w:val="superscript"/>
              </w:rPr>
              <w:footnoteReference w:id="16"/>
            </w:r>
            <w:r>
              <w:rPr>
                <w:rFonts w:hint="default" w:ascii="Times New Roman" w:hAnsi="Times New Roman" w:eastAsia="宋体" w:cs="Times New Roman"/>
                <w:color w:val="auto"/>
                <w:sz w:val="24"/>
                <w:szCs w:val="24"/>
                <w:highlight w:val="none"/>
              </w:rPr>
              <w:t>：</w:t>
            </w:r>
          </w:p>
          <w:p w14:paraId="15A556EB">
            <w:pPr>
              <w:pageBreakBefore w:val="0"/>
              <w:kinsoku/>
              <w:wordWrap w:val="0"/>
              <w:bidi w:val="0"/>
              <w:spacing w:line="440" w:lineRule="exact"/>
              <w:jc w:val="left"/>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实施过程中推广以工代赈，在确保工程质量安全和符合进度要求等前提下，应充分挖掘主体工程建设及附属临建、工地服务保障、建后管护等方面用工潜力，平衡好建设和管护领域劳动合同制用工和以工代赈劳务用工之间关系，尽可能多地通过以工代赈方式吸纳当地群众参与工程建设。</w:t>
            </w:r>
          </w:p>
        </w:tc>
      </w:tr>
      <w:tr w14:paraId="541F062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D05FD67">
            <w:pPr>
              <w:pageBreakBefore w:val="0"/>
              <w:kinsoku/>
              <w:wordWrap w:val="0"/>
              <w:bidi w:val="0"/>
              <w:spacing w:line="44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10.2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3BAC13A4">
            <w:pPr>
              <w:wordWrap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投标人须知正文补充第10.2条：</w:t>
            </w:r>
          </w:p>
          <w:p w14:paraId="63F7A8DB">
            <w:pPr>
              <w:pageBreakBefore w:val="0"/>
              <w:kinsoku/>
              <w:wordWrap w:val="0"/>
              <w:bidi w:val="0"/>
              <w:spacing w:line="440" w:lineRule="exact"/>
              <w:jc w:val="left"/>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rPr>
              <w:t>招标人向承包人提供工程款支付担保额度</w:t>
            </w:r>
            <w:r>
              <w:rPr>
                <w:rFonts w:hint="default" w:ascii="Times New Roman" w:hAnsi="Times New Roman" w:eastAsia="宋体" w:cs="Times New Roman"/>
                <w:color w:val="auto"/>
                <w:sz w:val="24"/>
                <w:szCs w:val="24"/>
                <w:vertAlign w:val="superscript"/>
              </w:rPr>
              <w:footnoteReference w:id="17"/>
            </w:r>
            <w:r>
              <w:rPr>
                <w:rFonts w:hint="default" w:ascii="Times New Roman" w:hAnsi="Times New Roman" w:eastAsia="宋体" w:cs="Times New Roman"/>
                <w:color w:val="auto"/>
                <w:sz w:val="24"/>
                <w:szCs w:val="24"/>
              </w:rPr>
              <w:t>：签约合同价的[</w:t>
            </w:r>
            <w:sdt>
              <w:sdtPr>
                <w:rPr>
                  <w:rFonts w:hint="default" w:ascii="Times New Roman" w:hAnsi="Times New Roman" w:eastAsia="宋体" w:cs="Times New Roman"/>
                  <w:b/>
                  <w:bCs/>
                  <w:color w:val="auto"/>
                  <w:sz w:val="24"/>
                  <w:szCs w:val="24"/>
                  <w:shd w:val="clear" w:color="auto" w:fill="FFFFFF"/>
                </w:rPr>
                <w:id w:val="147482937"/>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shd w:val="clear" w:color="auto" w:fill="FFFFFF"/>
                </w:rPr>
              </w:sdtEndPr>
              <w:sdtContent>
                <w:r>
                  <w:rPr>
                    <w:rFonts w:hint="default" w:ascii="Times New Roman" w:hAnsi="Times New Roman" w:eastAsia="MS Gothic" w:cs="Times New Roman"/>
                    <w:b/>
                    <w:bCs/>
                    <w:color w:val="auto"/>
                    <w:sz w:val="24"/>
                    <w:szCs w:val="24"/>
                    <w:shd w:val="clear" w:color="auto" w:fill="FFFFFF"/>
                  </w:rPr>
                  <w:t>☐</w:t>
                </w:r>
              </w:sdtContent>
            </w:sdt>
            <w:r>
              <w:rPr>
                <w:rFonts w:hint="default" w:ascii="Times New Roman" w:hAnsi="Times New Roman" w:eastAsia="宋体" w:cs="Times New Roman"/>
                <w:color w:val="auto"/>
                <w:sz w:val="24"/>
                <w:szCs w:val="24"/>
              </w:rPr>
              <w:t xml:space="preserve">5% </w:t>
            </w:r>
            <w:sdt>
              <w:sdtPr>
                <w:rPr>
                  <w:rFonts w:hint="default" w:ascii="Times New Roman" w:hAnsi="Times New Roman" w:eastAsia="宋体" w:cs="Times New Roman"/>
                  <w:b/>
                  <w:bCs/>
                  <w:color w:val="auto"/>
                  <w:sz w:val="24"/>
                  <w:szCs w:val="24"/>
                  <w:shd w:val="clear" w:color="auto" w:fill="FFFFFF"/>
                </w:rPr>
                <w:id w:val="147456011"/>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shd w:val="clear" w:color="auto" w:fill="FFFFFF"/>
                </w:rPr>
              </w:sdtEndPr>
              <w:sdtContent>
                <w:r>
                  <w:rPr>
                    <w:rFonts w:hint="default" w:ascii="Times New Roman" w:hAnsi="Times New Roman" w:eastAsia="MS Gothic" w:cs="Times New Roman"/>
                    <w:b/>
                    <w:bCs/>
                    <w:color w:val="auto"/>
                    <w:sz w:val="24"/>
                    <w:szCs w:val="24"/>
                    <w:shd w:val="clear" w:color="auto" w:fill="FFFFFF"/>
                  </w:rPr>
                  <w:t>☐</w:t>
                </w:r>
              </w:sdtContent>
            </w:sdt>
            <w:r>
              <w:rPr>
                <w:rFonts w:hint="default" w:ascii="Times New Roman" w:hAnsi="Times New Roman" w:eastAsia="宋体" w:cs="Times New Roman"/>
                <w:color w:val="auto"/>
                <w:sz w:val="24"/>
                <w:szCs w:val="24"/>
              </w:rPr>
              <w:t xml:space="preserve">8% </w:t>
            </w:r>
            <w:sdt>
              <w:sdtPr>
                <w:rPr>
                  <w:rFonts w:hint="default" w:ascii="Times New Roman" w:hAnsi="Times New Roman" w:eastAsia="宋体" w:cs="Times New Roman"/>
                  <w:color w:val="auto"/>
                  <w:sz w:val="24"/>
                  <w:szCs w:val="24"/>
                  <w:shd w:val="clear" w:color="auto" w:fill="FFFFFF"/>
                </w:rPr>
                <w:id w:val="147467990"/>
                <w14:checkbox>
                  <w14:checked w14:val="0"/>
                  <w14:checkedState w14:val="0052" w14:font="Wingdings 2"/>
                  <w14:uncheckedState w14:val="2610" w14:font="MS Gothic"/>
                </w14:checkbox>
              </w:sdtPr>
              <w:sdtEndPr>
                <w:rPr>
                  <w:rFonts w:hint="default" w:ascii="Times New Roman" w:hAnsi="Times New Roman" w:eastAsia="宋体" w:cs="Times New Roman"/>
                  <w:color w:val="auto"/>
                  <w:sz w:val="24"/>
                  <w:szCs w:val="24"/>
                  <w:shd w:val="clear" w:color="auto" w:fill="FFFFFF"/>
                </w:rPr>
              </w:sdtEndPr>
              <w:sdtContent>
                <w:r>
                  <w:rPr>
                    <w:rFonts w:hint="default" w:ascii="MS Gothic" w:hAnsi="MS Gothic" w:eastAsia="宋体" w:cs="Times New Roman"/>
                    <w:color w:val="auto"/>
                    <w:kern w:val="2"/>
                    <w:sz w:val="24"/>
                    <w:szCs w:val="24"/>
                    <w:shd w:val="clear" w:color="auto" w:fill="FFFFFF"/>
                    <w:lang w:val="en-US" w:eastAsia="zh-CN" w:bidi="ar-SA"/>
                  </w:rPr>
                  <w:t>☐</w:t>
                </w:r>
              </w:sdtContent>
            </w:sdt>
            <w:r>
              <w:rPr>
                <w:rFonts w:hint="default" w:ascii="Times New Roman" w:hAnsi="Times New Roman" w:eastAsia="宋体" w:cs="Times New Roman"/>
                <w:color w:val="auto"/>
                <w:sz w:val="24"/>
                <w:szCs w:val="24"/>
                <w:shd w:val="clear" w:color="auto" w:fill="FFFFFF"/>
              </w:rPr>
              <w:t>10</w:t>
            </w:r>
            <w:r>
              <w:rPr>
                <w:rFonts w:hint="default" w:ascii="Times New Roman" w:hAnsi="Times New Roman" w:eastAsia="宋体" w:cs="Times New Roman"/>
                <w:color w:val="auto"/>
                <w:sz w:val="24"/>
                <w:szCs w:val="24"/>
              </w:rPr>
              <w:t xml:space="preserve">% </w:t>
            </w:r>
            <w:sdt>
              <w:sdtPr>
                <w:rPr>
                  <w:rFonts w:hint="default" w:ascii="Times New Roman" w:hAnsi="Times New Roman" w:eastAsia="宋体" w:cs="Times New Roman"/>
                  <w:b/>
                  <w:bCs/>
                  <w:color w:val="auto"/>
                  <w:sz w:val="24"/>
                  <w:szCs w:val="24"/>
                  <w:shd w:val="clear" w:color="auto" w:fill="FFFFFF"/>
                </w:rPr>
                <w:id w:val="147462595"/>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shd w:val="clear" w:color="auto" w:fill="FFFFFF"/>
                </w:rPr>
              </w:sdtEndPr>
              <w:sdtContent>
                <w:r>
                  <w:rPr>
                    <w:rFonts w:hint="default" w:ascii="Times New Roman" w:hAnsi="Times New Roman" w:eastAsia="MS Gothic" w:cs="Times New Roman"/>
                    <w:b/>
                    <w:bCs/>
                    <w:color w:val="auto"/>
                    <w:sz w:val="24"/>
                    <w:szCs w:val="24"/>
                    <w:shd w:val="clear" w:color="auto" w:fill="FFFFFF"/>
                  </w:rPr>
                  <w:t>☐</w:t>
                </w:r>
              </w:sdtContent>
            </w:sdt>
            <w:r>
              <w:rPr>
                <w:rFonts w:hint="default" w:ascii="Times New Roman" w:hAnsi="Times New Roman" w:eastAsia="宋体" w:cs="Times New Roman"/>
                <w:color w:val="auto"/>
                <w:sz w:val="24"/>
                <w:szCs w:val="24"/>
                <w:u w:val="single"/>
                <w:shd w:val="clear" w:color="auto" w:fill="FFFFFF"/>
              </w:rPr>
              <w:t xml:space="preserve">    </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32"/>
              </w:rPr>
              <w:t>原则上工程款支付担保额度应与履约担保额度相同，见7.7.1项。</w:t>
            </w:r>
            <w:r>
              <w:rPr>
                <w:rFonts w:hint="default" w:ascii="Times New Roman" w:hAnsi="Times New Roman" w:eastAsia="宋体" w:cs="Times New Roman"/>
                <w:color w:val="auto"/>
                <w:sz w:val="24"/>
                <w:szCs w:val="24"/>
              </w:rPr>
              <w:t>支付方式</w:t>
            </w:r>
            <w:r>
              <w:rPr>
                <w:rFonts w:hint="eastAsia" w:ascii="Times New Roman" w:hAnsi="Times New Roman" w:eastAsia="宋体" w:cs="Times New Roman"/>
                <w:color w:val="auto"/>
                <w:sz w:val="24"/>
                <w:szCs w:val="24"/>
                <w:lang w:val="en-US" w:eastAsia="zh-CN"/>
              </w:rPr>
              <w:t>以</w:t>
            </w:r>
            <w:r>
              <w:rPr>
                <w:rFonts w:hint="default" w:ascii="Times New Roman" w:hAnsi="Times New Roman" w:eastAsia="宋体" w:cs="Times New Roman"/>
                <w:color w:val="auto"/>
                <w:sz w:val="24"/>
                <w:szCs w:val="24"/>
              </w:rPr>
              <w:t>项目专用合同条款</w:t>
            </w:r>
            <w:r>
              <w:rPr>
                <w:rFonts w:hint="default" w:ascii="Times New Roman" w:hAnsi="Times New Roman" w:eastAsia="宋体" w:cs="Times New Roman"/>
                <w:bCs/>
                <w:color w:val="auto"/>
                <w:sz w:val="24"/>
                <w:szCs w:val="24"/>
              </w:rPr>
              <w:t>相关约定</w:t>
            </w:r>
            <w:r>
              <w:rPr>
                <w:rFonts w:hint="eastAsia" w:ascii="Times New Roman" w:hAnsi="Times New Roman" w:eastAsia="宋体" w:cs="Times New Roman"/>
                <w:bCs/>
                <w:color w:val="auto"/>
                <w:sz w:val="24"/>
                <w:szCs w:val="24"/>
                <w:lang w:val="en-US" w:eastAsia="zh-CN"/>
              </w:rPr>
              <w:t>执行</w:t>
            </w:r>
            <w:r>
              <w:rPr>
                <w:rFonts w:hint="default" w:ascii="Times New Roman" w:hAnsi="Times New Roman" w:eastAsia="宋体" w:cs="Times New Roman"/>
                <w:bCs/>
                <w:color w:val="auto"/>
                <w:sz w:val="24"/>
                <w:szCs w:val="24"/>
              </w:rPr>
              <w:t>。</w:t>
            </w:r>
          </w:p>
        </w:tc>
      </w:tr>
      <w:tr w14:paraId="6CBFFAB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570925A">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补充</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9806794">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澄清和修改内容将以编号的补遗书形式发布给投标人。补遗书作为招标文件的组成部分，对所有投标人均具有约束力。当招标文件、补遗书在同一内容的表述上不一致时，以最后发出的书面文件为准。</w:t>
            </w:r>
          </w:p>
        </w:tc>
      </w:tr>
      <w:tr w14:paraId="50A588A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4AE6A4A">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4ABD5D6">
            <w:pPr>
              <w:spacing w:before="69" w:line="328" w:lineRule="auto"/>
              <w:ind w:right="96"/>
              <w:jc w:val="left"/>
              <w:rPr>
                <w:rFonts w:ascii="宋体" w:hAnsi="宋体" w:eastAsia="宋体" w:cs="宋体"/>
                <w:color w:val="auto"/>
                <w:sz w:val="23"/>
                <w:szCs w:val="23"/>
                <w:highlight w:val="none"/>
              </w:rPr>
            </w:pPr>
            <w:r>
              <w:rPr>
                <w:rFonts w:ascii="宋体" w:hAnsi="宋体" w:eastAsia="宋体" w:cs="宋体"/>
                <w:color w:val="auto"/>
                <w:spacing w:val="14"/>
                <w:sz w:val="23"/>
                <w:szCs w:val="23"/>
                <w:highlight w:val="none"/>
              </w:rPr>
              <w:t>投标</w:t>
            </w:r>
            <w:r>
              <w:rPr>
                <w:rFonts w:ascii="宋体" w:hAnsi="宋体" w:eastAsia="宋体" w:cs="宋体"/>
                <w:color w:val="auto"/>
                <w:spacing w:val="7"/>
                <w:sz w:val="23"/>
                <w:szCs w:val="23"/>
                <w:highlight w:val="none"/>
              </w:rPr>
              <w:t>人应根据《公路水运工程安全生产监督管理办法》 以及《关于印发</w:t>
            </w:r>
            <w:r>
              <w:rPr>
                <w:rFonts w:ascii="Times New Roman" w:hAnsi="Times New Roman" w:eastAsia="Times New Roman" w:cs="Times New Roman"/>
                <w:color w:val="auto"/>
                <w:spacing w:val="7"/>
                <w:sz w:val="23"/>
                <w:szCs w:val="23"/>
                <w:highlight w:val="none"/>
              </w:rPr>
              <w:t>&lt;</w:t>
            </w:r>
            <w:r>
              <w:rPr>
                <w:rFonts w:ascii="Times New Roman" w:hAnsi="Times New Roman" w:eastAsia="Times New Roman" w:cs="Times New Roman"/>
                <w:color w:val="auto"/>
                <w:sz w:val="23"/>
                <w:szCs w:val="23"/>
                <w:highlight w:val="none"/>
              </w:rPr>
              <w:t xml:space="preserve"> </w:t>
            </w:r>
            <w:r>
              <w:rPr>
                <w:rFonts w:ascii="宋体" w:hAnsi="宋体" w:eastAsia="宋体" w:cs="宋体"/>
                <w:color w:val="auto"/>
                <w:spacing w:val="7"/>
                <w:sz w:val="23"/>
                <w:szCs w:val="23"/>
                <w:highlight w:val="none"/>
              </w:rPr>
              <w:t>企</w:t>
            </w:r>
            <w:r>
              <w:rPr>
                <w:rFonts w:ascii="宋体" w:hAnsi="宋体" w:eastAsia="宋体" w:cs="宋体"/>
                <w:color w:val="auto"/>
                <w:spacing w:val="5"/>
                <w:sz w:val="23"/>
                <w:szCs w:val="23"/>
                <w:highlight w:val="none"/>
              </w:rPr>
              <w:t>业安全生产</w:t>
            </w:r>
            <w:r>
              <w:rPr>
                <w:rFonts w:hint="eastAsia" w:ascii="宋体" w:hAnsi="宋体" w:eastAsia="宋体" w:cs="宋体"/>
                <w:color w:val="auto"/>
                <w:spacing w:val="5"/>
                <w:sz w:val="23"/>
                <w:szCs w:val="23"/>
                <w:highlight w:val="none"/>
              </w:rPr>
              <w:t>费用提取和使用管理办法&gt;的通知》  (财企〔2012〕16 号) 的规</w:t>
            </w:r>
            <w:r>
              <w:rPr>
                <w:rFonts w:hint="eastAsia" w:ascii="宋体" w:hAnsi="宋体" w:eastAsia="宋体" w:cs="宋体"/>
                <w:color w:val="auto"/>
                <w:sz w:val="23"/>
                <w:szCs w:val="23"/>
                <w:highlight w:val="none"/>
              </w:rPr>
              <w:t xml:space="preserve"> </w:t>
            </w:r>
            <w:r>
              <w:rPr>
                <w:rFonts w:hint="eastAsia" w:ascii="宋体" w:hAnsi="宋体" w:eastAsia="宋体" w:cs="宋体"/>
                <w:color w:val="auto"/>
                <w:spacing w:val="15"/>
                <w:sz w:val="23"/>
                <w:szCs w:val="23"/>
                <w:highlight w:val="none"/>
              </w:rPr>
              <w:t>定</w:t>
            </w:r>
            <w:r>
              <w:rPr>
                <w:rFonts w:hint="eastAsia" w:ascii="宋体" w:hAnsi="宋体" w:eastAsia="宋体" w:cs="宋体"/>
                <w:color w:val="auto"/>
                <w:spacing w:val="8"/>
                <w:sz w:val="23"/>
                <w:szCs w:val="23"/>
                <w:highlight w:val="none"/>
              </w:rPr>
              <w:t>，在投标总价中计入安全生产费用，</w:t>
            </w:r>
            <w:r>
              <w:rPr>
                <w:rFonts w:hint="eastAsia" w:ascii="宋体" w:hAnsi="宋体" w:eastAsia="宋体" w:cs="宋体"/>
                <w:b/>
                <w:bCs/>
                <w:color w:val="auto"/>
                <w:spacing w:val="8"/>
                <w:sz w:val="23"/>
                <w:szCs w:val="23"/>
                <w:highlight w:val="none"/>
              </w:rPr>
              <w:t>安全生产费用以固定金额形式计入工程</w:t>
            </w:r>
            <w:r>
              <w:rPr>
                <w:rFonts w:hint="eastAsia" w:ascii="宋体" w:hAnsi="宋体" w:eastAsia="宋体" w:cs="宋体"/>
                <w:b/>
                <w:bCs/>
                <w:color w:val="auto"/>
                <w:sz w:val="23"/>
                <w:szCs w:val="23"/>
                <w:highlight w:val="none"/>
              </w:rPr>
              <w:t xml:space="preserve"> </w:t>
            </w:r>
            <w:r>
              <w:rPr>
                <w:rFonts w:hint="eastAsia" w:ascii="宋体" w:hAnsi="宋体" w:eastAsia="宋体" w:cs="宋体"/>
                <w:b/>
                <w:bCs/>
                <w:color w:val="auto"/>
                <w:spacing w:val="7"/>
                <w:sz w:val="23"/>
                <w:szCs w:val="23"/>
                <w:highlight w:val="none"/>
              </w:rPr>
              <w:t>量清单第 100 章中 (安全生产费用为招标人公布的最高投标限价的 1.5％</w:t>
            </w:r>
            <w:r>
              <w:rPr>
                <w:rFonts w:hint="eastAsia" w:ascii="宋体" w:hAnsi="宋体" w:eastAsia="宋体" w:cs="宋体"/>
                <w:b/>
                <w:bCs/>
                <w:color w:val="auto"/>
                <w:spacing w:val="7"/>
                <w:sz w:val="23"/>
                <w:szCs w:val="23"/>
                <w:highlight w:val="none"/>
                <w:lang w:eastAsia="zh-CN"/>
              </w:rPr>
              <w:t>，</w:t>
            </w:r>
            <w:r>
              <w:rPr>
                <w:rFonts w:hint="eastAsia" w:ascii="宋体" w:hAnsi="宋体" w:eastAsia="宋体" w:cs="宋体"/>
                <w:b/>
                <w:bCs/>
                <w:color w:val="auto"/>
                <w:spacing w:val="7"/>
                <w:sz w:val="23"/>
                <w:szCs w:val="23"/>
                <w:highlight w:val="none"/>
              </w:rPr>
              <w:t>安全生产费用</w:t>
            </w:r>
            <w:r>
              <w:rPr>
                <w:rFonts w:hint="eastAsia" w:ascii="宋体" w:hAnsi="宋体" w:eastAsia="宋体" w:cs="宋体"/>
                <w:b/>
                <w:bCs/>
                <w:color w:val="auto"/>
                <w:spacing w:val="7"/>
                <w:sz w:val="23"/>
                <w:szCs w:val="23"/>
                <w:highlight w:val="none"/>
                <w:lang w:eastAsia="zh-CN"/>
              </w:rPr>
              <w:t>：</w:t>
            </w:r>
            <w:r>
              <w:rPr>
                <w:rFonts w:hint="eastAsia" w:ascii="宋体" w:hAnsi="宋体" w:cs="宋体"/>
                <w:b/>
                <w:bCs/>
                <w:color w:val="auto"/>
                <w:spacing w:val="7"/>
                <w:sz w:val="23"/>
                <w:szCs w:val="23"/>
                <w:highlight w:val="none"/>
                <w:lang w:val="en-US" w:eastAsia="zh-CN"/>
              </w:rPr>
              <w:t xml:space="preserve">     </w:t>
            </w:r>
            <w:r>
              <w:rPr>
                <w:rFonts w:hint="eastAsia" w:ascii="宋体" w:hAnsi="宋体" w:eastAsia="宋体" w:cs="宋体"/>
                <w:b/>
                <w:bCs/>
                <w:color w:val="auto"/>
                <w:spacing w:val="7"/>
                <w:sz w:val="23"/>
                <w:szCs w:val="23"/>
                <w:highlight w:val="none"/>
                <w:lang w:val="en-US" w:eastAsia="zh-CN"/>
              </w:rPr>
              <w:t xml:space="preserve">元 </w:t>
            </w:r>
            <w:r>
              <w:rPr>
                <w:rFonts w:hint="eastAsia" w:ascii="宋体" w:hAnsi="宋体" w:eastAsia="宋体" w:cs="宋体"/>
                <w:b/>
                <w:bCs/>
                <w:color w:val="auto"/>
                <w:spacing w:val="7"/>
                <w:sz w:val="23"/>
                <w:szCs w:val="23"/>
                <w:highlight w:val="none"/>
              </w:rPr>
              <w:t xml:space="preserve">) </w:t>
            </w:r>
            <w:r>
              <w:rPr>
                <w:rFonts w:hint="eastAsia" w:ascii="宋体" w:hAnsi="宋体" w:eastAsia="宋体" w:cs="宋体"/>
                <w:b/>
                <w:bCs/>
                <w:color w:val="auto"/>
                <w:sz w:val="23"/>
                <w:szCs w:val="23"/>
                <w:highlight w:val="none"/>
              </w:rPr>
              <w:t xml:space="preserve">， </w:t>
            </w:r>
            <w:r>
              <w:rPr>
                <w:rFonts w:hint="eastAsia" w:ascii="宋体" w:hAnsi="宋体" w:eastAsia="宋体" w:cs="宋体"/>
                <w:color w:val="auto"/>
                <w:spacing w:val="15"/>
                <w:sz w:val="23"/>
                <w:szCs w:val="23"/>
                <w:highlight w:val="none"/>
              </w:rPr>
              <w:t>投</w:t>
            </w:r>
            <w:r>
              <w:rPr>
                <w:rFonts w:hint="eastAsia" w:ascii="宋体" w:hAnsi="宋体" w:eastAsia="宋体" w:cs="宋体"/>
                <w:color w:val="auto"/>
                <w:spacing w:val="8"/>
                <w:sz w:val="23"/>
                <w:szCs w:val="23"/>
                <w:highlight w:val="none"/>
              </w:rPr>
              <w:t>标人在投标报价时不得对该固定金额进行调整。如投标人须在此基础上增加</w:t>
            </w:r>
            <w:r>
              <w:rPr>
                <w:rFonts w:hint="eastAsia" w:ascii="宋体" w:hAnsi="宋体" w:eastAsia="宋体" w:cs="宋体"/>
                <w:color w:val="auto"/>
                <w:spacing w:val="13"/>
                <w:sz w:val="23"/>
                <w:szCs w:val="23"/>
                <w:highlight w:val="none"/>
              </w:rPr>
              <w:t>安</w:t>
            </w:r>
            <w:r>
              <w:rPr>
                <w:rFonts w:hint="eastAsia" w:ascii="宋体" w:hAnsi="宋体" w:eastAsia="宋体" w:cs="宋体"/>
                <w:color w:val="auto"/>
                <w:spacing w:val="8"/>
                <w:sz w:val="23"/>
                <w:szCs w:val="23"/>
                <w:highlight w:val="none"/>
              </w:rPr>
              <w:t>全生产费用以满足项目施工需要，则投标人应在本项目工程量清单其它</w:t>
            </w:r>
            <w:r>
              <w:rPr>
                <w:rFonts w:ascii="宋体" w:hAnsi="宋体" w:eastAsia="宋体" w:cs="宋体"/>
                <w:color w:val="auto"/>
                <w:spacing w:val="8"/>
                <w:sz w:val="23"/>
                <w:szCs w:val="23"/>
                <w:highlight w:val="none"/>
              </w:rPr>
              <w:t>相关</w:t>
            </w:r>
            <w:r>
              <w:rPr>
                <w:rFonts w:ascii="宋体" w:hAnsi="宋体" w:eastAsia="宋体" w:cs="宋体"/>
                <w:color w:val="auto"/>
                <w:sz w:val="23"/>
                <w:szCs w:val="23"/>
                <w:highlight w:val="none"/>
              </w:rPr>
              <w:t xml:space="preserve"> </w:t>
            </w:r>
            <w:r>
              <w:rPr>
                <w:rFonts w:ascii="宋体" w:hAnsi="宋体" w:eastAsia="宋体" w:cs="宋体"/>
                <w:color w:val="auto"/>
                <w:spacing w:val="13"/>
                <w:sz w:val="23"/>
                <w:szCs w:val="23"/>
                <w:highlight w:val="none"/>
              </w:rPr>
              <w:t>子</w:t>
            </w:r>
            <w:r>
              <w:rPr>
                <w:rFonts w:ascii="宋体" w:hAnsi="宋体" w:eastAsia="宋体" w:cs="宋体"/>
                <w:color w:val="auto"/>
                <w:spacing w:val="9"/>
                <w:sz w:val="23"/>
                <w:szCs w:val="23"/>
                <w:highlight w:val="none"/>
              </w:rPr>
              <w:t>目的单价或总额价中予以考虑，发包人不再单独支付。</w:t>
            </w:r>
          </w:p>
          <w:p w14:paraId="1128D005">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ascii="宋体" w:hAnsi="宋体" w:eastAsia="宋体" w:cs="宋体"/>
                <w:color w:val="auto"/>
                <w:spacing w:val="18"/>
                <w:sz w:val="23"/>
                <w:szCs w:val="23"/>
                <w:highlight w:val="none"/>
              </w:rPr>
              <w:t>承包</w:t>
            </w:r>
            <w:r>
              <w:rPr>
                <w:rFonts w:ascii="宋体" w:hAnsi="宋体" w:eastAsia="宋体" w:cs="宋体"/>
                <w:color w:val="auto"/>
                <w:spacing w:val="13"/>
                <w:sz w:val="23"/>
                <w:szCs w:val="23"/>
                <w:highlight w:val="none"/>
              </w:rPr>
              <w:t>人</w:t>
            </w:r>
            <w:r>
              <w:rPr>
                <w:rFonts w:ascii="宋体" w:hAnsi="宋体" w:eastAsia="宋体" w:cs="宋体"/>
                <w:color w:val="auto"/>
                <w:spacing w:val="9"/>
                <w:sz w:val="23"/>
                <w:szCs w:val="23"/>
                <w:highlight w:val="none"/>
              </w:rPr>
              <w:t>的施工安全生产费用，应当用于施工安全防护用具及设施的采购和</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更</w:t>
            </w:r>
            <w:r>
              <w:rPr>
                <w:rFonts w:ascii="宋体" w:hAnsi="宋体" w:eastAsia="宋体" w:cs="宋体"/>
                <w:color w:val="auto"/>
                <w:spacing w:val="9"/>
                <w:sz w:val="23"/>
                <w:szCs w:val="23"/>
                <w:highlight w:val="none"/>
              </w:rPr>
              <w:t>新、安全施工措施的落实、安全生产条件的改善，不得挪作他用。</w:t>
            </w:r>
          </w:p>
        </w:tc>
      </w:tr>
      <w:tr w14:paraId="0416FB8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B77CCAD">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B5BE193">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本工程招标采用限价招标，招标人设有最高投标限价。投标人的投标报价不得超过最高投标限价，也不得在报价文件中改动招标人给定的相关费用，否则评标委员会将否决其投标，最高投标限价及招标人给定的安全生产费用如下：</w:t>
            </w:r>
          </w:p>
          <w:p w14:paraId="0FBFE63D">
            <w:pPr>
              <w:pageBreakBefore w:val="0"/>
              <w:kinsoku/>
              <w:wordWrap w:val="0"/>
              <w:bidi w:val="0"/>
              <w:spacing w:line="440" w:lineRule="exact"/>
              <w:jc w:val="left"/>
              <w:rPr>
                <w:rFonts w:hint="eastAsia" w:ascii="宋体" w:hAnsi="宋体" w:eastAsia="宋体" w:cs="宋体"/>
                <w:b/>
                <w:bCs/>
                <w:color w:val="auto"/>
                <w:spacing w:val="18"/>
                <w:sz w:val="23"/>
                <w:szCs w:val="23"/>
                <w:highlight w:val="none"/>
              </w:rPr>
            </w:pPr>
            <w:r>
              <w:rPr>
                <w:rFonts w:hint="eastAsia" w:ascii="宋体" w:hAnsi="宋体" w:eastAsia="宋体" w:cs="宋体"/>
                <w:b/>
                <w:bCs/>
                <w:color w:val="auto"/>
                <w:spacing w:val="18"/>
                <w:sz w:val="23"/>
                <w:szCs w:val="23"/>
                <w:highlight w:val="none"/>
              </w:rPr>
              <w:t>本项目最高投标限价</w:t>
            </w:r>
            <w:r>
              <w:rPr>
                <w:rFonts w:hint="eastAsia" w:ascii="宋体" w:hAnsi="宋体" w:cs="宋体"/>
                <w:b/>
                <w:bCs/>
                <w:color w:val="auto"/>
                <w:spacing w:val="18"/>
                <w:sz w:val="23"/>
                <w:szCs w:val="23"/>
                <w:highlight w:val="none"/>
                <w:lang w:val="en-US" w:eastAsia="zh-CN"/>
              </w:rPr>
              <w:t xml:space="preserve">        元</w:t>
            </w:r>
            <w:r>
              <w:rPr>
                <w:rFonts w:hint="eastAsia" w:ascii="宋体" w:hAnsi="宋体" w:eastAsia="宋体" w:cs="宋体"/>
                <w:b/>
                <w:bCs/>
                <w:color w:val="auto"/>
                <w:spacing w:val="18"/>
                <w:sz w:val="23"/>
                <w:szCs w:val="23"/>
                <w:highlight w:val="none"/>
              </w:rPr>
              <w:t>，</w:t>
            </w:r>
            <w:r>
              <w:rPr>
                <w:rFonts w:hint="default" w:ascii="宋体" w:hAnsi="宋体" w:eastAsia="宋体" w:cs="宋体"/>
                <w:b/>
                <w:bCs/>
                <w:color w:val="auto"/>
                <w:spacing w:val="18"/>
                <w:sz w:val="23"/>
                <w:szCs w:val="23"/>
                <w:highlight w:val="none"/>
              </w:rPr>
              <w:t>其中含</w:t>
            </w:r>
            <w:r>
              <w:rPr>
                <w:rFonts w:hint="eastAsia" w:ascii="宋体" w:hAnsi="宋体" w:cs="宋体"/>
                <w:b/>
                <w:bCs/>
                <w:color w:val="auto"/>
                <w:spacing w:val="18"/>
                <w:sz w:val="23"/>
                <w:szCs w:val="23"/>
                <w:highlight w:val="none"/>
                <w:lang w:val="en-US" w:eastAsia="zh-CN"/>
              </w:rPr>
              <w:t>暂列金额</w:t>
            </w:r>
            <w:r>
              <w:rPr>
                <w:rFonts w:hint="default" w:ascii="宋体" w:hAnsi="宋体" w:eastAsia="宋体" w:cs="宋体"/>
                <w:b/>
                <w:bCs/>
                <w:color w:val="auto"/>
                <w:spacing w:val="18"/>
                <w:sz w:val="23"/>
                <w:szCs w:val="23"/>
                <w:highlight w:val="none"/>
              </w:rPr>
              <w:t xml:space="preserve"> </w:t>
            </w:r>
            <w:r>
              <w:rPr>
                <w:rFonts w:hint="eastAsia" w:ascii="宋体" w:hAnsi="宋体" w:cs="宋体"/>
                <w:b/>
                <w:bCs/>
                <w:color w:val="auto"/>
                <w:spacing w:val="18"/>
                <w:sz w:val="23"/>
                <w:szCs w:val="23"/>
                <w:highlight w:val="none"/>
                <w:lang w:val="en-US" w:eastAsia="zh-CN"/>
              </w:rPr>
              <w:t xml:space="preserve">     </w:t>
            </w:r>
            <w:r>
              <w:rPr>
                <w:rFonts w:hint="default" w:ascii="宋体" w:hAnsi="宋体" w:eastAsia="宋体" w:cs="宋体"/>
                <w:b/>
                <w:bCs/>
                <w:color w:val="auto"/>
                <w:spacing w:val="18"/>
                <w:sz w:val="23"/>
                <w:szCs w:val="23"/>
                <w:highlight w:val="none"/>
              </w:rPr>
              <w:t>元</w:t>
            </w:r>
            <w:r>
              <w:rPr>
                <w:rFonts w:hint="eastAsia" w:ascii="宋体" w:hAnsi="宋体" w:eastAsia="宋体" w:cs="宋体"/>
                <w:b/>
                <w:bCs/>
                <w:color w:val="auto"/>
                <w:spacing w:val="18"/>
                <w:sz w:val="23"/>
                <w:szCs w:val="23"/>
                <w:highlight w:val="none"/>
                <w:lang w:val="en-US" w:eastAsia="zh-CN"/>
              </w:rPr>
              <w:t>(含税)</w:t>
            </w:r>
            <w:r>
              <w:rPr>
                <w:rFonts w:hint="eastAsia" w:ascii="宋体" w:hAnsi="宋体" w:cs="宋体"/>
                <w:b/>
                <w:bCs/>
                <w:color w:val="auto"/>
                <w:spacing w:val="18"/>
                <w:sz w:val="23"/>
                <w:szCs w:val="23"/>
                <w:highlight w:val="none"/>
                <w:lang w:val="en-US" w:eastAsia="zh-CN"/>
              </w:rPr>
              <w:t>，</w:t>
            </w:r>
            <w:r>
              <w:rPr>
                <w:rFonts w:hint="eastAsia" w:ascii="宋体" w:hAnsi="宋体" w:eastAsia="宋体" w:cs="宋体"/>
                <w:b/>
                <w:bCs/>
                <w:color w:val="auto"/>
                <w:spacing w:val="18"/>
                <w:sz w:val="23"/>
                <w:szCs w:val="23"/>
                <w:highlight w:val="none"/>
              </w:rPr>
              <w:t>安全生</w:t>
            </w:r>
            <w:r>
              <w:rPr>
                <w:rFonts w:hint="eastAsia" w:ascii="宋体" w:hAnsi="宋体" w:eastAsia="宋体" w:cs="宋体"/>
                <w:b/>
                <w:bCs/>
                <w:color w:val="auto"/>
                <w:spacing w:val="7"/>
                <w:sz w:val="23"/>
                <w:szCs w:val="23"/>
                <w:highlight w:val="none"/>
              </w:rPr>
              <w:t>产费用</w:t>
            </w:r>
            <w:r>
              <w:rPr>
                <w:rFonts w:hint="eastAsia" w:ascii="宋体" w:hAnsi="宋体" w:eastAsia="宋体" w:cs="宋体"/>
                <w:b/>
                <w:bCs/>
                <w:color w:val="auto"/>
                <w:spacing w:val="7"/>
                <w:sz w:val="23"/>
                <w:szCs w:val="23"/>
                <w:highlight w:val="none"/>
                <w:lang w:eastAsia="zh-CN"/>
              </w:rPr>
              <w:t>：</w:t>
            </w:r>
            <w:r>
              <w:rPr>
                <w:rFonts w:hint="eastAsia" w:ascii="宋体" w:hAnsi="宋体" w:cs="宋体"/>
                <w:b/>
                <w:bCs/>
                <w:color w:val="auto"/>
                <w:spacing w:val="7"/>
                <w:sz w:val="23"/>
                <w:szCs w:val="23"/>
                <w:highlight w:val="none"/>
                <w:lang w:val="en-US" w:eastAsia="zh-CN"/>
              </w:rPr>
              <w:t xml:space="preserve">      </w:t>
            </w:r>
            <w:r>
              <w:rPr>
                <w:rFonts w:hint="eastAsia" w:ascii="宋体" w:hAnsi="宋体" w:eastAsia="宋体" w:cs="宋体"/>
                <w:b/>
                <w:bCs/>
                <w:color w:val="auto"/>
                <w:spacing w:val="7"/>
                <w:sz w:val="23"/>
                <w:szCs w:val="23"/>
                <w:highlight w:val="none"/>
                <w:lang w:val="en-US" w:eastAsia="zh-CN"/>
              </w:rPr>
              <w:t xml:space="preserve">元 </w:t>
            </w:r>
            <w:r>
              <w:rPr>
                <w:rFonts w:hint="eastAsia" w:ascii="宋体" w:hAnsi="宋体" w:eastAsia="宋体" w:cs="宋体"/>
                <w:b/>
                <w:bCs/>
                <w:color w:val="auto"/>
                <w:spacing w:val="18"/>
                <w:sz w:val="23"/>
                <w:szCs w:val="23"/>
                <w:highlight w:val="none"/>
              </w:rPr>
              <w:t>。</w:t>
            </w:r>
          </w:p>
          <w:p w14:paraId="1141F608">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3.2.9 投标报价的其他要求：</w:t>
            </w:r>
          </w:p>
          <w:p w14:paraId="7A507303">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 施工用电和水应由投标人自行调查解决，所需费用均应已含入工程 量清单各支付子目的单价或总额价中，并计入签约合同价，招标人将不另行支付。</w:t>
            </w:r>
          </w:p>
          <w:p w14:paraId="61212FF9">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(2) 中标人应根据工程实际情况确定临时占地最长使用期限，临时占地 的租地费用由投标人在投标阶段综合考虑并计入相关清单子目报价中，招标人将不另行支付。</w:t>
            </w:r>
          </w:p>
          <w:p w14:paraId="20C4524D">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(3) 投标人的投标报价中应含各类保险费。各类保险费均应已含入工程 量清单各支付子目的单价中，并计入签约合同价，招标人将不另行支付。</w:t>
            </w:r>
          </w:p>
          <w:p w14:paraId="3D8F4432">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(4) 投标人的投标价应包括投标人完成本招标项目施工、缺陷修复工作 的全部费用。投标人应依据相应的工程量计算规则和定额等计价依据计算报 价。</w:t>
            </w:r>
          </w:p>
          <w:p w14:paraId="4459EFB3">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(5) 投标人应自行踏勘现场以充分了解工地位置、情况、道路、储存空 间、装卸限制及任何其他足以影响投标报价的情况，任何因忽视或误解工地情 况而导致的索赔或工期延长申请将不被批准。</w:t>
            </w:r>
          </w:p>
          <w:p w14:paraId="058DD1CB">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(6) 施工期间承包人必须严格执行国家、地方政府有关施工安全管理方 面的法律、法规及规章制度，同时严格执行发包人制订的本项目安全生产管理 方面的规章制度、安全检查程序及施工安全管理要求，所需费用均已含入工程 量清单各支付子目的单价或总额价中，并计入签约合同价，招标人将不另行支 付。</w:t>
            </w:r>
          </w:p>
          <w:p w14:paraId="30D68A8E">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(7) 投标人应充分考虑采购满足招标人要求的材料所需的一切费用，所 需费用均应已含入工程量清单各支付子目的单价或总额价中，并计入签约合同 价，招标人将不另行支付。</w:t>
            </w:r>
          </w:p>
          <w:p w14:paraId="6BF753FC">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(8) 投标人应充分考虑将本项目旧钢护栏、旧标志标牌等原有设施 (如 有) 运送到招标人指定地点以及对已有的里程碑、百米桩进行维护所需的一切 费用，上述材料及设施归招标人所有，所需运输费用均已含入工程量清单各支 付子目的单价或总额价中，并计入签约合同价，招标人将不另行支付。投标人在投标报价时无需单独考虑该部分费用。</w:t>
            </w:r>
          </w:p>
          <w:p w14:paraId="017429A6">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(9) 投标人应充分考虑本项目施工过程中为保证道路通行所采取的各项 必要措施，所需费用均已含入工程量清单各支付子目的单价或总额价中，并计 入签约合同价，招标人将不另行支付。</w:t>
            </w:r>
          </w:p>
          <w:p w14:paraId="4CAAAFFF">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(10) 投标人应充分考虑不间断施工所需的生产生活相关费用，所需费用 均已含入工程量清单各支付子目的单价或总额价中，并计入签约合同价，招标 人将不另行支付。</w:t>
            </w:r>
          </w:p>
          <w:p w14:paraId="2A7CDD89">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(11) 本项目承包人的临时用地选址应由投标人自行调查解决，各投标人 应对临时用地位置和面积合理设置施工所需的生产生活设施，所需费用均已含 入工程量清单各支付子目的单价或总额价中，并计入签约合同价，招标人将不 另行支付。</w:t>
            </w:r>
          </w:p>
          <w:p w14:paraId="2ADD0C81">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(12) 投标人应充分考虑本项目施工可能与其他工程等发生的干扰与交叉，并将因此带来的费用</w:t>
            </w:r>
            <w:r>
              <w:rPr>
                <w:rFonts w:hint="eastAsia" w:ascii="宋体" w:hAnsi="宋体" w:cs="宋体"/>
                <w:color w:val="auto"/>
                <w:spacing w:val="18"/>
                <w:sz w:val="23"/>
                <w:szCs w:val="23"/>
                <w:highlight w:val="none"/>
                <w:lang w:val="en-US" w:eastAsia="zh-CN"/>
              </w:rPr>
              <w:t>包</w:t>
            </w:r>
            <w:r>
              <w:rPr>
                <w:rFonts w:hint="eastAsia" w:ascii="宋体" w:hAnsi="宋体" w:eastAsia="宋体" w:cs="宋体"/>
                <w:color w:val="auto"/>
                <w:spacing w:val="18"/>
                <w:sz w:val="23"/>
                <w:szCs w:val="23"/>
                <w:highlight w:val="none"/>
              </w:rPr>
              <w:t>含入工程量清单各支付子目的单价或总额价中，并计 入签约合同价，招标人将不另行支付。</w:t>
            </w:r>
          </w:p>
          <w:p w14:paraId="27F222F9">
            <w:pPr>
              <w:pageBreakBefore w:val="0"/>
              <w:kinsoku/>
              <w:wordWrap w:val="0"/>
              <w:bidi w:val="0"/>
              <w:spacing w:line="440" w:lineRule="exact"/>
              <w:jc w:val="left"/>
              <w:rPr>
                <w:rFonts w:hint="default" w:ascii="宋体" w:hAnsi="宋体" w:eastAsia="宋体" w:cs="宋体"/>
                <w:color w:val="auto"/>
                <w:spacing w:val="18"/>
                <w:kern w:val="2"/>
                <w:sz w:val="23"/>
                <w:szCs w:val="23"/>
                <w:highlight w:val="none"/>
                <w:lang w:val="en-US" w:eastAsia="zh-CN" w:bidi="ar-SA"/>
              </w:rPr>
            </w:pPr>
            <w:r>
              <w:rPr>
                <w:rFonts w:hint="eastAsia" w:ascii="宋体" w:hAnsi="宋体" w:eastAsia="宋体" w:cs="宋体"/>
                <w:color w:val="auto"/>
                <w:spacing w:val="18"/>
                <w:sz w:val="23"/>
                <w:szCs w:val="23"/>
                <w:highlight w:val="none"/>
              </w:rPr>
              <w:t>(13) 除招标文件另有规定外，根据国家和辽宁省有关的法律、法规的规 定，以投标人作为征收对象的所有税费，包括因国家实行营业税改增值税征收 税费而引起的费用的变化，均包含在投标人的工程量清单各子目的综合单价 中，并计入签约合同价，招标人不另行支付 (增加或扣减) ，中标人按照国家 相关税收法律、法规出具各支付款项的增值税专用 (或普通) 发票。</w:t>
            </w:r>
          </w:p>
        </w:tc>
      </w:tr>
      <w:tr w14:paraId="04712D3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45C4C0D">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1637152">
            <w:pPr>
              <w:pageBreakBefore w:val="0"/>
              <w:kinsoku/>
              <w:wordWrap w:val="0"/>
              <w:bidi w:val="0"/>
              <w:spacing w:line="440" w:lineRule="exact"/>
              <w:jc w:val="left"/>
              <w:rPr>
                <w:rFonts w:hint="default" w:ascii="宋体" w:hAnsi="宋体" w:eastAsia="宋体" w:cs="宋体"/>
                <w:color w:val="auto"/>
                <w:spacing w:val="18"/>
                <w:kern w:val="2"/>
                <w:sz w:val="23"/>
                <w:szCs w:val="23"/>
                <w:highlight w:val="none"/>
                <w:lang w:val="en-US" w:eastAsia="zh-CN" w:bidi="ar-SA"/>
              </w:rPr>
            </w:pPr>
            <w:r>
              <w:rPr>
                <w:rFonts w:ascii="黑体" w:hAnsi="黑体" w:eastAsia="黑体" w:cs="黑体"/>
                <w:color w:val="auto"/>
                <w:spacing w:val="2"/>
                <w:sz w:val="23"/>
                <w:szCs w:val="23"/>
                <w:highlight w:val="none"/>
              </w:rPr>
              <w:t>投标文件第一个信封(商务及技术文件)不</w:t>
            </w:r>
            <w:r>
              <w:rPr>
                <w:rFonts w:ascii="黑体" w:hAnsi="黑体" w:eastAsia="黑体" w:cs="黑体"/>
                <w:color w:val="auto"/>
                <w:spacing w:val="1"/>
                <w:sz w:val="23"/>
                <w:szCs w:val="23"/>
                <w:highlight w:val="none"/>
              </w:rPr>
              <w:t>应出现有关投标报价的内容</w:t>
            </w:r>
          </w:p>
        </w:tc>
      </w:tr>
      <w:tr w14:paraId="66EE4FE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7F3854F">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19278F8">
            <w:pPr>
              <w:pageBreakBefore w:val="0"/>
              <w:kinsoku/>
              <w:wordWrap w:val="0"/>
              <w:bidi w:val="0"/>
              <w:spacing w:line="440" w:lineRule="exact"/>
              <w:jc w:val="left"/>
              <w:rPr>
                <w:rFonts w:hint="default" w:ascii="宋体" w:hAnsi="宋体" w:eastAsia="宋体" w:cs="宋体"/>
                <w:strike/>
                <w:dstrike w:val="0"/>
                <w:color w:val="auto"/>
                <w:spacing w:val="18"/>
                <w:kern w:val="2"/>
                <w:sz w:val="23"/>
                <w:szCs w:val="23"/>
                <w:highlight w:val="none"/>
                <w:lang w:val="en-US" w:eastAsia="zh-CN" w:bidi="ar-SA"/>
              </w:rPr>
            </w:pPr>
            <w:r>
              <w:rPr>
                <w:rFonts w:hint="eastAsia" w:ascii="黑体" w:hAnsi="黑体" w:eastAsia="黑体" w:cs="黑体"/>
                <w:color w:val="auto"/>
                <w:spacing w:val="2"/>
                <w:sz w:val="23"/>
                <w:szCs w:val="23"/>
                <w:highlight w:val="none"/>
              </w:rPr>
              <w:t>如遇投标工程量清单或平台操作等问题可与新点软件王工联系13019466009</w:t>
            </w:r>
          </w:p>
        </w:tc>
      </w:tr>
      <w:tr w14:paraId="705C517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22D2302">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246AF23">
            <w:pPr>
              <w:spacing w:before="112" w:line="231" w:lineRule="auto"/>
              <w:ind w:left="105"/>
              <w:rPr>
                <w:rFonts w:ascii="黑体" w:hAnsi="黑体" w:eastAsia="黑体" w:cs="黑体"/>
                <w:color w:val="auto"/>
                <w:sz w:val="23"/>
                <w:szCs w:val="23"/>
                <w:highlight w:val="none"/>
              </w:rPr>
            </w:pPr>
            <w:r>
              <w:rPr>
                <w:rFonts w:ascii="Times New Roman" w:hAnsi="Times New Roman" w:eastAsia="Times New Roman" w:cs="Times New Roman"/>
                <w:color w:val="auto"/>
                <w:spacing w:val="5"/>
                <w:sz w:val="23"/>
                <w:szCs w:val="23"/>
                <w:highlight w:val="none"/>
              </w:rPr>
              <w:t xml:space="preserve"> </w:t>
            </w:r>
            <w:r>
              <w:rPr>
                <w:rFonts w:ascii="Times New Roman" w:hAnsi="Times New Roman" w:eastAsia="Times New Roman" w:cs="Times New Roman"/>
                <w:color w:val="auto"/>
                <w:spacing w:val="8"/>
                <w:sz w:val="23"/>
                <w:szCs w:val="23"/>
                <w:highlight w:val="none"/>
              </w:rPr>
              <w:t>7</w:t>
            </w:r>
            <w:r>
              <w:rPr>
                <w:rFonts w:ascii="Times New Roman" w:hAnsi="Times New Roman" w:eastAsia="Times New Roman" w:cs="Times New Roman"/>
                <w:color w:val="auto"/>
                <w:spacing w:val="5"/>
                <w:sz w:val="23"/>
                <w:szCs w:val="23"/>
                <w:highlight w:val="none"/>
              </w:rPr>
              <w:t xml:space="preserve">.8  </w:t>
            </w:r>
            <w:r>
              <w:rPr>
                <w:rFonts w:ascii="黑体" w:hAnsi="黑体" w:eastAsia="黑体" w:cs="黑体"/>
                <w:color w:val="auto"/>
                <w:spacing w:val="5"/>
                <w:sz w:val="23"/>
                <w:szCs w:val="23"/>
                <w:highlight w:val="none"/>
              </w:rPr>
              <w:t>签订合同</w:t>
            </w:r>
          </w:p>
          <w:p w14:paraId="1FD1D230">
            <w:pPr>
              <w:spacing w:before="113" w:line="227" w:lineRule="auto"/>
              <w:ind w:left="585"/>
              <w:rPr>
                <w:rFonts w:ascii="宋体" w:hAnsi="宋体" w:eastAsia="宋体" w:cs="宋体"/>
                <w:color w:val="auto"/>
                <w:sz w:val="23"/>
                <w:szCs w:val="23"/>
                <w:highlight w:val="none"/>
              </w:rPr>
            </w:pPr>
            <w:r>
              <w:rPr>
                <w:rFonts w:ascii="宋体" w:hAnsi="宋体" w:eastAsia="宋体" w:cs="宋体"/>
                <w:color w:val="auto"/>
                <w:spacing w:val="-1"/>
                <w:sz w:val="23"/>
                <w:szCs w:val="23"/>
                <w:highlight w:val="none"/>
              </w:rPr>
              <w:t>补充</w:t>
            </w:r>
            <w:r>
              <w:rPr>
                <w:rFonts w:ascii="宋体" w:hAnsi="宋体" w:eastAsia="宋体" w:cs="宋体"/>
                <w:color w:val="auto"/>
                <w:sz w:val="23"/>
                <w:szCs w:val="23"/>
                <w:highlight w:val="none"/>
              </w:rPr>
              <w:t xml:space="preserve">第 </w:t>
            </w:r>
            <w:r>
              <w:rPr>
                <w:rFonts w:ascii="Times New Roman" w:hAnsi="Times New Roman" w:eastAsia="Times New Roman" w:cs="Times New Roman"/>
                <w:color w:val="auto"/>
                <w:sz w:val="23"/>
                <w:szCs w:val="23"/>
                <w:highlight w:val="none"/>
              </w:rPr>
              <w:t xml:space="preserve">7.8.6 </w:t>
            </w:r>
            <w:r>
              <w:rPr>
                <w:rFonts w:ascii="宋体" w:hAnsi="宋体" w:eastAsia="宋体" w:cs="宋体"/>
                <w:color w:val="auto"/>
                <w:sz w:val="23"/>
                <w:szCs w:val="23"/>
                <w:highlight w:val="none"/>
              </w:rPr>
              <w:t>项：</w:t>
            </w:r>
          </w:p>
          <w:p w14:paraId="40AC4047">
            <w:pPr>
              <w:spacing w:before="115" w:line="229" w:lineRule="auto"/>
              <w:ind w:left="585"/>
              <w:rPr>
                <w:rFonts w:ascii="黑体" w:hAnsi="黑体" w:eastAsia="黑体" w:cs="黑体"/>
                <w:color w:val="auto"/>
                <w:sz w:val="23"/>
                <w:szCs w:val="23"/>
                <w:highlight w:val="none"/>
              </w:rPr>
            </w:pPr>
            <w:r>
              <w:rPr>
                <w:rFonts w:ascii="Times New Roman" w:hAnsi="Times New Roman" w:eastAsia="Times New Roman" w:cs="Times New Roman"/>
                <w:color w:val="auto"/>
                <w:spacing w:val="7"/>
                <w:sz w:val="23"/>
                <w:szCs w:val="23"/>
                <w:highlight w:val="none"/>
              </w:rPr>
              <w:t>7</w:t>
            </w:r>
            <w:r>
              <w:rPr>
                <w:rFonts w:ascii="Times New Roman" w:hAnsi="Times New Roman" w:eastAsia="Times New Roman" w:cs="Times New Roman"/>
                <w:color w:val="auto"/>
                <w:spacing w:val="6"/>
                <w:sz w:val="23"/>
                <w:szCs w:val="23"/>
                <w:highlight w:val="none"/>
              </w:rPr>
              <w:t xml:space="preserve">.8.6 </w:t>
            </w:r>
            <w:r>
              <w:rPr>
                <w:rFonts w:ascii="黑体" w:hAnsi="黑体" w:eastAsia="黑体" w:cs="黑体"/>
                <w:color w:val="auto"/>
                <w:spacing w:val="6"/>
                <w:sz w:val="23"/>
                <w:szCs w:val="23"/>
                <w:highlight w:val="none"/>
              </w:rPr>
              <w:t>人员履约要求</w:t>
            </w:r>
          </w:p>
          <w:p w14:paraId="0935444C">
            <w:pPr>
              <w:spacing w:before="116" w:line="321" w:lineRule="auto"/>
              <w:ind w:left="108" w:right="97" w:firstLine="499"/>
              <w:rPr>
                <w:rFonts w:ascii="宋体" w:hAnsi="宋体" w:eastAsia="宋体" w:cs="宋体"/>
                <w:color w:val="auto"/>
                <w:sz w:val="23"/>
                <w:szCs w:val="23"/>
                <w:highlight w:val="none"/>
              </w:rPr>
            </w:pPr>
            <w:r>
              <w:rPr>
                <w:rFonts w:ascii="宋体" w:hAnsi="宋体" w:eastAsia="宋体" w:cs="宋体"/>
                <w:color w:val="auto"/>
                <w:spacing w:val="14"/>
                <w:sz w:val="23"/>
                <w:szCs w:val="23"/>
                <w:highlight w:val="none"/>
              </w:rPr>
              <w:t>中标</w:t>
            </w:r>
            <w:r>
              <w:rPr>
                <w:rFonts w:ascii="宋体" w:hAnsi="宋体" w:eastAsia="宋体" w:cs="宋体"/>
                <w:color w:val="auto"/>
                <w:spacing w:val="9"/>
                <w:sz w:val="23"/>
                <w:szCs w:val="23"/>
                <w:highlight w:val="none"/>
              </w:rPr>
              <w:t>人</w:t>
            </w:r>
            <w:r>
              <w:rPr>
                <w:rFonts w:ascii="宋体" w:hAnsi="宋体" w:eastAsia="宋体" w:cs="宋体"/>
                <w:color w:val="auto"/>
                <w:spacing w:val="7"/>
                <w:sz w:val="23"/>
                <w:szCs w:val="23"/>
                <w:highlight w:val="none"/>
              </w:rPr>
              <w:t>在收到中标通知书后，应及时向招标人报送满足要求的其他管理人</w:t>
            </w:r>
            <w:r>
              <w:rPr>
                <w:rFonts w:ascii="宋体" w:hAnsi="宋体" w:eastAsia="宋体" w:cs="宋体"/>
                <w:color w:val="auto"/>
                <w:sz w:val="23"/>
                <w:szCs w:val="23"/>
                <w:highlight w:val="none"/>
              </w:rPr>
              <w:t xml:space="preserve"> </w:t>
            </w:r>
            <w:r>
              <w:rPr>
                <w:rFonts w:ascii="宋体" w:hAnsi="宋体" w:eastAsia="宋体" w:cs="宋体"/>
                <w:color w:val="auto"/>
                <w:spacing w:val="8"/>
                <w:sz w:val="23"/>
                <w:szCs w:val="23"/>
                <w:highlight w:val="none"/>
              </w:rPr>
              <w:t>员、其他设备的详细资料【详见合同附件格式《附件四  其他管理和技术人</w:t>
            </w:r>
            <w:r>
              <w:rPr>
                <w:rFonts w:ascii="宋体" w:hAnsi="宋体" w:eastAsia="宋体" w:cs="宋体"/>
                <w:color w:val="auto"/>
                <w:spacing w:val="7"/>
                <w:sz w:val="23"/>
                <w:szCs w:val="23"/>
                <w:highlight w:val="none"/>
              </w:rPr>
              <w:t>员</w:t>
            </w:r>
            <w:r>
              <w:rPr>
                <w:rFonts w:ascii="宋体" w:hAnsi="宋体" w:eastAsia="宋体" w:cs="宋体"/>
                <w:color w:val="auto"/>
                <w:sz w:val="23"/>
                <w:szCs w:val="23"/>
                <w:highlight w:val="none"/>
              </w:rPr>
              <w:t xml:space="preserve"> </w:t>
            </w:r>
            <w:r>
              <w:rPr>
                <w:rFonts w:ascii="宋体" w:hAnsi="宋体" w:eastAsia="宋体" w:cs="宋体"/>
                <w:color w:val="auto"/>
                <w:spacing w:val="15"/>
                <w:sz w:val="23"/>
                <w:szCs w:val="23"/>
                <w:highlight w:val="none"/>
              </w:rPr>
              <w:t>最</w:t>
            </w:r>
            <w:r>
              <w:rPr>
                <w:rFonts w:ascii="宋体" w:hAnsi="宋体" w:eastAsia="宋体" w:cs="宋体"/>
                <w:color w:val="auto"/>
                <w:spacing w:val="8"/>
                <w:sz w:val="23"/>
                <w:szCs w:val="23"/>
                <w:highlight w:val="none"/>
              </w:rPr>
              <w:t>低要求》】，如中标人报送的人员不满足招标文件要求，招标人有权取消其</w:t>
            </w:r>
            <w:r>
              <w:rPr>
                <w:rFonts w:ascii="宋体" w:hAnsi="宋体" w:eastAsia="宋体" w:cs="宋体"/>
                <w:color w:val="auto"/>
                <w:sz w:val="23"/>
                <w:szCs w:val="23"/>
                <w:highlight w:val="none"/>
              </w:rPr>
              <w:t xml:space="preserve"> </w:t>
            </w:r>
            <w:r>
              <w:rPr>
                <w:rFonts w:ascii="宋体" w:hAnsi="宋体" w:eastAsia="宋体" w:cs="宋体"/>
                <w:color w:val="auto"/>
                <w:spacing w:val="7"/>
                <w:sz w:val="23"/>
                <w:szCs w:val="23"/>
                <w:highlight w:val="none"/>
              </w:rPr>
              <w:t>中</w:t>
            </w:r>
            <w:r>
              <w:rPr>
                <w:rFonts w:ascii="宋体" w:hAnsi="宋体" w:eastAsia="宋体" w:cs="宋体"/>
                <w:color w:val="auto"/>
                <w:spacing w:val="5"/>
                <w:sz w:val="23"/>
                <w:szCs w:val="23"/>
                <w:highlight w:val="none"/>
              </w:rPr>
              <w:t>标资格。</w:t>
            </w:r>
          </w:p>
          <w:p w14:paraId="3F84BA8F">
            <w:pPr>
              <w:spacing w:line="328" w:lineRule="auto"/>
              <w:ind w:left="105" w:right="97" w:firstLine="502"/>
              <w:rPr>
                <w:rFonts w:ascii="宋体" w:hAnsi="宋体" w:eastAsia="宋体" w:cs="宋体"/>
                <w:color w:val="auto"/>
                <w:sz w:val="23"/>
                <w:szCs w:val="23"/>
                <w:highlight w:val="none"/>
              </w:rPr>
            </w:pPr>
            <w:r>
              <w:rPr>
                <w:rFonts w:ascii="宋体" w:hAnsi="宋体" w:eastAsia="宋体" w:cs="宋体"/>
                <w:color w:val="auto"/>
                <w:spacing w:val="14"/>
                <w:sz w:val="23"/>
                <w:szCs w:val="23"/>
                <w:highlight w:val="none"/>
              </w:rPr>
              <w:t>中标</w:t>
            </w:r>
            <w:r>
              <w:rPr>
                <w:rFonts w:ascii="宋体" w:hAnsi="宋体" w:eastAsia="宋体" w:cs="宋体"/>
                <w:color w:val="auto"/>
                <w:spacing w:val="9"/>
                <w:sz w:val="23"/>
                <w:szCs w:val="23"/>
                <w:highlight w:val="none"/>
              </w:rPr>
              <w:t>人</w:t>
            </w:r>
            <w:r>
              <w:rPr>
                <w:rFonts w:ascii="宋体" w:hAnsi="宋体" w:eastAsia="宋体" w:cs="宋体"/>
                <w:color w:val="auto"/>
                <w:spacing w:val="7"/>
                <w:sz w:val="23"/>
                <w:szCs w:val="23"/>
                <w:highlight w:val="none"/>
              </w:rPr>
              <w:t>进场时，如果所提供的人员低于投标阶段以及中标后合同谈判阶段</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所</w:t>
            </w:r>
            <w:r>
              <w:rPr>
                <w:rFonts w:ascii="宋体" w:hAnsi="宋体" w:eastAsia="宋体" w:cs="宋体"/>
                <w:color w:val="auto"/>
                <w:spacing w:val="10"/>
                <w:sz w:val="23"/>
                <w:szCs w:val="23"/>
                <w:highlight w:val="none"/>
              </w:rPr>
              <w:t>承</w:t>
            </w:r>
            <w:r>
              <w:rPr>
                <w:rFonts w:ascii="宋体" w:hAnsi="宋体" w:eastAsia="宋体" w:cs="宋体"/>
                <w:color w:val="auto"/>
                <w:spacing w:val="8"/>
                <w:sz w:val="23"/>
                <w:szCs w:val="23"/>
                <w:highlight w:val="none"/>
              </w:rPr>
              <w:t>诺的人员最低标准，即被认为未按合同文件规定履约，发包人将有权与中</w:t>
            </w:r>
            <w:r>
              <w:rPr>
                <w:rFonts w:ascii="宋体" w:hAnsi="宋体" w:eastAsia="宋体" w:cs="宋体"/>
                <w:color w:val="auto"/>
                <w:sz w:val="23"/>
                <w:szCs w:val="23"/>
                <w:highlight w:val="none"/>
              </w:rPr>
              <w:t xml:space="preserve"> </w:t>
            </w:r>
            <w:r>
              <w:rPr>
                <w:rFonts w:ascii="宋体" w:hAnsi="宋体" w:eastAsia="宋体" w:cs="宋体"/>
                <w:color w:val="auto"/>
                <w:spacing w:val="9"/>
                <w:sz w:val="23"/>
                <w:szCs w:val="23"/>
                <w:highlight w:val="none"/>
              </w:rPr>
              <w:t>标人解除合同，另行安排其他单位进行施工。</w:t>
            </w:r>
          </w:p>
          <w:p w14:paraId="2BF1D3C4">
            <w:pPr>
              <w:spacing w:line="295" w:lineRule="auto"/>
              <w:rPr>
                <w:rFonts w:ascii="Arial"/>
                <w:color w:val="auto"/>
                <w:sz w:val="21"/>
                <w:highlight w:val="none"/>
              </w:rPr>
            </w:pPr>
          </w:p>
          <w:p w14:paraId="3F930046">
            <w:pPr>
              <w:spacing w:before="75" w:line="227" w:lineRule="auto"/>
              <w:ind w:left="585"/>
              <w:rPr>
                <w:rFonts w:ascii="宋体" w:hAnsi="宋体" w:eastAsia="宋体" w:cs="宋体"/>
                <w:color w:val="auto"/>
                <w:sz w:val="23"/>
                <w:szCs w:val="23"/>
                <w:highlight w:val="none"/>
              </w:rPr>
            </w:pPr>
            <w:r>
              <w:rPr>
                <w:rFonts w:ascii="宋体" w:hAnsi="宋体" w:eastAsia="宋体" w:cs="宋体"/>
                <w:color w:val="auto"/>
                <w:spacing w:val="-1"/>
                <w:sz w:val="23"/>
                <w:szCs w:val="23"/>
                <w:highlight w:val="none"/>
              </w:rPr>
              <w:t>补充</w:t>
            </w:r>
            <w:r>
              <w:rPr>
                <w:rFonts w:ascii="宋体" w:hAnsi="宋体" w:eastAsia="宋体" w:cs="宋体"/>
                <w:color w:val="auto"/>
                <w:sz w:val="23"/>
                <w:szCs w:val="23"/>
                <w:highlight w:val="none"/>
              </w:rPr>
              <w:t xml:space="preserve">第 </w:t>
            </w:r>
            <w:r>
              <w:rPr>
                <w:rFonts w:ascii="Times New Roman" w:hAnsi="Times New Roman" w:eastAsia="Times New Roman" w:cs="Times New Roman"/>
                <w:color w:val="auto"/>
                <w:sz w:val="23"/>
                <w:szCs w:val="23"/>
                <w:highlight w:val="none"/>
              </w:rPr>
              <w:t xml:space="preserve">7.8.7 </w:t>
            </w:r>
            <w:r>
              <w:rPr>
                <w:rFonts w:ascii="宋体" w:hAnsi="宋体" w:eastAsia="宋体" w:cs="宋体"/>
                <w:color w:val="auto"/>
                <w:sz w:val="23"/>
                <w:szCs w:val="23"/>
                <w:highlight w:val="none"/>
              </w:rPr>
              <w:t>项：</w:t>
            </w:r>
          </w:p>
          <w:p w14:paraId="5D10C936">
            <w:pPr>
              <w:spacing w:before="117" w:line="324" w:lineRule="auto"/>
              <w:ind w:left="104" w:right="36" w:firstLine="480"/>
              <w:rPr>
                <w:rFonts w:ascii="宋体" w:hAnsi="宋体" w:eastAsia="宋体" w:cs="宋体"/>
                <w:color w:val="auto"/>
                <w:sz w:val="23"/>
                <w:szCs w:val="23"/>
                <w:highlight w:val="none"/>
              </w:rPr>
            </w:pPr>
            <w:r>
              <w:rPr>
                <w:rFonts w:ascii="Times New Roman" w:hAnsi="Times New Roman" w:eastAsia="Times New Roman" w:cs="Times New Roman"/>
                <w:color w:val="auto"/>
                <w:spacing w:val="20"/>
                <w:sz w:val="23"/>
                <w:szCs w:val="23"/>
                <w:highlight w:val="none"/>
              </w:rPr>
              <w:t>7</w:t>
            </w:r>
            <w:r>
              <w:rPr>
                <w:rFonts w:ascii="Times New Roman" w:hAnsi="Times New Roman" w:eastAsia="Times New Roman" w:cs="Times New Roman"/>
                <w:color w:val="auto"/>
                <w:spacing w:val="15"/>
                <w:sz w:val="23"/>
                <w:szCs w:val="23"/>
                <w:highlight w:val="none"/>
              </w:rPr>
              <w:t>.</w:t>
            </w:r>
            <w:r>
              <w:rPr>
                <w:rFonts w:ascii="Times New Roman" w:hAnsi="Times New Roman" w:eastAsia="Times New Roman" w:cs="Times New Roman"/>
                <w:color w:val="auto"/>
                <w:spacing w:val="10"/>
                <w:sz w:val="23"/>
                <w:szCs w:val="23"/>
                <w:highlight w:val="none"/>
              </w:rPr>
              <w:t xml:space="preserve">8.7  </w:t>
            </w:r>
            <w:r>
              <w:rPr>
                <w:rFonts w:ascii="宋体" w:hAnsi="宋体" w:eastAsia="宋体" w:cs="宋体"/>
                <w:color w:val="auto"/>
                <w:spacing w:val="10"/>
                <w:sz w:val="23"/>
                <w:szCs w:val="23"/>
                <w:highlight w:val="none"/>
              </w:rPr>
              <w:t xml:space="preserve">如果根据投标人须知第 </w:t>
            </w:r>
            <w:r>
              <w:rPr>
                <w:rFonts w:ascii="Times New Roman" w:hAnsi="Times New Roman" w:eastAsia="Times New Roman" w:cs="Times New Roman"/>
                <w:color w:val="auto"/>
                <w:spacing w:val="10"/>
                <w:sz w:val="23"/>
                <w:szCs w:val="23"/>
                <w:highlight w:val="none"/>
              </w:rPr>
              <w:t xml:space="preserve">3.5.3 </w:t>
            </w:r>
            <w:r>
              <w:rPr>
                <w:rFonts w:ascii="宋体" w:hAnsi="宋体" w:eastAsia="宋体" w:cs="宋体"/>
                <w:color w:val="auto"/>
                <w:spacing w:val="10"/>
                <w:sz w:val="23"/>
                <w:szCs w:val="23"/>
                <w:highlight w:val="none"/>
              </w:rPr>
              <w:t>项 (适用于已进行资格预审的) 、第</w:t>
            </w:r>
            <w:r>
              <w:rPr>
                <w:rFonts w:ascii="宋体" w:hAnsi="宋体" w:eastAsia="宋体" w:cs="宋体"/>
                <w:color w:val="auto"/>
                <w:sz w:val="23"/>
                <w:szCs w:val="23"/>
                <w:highlight w:val="none"/>
              </w:rPr>
              <w:t xml:space="preserve"> </w:t>
            </w:r>
            <w:r>
              <w:rPr>
                <w:rFonts w:ascii="Times New Roman" w:hAnsi="Times New Roman" w:eastAsia="Times New Roman" w:cs="Times New Roman"/>
                <w:color w:val="auto"/>
                <w:spacing w:val="4"/>
                <w:sz w:val="23"/>
                <w:szCs w:val="23"/>
                <w:highlight w:val="none"/>
              </w:rPr>
              <w:t xml:space="preserve">3.5. 11 </w:t>
            </w:r>
            <w:r>
              <w:rPr>
                <w:rFonts w:ascii="宋体" w:hAnsi="宋体" w:eastAsia="宋体" w:cs="宋体"/>
                <w:color w:val="auto"/>
                <w:spacing w:val="4"/>
                <w:sz w:val="23"/>
                <w:szCs w:val="23"/>
                <w:highlight w:val="none"/>
              </w:rPr>
              <w:t>项 (适用于未</w:t>
            </w:r>
            <w:r>
              <w:rPr>
                <w:rFonts w:ascii="宋体" w:hAnsi="宋体" w:eastAsia="宋体" w:cs="宋体"/>
                <w:color w:val="auto"/>
                <w:spacing w:val="3"/>
                <w:sz w:val="23"/>
                <w:szCs w:val="23"/>
                <w:highlight w:val="none"/>
              </w:rPr>
              <w:t>进</w:t>
            </w:r>
            <w:r>
              <w:rPr>
                <w:rFonts w:ascii="宋体" w:hAnsi="宋体" w:eastAsia="宋体" w:cs="宋体"/>
                <w:color w:val="auto"/>
                <w:spacing w:val="2"/>
                <w:sz w:val="23"/>
                <w:szCs w:val="23"/>
                <w:highlight w:val="none"/>
              </w:rPr>
              <w:t>行资格预审的) 规定，招标人取消了中标人的中标资格，</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招</w:t>
            </w:r>
            <w:r>
              <w:rPr>
                <w:rFonts w:ascii="宋体" w:hAnsi="宋体" w:eastAsia="宋体" w:cs="宋体"/>
                <w:color w:val="auto"/>
                <w:spacing w:val="11"/>
                <w:sz w:val="23"/>
                <w:szCs w:val="23"/>
                <w:highlight w:val="none"/>
              </w:rPr>
              <w:t>标</w:t>
            </w:r>
            <w:r>
              <w:rPr>
                <w:rFonts w:ascii="宋体" w:hAnsi="宋体" w:eastAsia="宋体" w:cs="宋体"/>
                <w:color w:val="auto"/>
                <w:spacing w:val="8"/>
                <w:sz w:val="23"/>
                <w:szCs w:val="23"/>
                <w:highlight w:val="none"/>
              </w:rPr>
              <w:t>人将以《中华人民共和国招标投标法》、《中华人民共和国招标投标法实</w:t>
            </w:r>
            <w:r>
              <w:rPr>
                <w:rFonts w:ascii="宋体" w:hAnsi="宋体" w:eastAsia="宋体" w:cs="宋体"/>
                <w:color w:val="auto"/>
                <w:sz w:val="23"/>
                <w:szCs w:val="23"/>
                <w:highlight w:val="none"/>
              </w:rPr>
              <w:t xml:space="preserve"> </w:t>
            </w:r>
            <w:r>
              <w:rPr>
                <w:rFonts w:ascii="宋体" w:hAnsi="宋体" w:eastAsia="宋体" w:cs="宋体"/>
                <w:color w:val="auto"/>
                <w:spacing w:val="6"/>
                <w:sz w:val="23"/>
                <w:szCs w:val="23"/>
                <w:highlight w:val="none"/>
              </w:rPr>
              <w:t>施条例</w:t>
            </w:r>
            <w:r>
              <w:rPr>
                <w:rFonts w:ascii="宋体" w:hAnsi="宋体" w:eastAsia="宋体" w:cs="宋体"/>
                <w:color w:val="auto"/>
                <w:spacing w:val="4"/>
                <w:sz w:val="23"/>
                <w:szCs w:val="23"/>
                <w:highlight w:val="none"/>
              </w:rPr>
              <w:t>》</w:t>
            </w:r>
            <w:r>
              <w:rPr>
                <w:rFonts w:ascii="宋体" w:hAnsi="宋体" w:eastAsia="宋体" w:cs="宋体"/>
                <w:color w:val="auto"/>
                <w:spacing w:val="3"/>
                <w:sz w:val="23"/>
                <w:szCs w:val="23"/>
                <w:highlight w:val="none"/>
              </w:rPr>
              <w:t>为依据，参照《公路工程建设项目招标投标管理办法》重新组织招标；</w:t>
            </w:r>
            <w:r>
              <w:rPr>
                <w:rFonts w:ascii="宋体" w:hAnsi="宋体" w:eastAsia="宋体" w:cs="宋体"/>
                <w:color w:val="auto"/>
                <w:sz w:val="23"/>
                <w:szCs w:val="23"/>
                <w:highlight w:val="none"/>
              </w:rPr>
              <w:t xml:space="preserve"> </w:t>
            </w:r>
            <w:r>
              <w:rPr>
                <w:rFonts w:ascii="宋体" w:hAnsi="宋体" w:eastAsia="宋体" w:cs="宋体"/>
                <w:color w:val="auto"/>
                <w:spacing w:val="4"/>
                <w:sz w:val="23"/>
                <w:szCs w:val="23"/>
                <w:highlight w:val="none"/>
              </w:rPr>
              <w:t xml:space="preserve">如果根据投标人须知第 </w:t>
            </w:r>
            <w:r>
              <w:rPr>
                <w:rFonts w:ascii="Times New Roman" w:hAnsi="Times New Roman" w:eastAsia="Times New Roman" w:cs="Times New Roman"/>
                <w:color w:val="auto"/>
                <w:spacing w:val="3"/>
                <w:sz w:val="23"/>
                <w:szCs w:val="23"/>
                <w:highlight w:val="none"/>
              </w:rPr>
              <w:t>7</w:t>
            </w:r>
            <w:r>
              <w:rPr>
                <w:rFonts w:ascii="Times New Roman" w:hAnsi="Times New Roman" w:eastAsia="Times New Roman" w:cs="Times New Roman"/>
                <w:color w:val="auto"/>
                <w:spacing w:val="2"/>
                <w:sz w:val="23"/>
                <w:szCs w:val="23"/>
                <w:highlight w:val="none"/>
              </w:rPr>
              <w:t xml:space="preserve">.7.2 </w:t>
            </w:r>
            <w:r>
              <w:rPr>
                <w:rFonts w:ascii="宋体" w:hAnsi="宋体" w:eastAsia="宋体" w:cs="宋体"/>
                <w:color w:val="auto"/>
                <w:spacing w:val="2"/>
                <w:sz w:val="23"/>
                <w:szCs w:val="23"/>
                <w:highlight w:val="none"/>
              </w:rPr>
              <w:t xml:space="preserve">项或第 </w:t>
            </w:r>
            <w:r>
              <w:rPr>
                <w:rFonts w:ascii="Times New Roman" w:hAnsi="Times New Roman" w:eastAsia="Times New Roman" w:cs="Times New Roman"/>
                <w:color w:val="auto"/>
                <w:spacing w:val="2"/>
                <w:sz w:val="23"/>
                <w:szCs w:val="23"/>
                <w:highlight w:val="none"/>
              </w:rPr>
              <w:t xml:space="preserve">7.8. 1 </w:t>
            </w:r>
            <w:r>
              <w:rPr>
                <w:rFonts w:ascii="宋体" w:hAnsi="宋体" w:eastAsia="宋体" w:cs="宋体"/>
                <w:color w:val="auto"/>
                <w:spacing w:val="2"/>
                <w:sz w:val="23"/>
                <w:szCs w:val="23"/>
                <w:highlight w:val="none"/>
              </w:rPr>
              <w:t>项规定，招标人取消了中标人的中标</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资</w:t>
            </w:r>
            <w:r>
              <w:rPr>
                <w:rFonts w:ascii="宋体" w:hAnsi="宋体" w:eastAsia="宋体" w:cs="宋体"/>
                <w:color w:val="auto"/>
                <w:spacing w:val="11"/>
                <w:sz w:val="23"/>
                <w:szCs w:val="23"/>
                <w:highlight w:val="none"/>
              </w:rPr>
              <w:t>格</w:t>
            </w:r>
            <w:r>
              <w:rPr>
                <w:rFonts w:ascii="宋体" w:hAnsi="宋体" w:eastAsia="宋体" w:cs="宋体"/>
                <w:color w:val="auto"/>
                <w:spacing w:val="8"/>
                <w:sz w:val="23"/>
                <w:szCs w:val="23"/>
                <w:highlight w:val="none"/>
              </w:rPr>
              <w:t>，招标人可将合同授予下一个中标候选人，或者以《中华人民共和国招标</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投</w:t>
            </w:r>
            <w:r>
              <w:rPr>
                <w:rFonts w:ascii="宋体" w:hAnsi="宋体" w:eastAsia="宋体" w:cs="宋体"/>
                <w:color w:val="auto"/>
                <w:spacing w:val="11"/>
                <w:sz w:val="23"/>
                <w:szCs w:val="23"/>
                <w:highlight w:val="none"/>
              </w:rPr>
              <w:t>标</w:t>
            </w:r>
            <w:r>
              <w:rPr>
                <w:rFonts w:ascii="宋体" w:hAnsi="宋体" w:eastAsia="宋体" w:cs="宋体"/>
                <w:color w:val="auto"/>
                <w:spacing w:val="8"/>
                <w:sz w:val="23"/>
                <w:szCs w:val="23"/>
                <w:highlight w:val="none"/>
              </w:rPr>
              <w:t>法》、《中华人民共和国招标投标法实施条例》为依据，参照《公路工程</w:t>
            </w:r>
            <w:r>
              <w:rPr>
                <w:rFonts w:ascii="宋体" w:hAnsi="宋体" w:eastAsia="宋体" w:cs="宋体"/>
                <w:color w:val="auto"/>
                <w:sz w:val="23"/>
                <w:szCs w:val="23"/>
                <w:highlight w:val="none"/>
              </w:rPr>
              <w:t xml:space="preserve"> </w:t>
            </w:r>
            <w:r>
              <w:rPr>
                <w:rFonts w:ascii="宋体" w:hAnsi="宋体" w:eastAsia="宋体" w:cs="宋体"/>
                <w:color w:val="auto"/>
                <w:spacing w:val="10"/>
                <w:sz w:val="23"/>
                <w:szCs w:val="23"/>
                <w:highlight w:val="none"/>
              </w:rPr>
              <w:t>建</w:t>
            </w:r>
            <w:r>
              <w:rPr>
                <w:rFonts w:ascii="宋体" w:hAnsi="宋体" w:eastAsia="宋体" w:cs="宋体"/>
                <w:color w:val="auto"/>
                <w:spacing w:val="9"/>
                <w:sz w:val="23"/>
                <w:szCs w:val="23"/>
                <w:highlight w:val="none"/>
              </w:rPr>
              <w:t>设项目招标投标管理办法》重新组织招标。</w:t>
            </w:r>
          </w:p>
          <w:p w14:paraId="27EE2234">
            <w:pPr>
              <w:spacing w:line="295" w:lineRule="auto"/>
              <w:rPr>
                <w:rFonts w:ascii="Arial"/>
                <w:color w:val="auto"/>
                <w:sz w:val="21"/>
                <w:highlight w:val="none"/>
              </w:rPr>
            </w:pPr>
          </w:p>
          <w:p w14:paraId="734AC149">
            <w:pPr>
              <w:spacing w:before="75" w:line="227" w:lineRule="auto"/>
              <w:ind w:left="585"/>
              <w:rPr>
                <w:rFonts w:ascii="宋体" w:hAnsi="宋体" w:eastAsia="宋体" w:cs="宋体"/>
                <w:color w:val="auto"/>
                <w:sz w:val="23"/>
                <w:szCs w:val="23"/>
                <w:highlight w:val="none"/>
              </w:rPr>
            </w:pPr>
            <w:r>
              <w:rPr>
                <w:rFonts w:ascii="宋体" w:hAnsi="宋体" w:eastAsia="宋体" w:cs="宋体"/>
                <w:color w:val="auto"/>
                <w:spacing w:val="-1"/>
                <w:sz w:val="23"/>
                <w:szCs w:val="23"/>
                <w:highlight w:val="none"/>
              </w:rPr>
              <w:t>补充</w:t>
            </w:r>
            <w:r>
              <w:rPr>
                <w:rFonts w:ascii="宋体" w:hAnsi="宋体" w:eastAsia="宋体" w:cs="宋体"/>
                <w:color w:val="auto"/>
                <w:sz w:val="23"/>
                <w:szCs w:val="23"/>
                <w:highlight w:val="none"/>
              </w:rPr>
              <w:t xml:space="preserve">第 </w:t>
            </w:r>
            <w:r>
              <w:rPr>
                <w:rFonts w:ascii="Times New Roman" w:hAnsi="Times New Roman" w:eastAsia="Times New Roman" w:cs="Times New Roman"/>
                <w:color w:val="auto"/>
                <w:sz w:val="23"/>
                <w:szCs w:val="23"/>
                <w:highlight w:val="none"/>
              </w:rPr>
              <w:t xml:space="preserve">7.8.8 </w:t>
            </w:r>
            <w:r>
              <w:rPr>
                <w:rFonts w:ascii="宋体" w:hAnsi="宋体" w:eastAsia="宋体" w:cs="宋体"/>
                <w:color w:val="auto"/>
                <w:sz w:val="23"/>
                <w:szCs w:val="23"/>
                <w:highlight w:val="none"/>
              </w:rPr>
              <w:t>项：</w:t>
            </w:r>
          </w:p>
          <w:p w14:paraId="1963AFA5">
            <w:pPr>
              <w:spacing w:before="117" w:line="230" w:lineRule="auto"/>
              <w:ind w:left="585"/>
              <w:rPr>
                <w:rFonts w:ascii="黑体" w:hAnsi="黑体" w:eastAsia="黑体" w:cs="黑体"/>
                <w:color w:val="auto"/>
                <w:sz w:val="23"/>
                <w:szCs w:val="23"/>
                <w:highlight w:val="none"/>
              </w:rPr>
            </w:pPr>
            <w:r>
              <w:rPr>
                <w:rFonts w:ascii="Times New Roman" w:hAnsi="Times New Roman" w:eastAsia="Times New Roman" w:cs="Times New Roman"/>
                <w:color w:val="auto"/>
                <w:spacing w:val="12"/>
                <w:sz w:val="23"/>
                <w:szCs w:val="23"/>
                <w:highlight w:val="none"/>
              </w:rPr>
              <w:t>7</w:t>
            </w:r>
            <w:r>
              <w:rPr>
                <w:rFonts w:ascii="Times New Roman" w:hAnsi="Times New Roman" w:eastAsia="Times New Roman" w:cs="Times New Roman"/>
                <w:color w:val="auto"/>
                <w:spacing w:val="9"/>
                <w:sz w:val="23"/>
                <w:szCs w:val="23"/>
                <w:highlight w:val="none"/>
              </w:rPr>
              <w:t>.</w:t>
            </w:r>
            <w:r>
              <w:rPr>
                <w:rFonts w:ascii="Times New Roman" w:hAnsi="Times New Roman" w:eastAsia="Times New Roman" w:cs="Times New Roman"/>
                <w:color w:val="auto"/>
                <w:spacing w:val="6"/>
                <w:sz w:val="23"/>
                <w:szCs w:val="23"/>
                <w:highlight w:val="none"/>
              </w:rPr>
              <w:t xml:space="preserve">8.8 </w:t>
            </w:r>
            <w:r>
              <w:rPr>
                <w:rFonts w:ascii="黑体" w:hAnsi="黑体" w:eastAsia="黑体" w:cs="黑体"/>
                <w:color w:val="auto"/>
                <w:spacing w:val="6"/>
                <w:sz w:val="23"/>
                <w:szCs w:val="23"/>
                <w:highlight w:val="none"/>
              </w:rPr>
              <w:t>不平衡单价的调整</w:t>
            </w:r>
          </w:p>
          <w:p w14:paraId="3D2038A7">
            <w:pPr>
              <w:spacing w:before="114" w:line="321" w:lineRule="auto"/>
              <w:ind w:left="106" w:right="97" w:firstLine="482"/>
              <w:rPr>
                <w:rFonts w:hint="default" w:ascii="宋体" w:hAnsi="宋体" w:eastAsia="宋体" w:cs="宋体"/>
                <w:color w:val="auto"/>
                <w:spacing w:val="18"/>
                <w:kern w:val="2"/>
                <w:sz w:val="23"/>
                <w:szCs w:val="23"/>
                <w:highlight w:val="none"/>
                <w:lang w:val="en-US" w:eastAsia="zh-CN" w:bidi="ar-SA"/>
              </w:rPr>
            </w:pPr>
            <w:r>
              <w:rPr>
                <w:rFonts w:ascii="宋体" w:hAnsi="宋体" w:eastAsia="宋体" w:cs="宋体"/>
                <w:color w:val="auto"/>
                <w:spacing w:val="30"/>
                <w:sz w:val="23"/>
                <w:szCs w:val="23"/>
                <w:highlight w:val="none"/>
              </w:rPr>
              <w:t>如</w:t>
            </w:r>
            <w:r>
              <w:rPr>
                <w:rFonts w:ascii="宋体" w:hAnsi="宋体" w:eastAsia="宋体" w:cs="宋体"/>
                <w:color w:val="auto"/>
                <w:spacing w:val="23"/>
                <w:sz w:val="23"/>
                <w:szCs w:val="23"/>
                <w:highlight w:val="none"/>
              </w:rPr>
              <w:t>果</w:t>
            </w:r>
            <w:r>
              <w:rPr>
                <w:rFonts w:ascii="宋体" w:hAnsi="宋体" w:eastAsia="宋体" w:cs="宋体"/>
                <w:color w:val="auto"/>
                <w:spacing w:val="15"/>
                <w:sz w:val="23"/>
                <w:szCs w:val="23"/>
                <w:highlight w:val="none"/>
              </w:rPr>
              <w:t>招标人在评标结束后发现并认为中标人工程量清单中某些子目的单</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价</w:t>
            </w:r>
            <w:r>
              <w:rPr>
                <w:rFonts w:ascii="宋体" w:hAnsi="宋体" w:eastAsia="宋体" w:cs="宋体"/>
                <w:color w:val="auto"/>
                <w:spacing w:val="9"/>
                <w:sz w:val="23"/>
                <w:szCs w:val="23"/>
                <w:highlight w:val="none"/>
              </w:rPr>
              <w:t>不</w:t>
            </w:r>
            <w:r>
              <w:rPr>
                <w:rFonts w:ascii="宋体" w:hAnsi="宋体" w:eastAsia="宋体" w:cs="宋体"/>
                <w:color w:val="auto"/>
                <w:spacing w:val="8"/>
                <w:sz w:val="23"/>
                <w:szCs w:val="23"/>
                <w:highlight w:val="none"/>
              </w:rPr>
              <w:t>合理，则招标人可以要求中标人就该类子目的报价进行澄清，或提供详细</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的</w:t>
            </w:r>
            <w:r>
              <w:rPr>
                <w:rFonts w:ascii="宋体" w:hAnsi="宋体" w:eastAsia="宋体" w:cs="宋体"/>
                <w:color w:val="auto"/>
                <w:spacing w:val="9"/>
                <w:sz w:val="23"/>
                <w:szCs w:val="23"/>
                <w:highlight w:val="none"/>
              </w:rPr>
              <w:t>价</w:t>
            </w:r>
            <w:r>
              <w:rPr>
                <w:rFonts w:ascii="宋体" w:hAnsi="宋体" w:eastAsia="宋体" w:cs="宋体"/>
                <w:color w:val="auto"/>
                <w:spacing w:val="8"/>
                <w:sz w:val="23"/>
                <w:szCs w:val="23"/>
                <w:highlight w:val="none"/>
              </w:rPr>
              <w:t>格分析以证明这些价格在建议的施工方法和计划的条件下具有合理性。如</w:t>
            </w:r>
            <w:r>
              <w:rPr>
                <w:rFonts w:ascii="宋体" w:hAnsi="宋体" w:eastAsia="宋体" w:cs="宋体"/>
                <w:color w:val="auto"/>
                <w:sz w:val="23"/>
                <w:szCs w:val="23"/>
                <w:highlight w:val="none"/>
              </w:rPr>
              <w:t xml:space="preserve"> </w:t>
            </w:r>
            <w:r>
              <w:rPr>
                <w:rFonts w:ascii="宋体" w:hAnsi="宋体" w:eastAsia="宋体" w:cs="宋体"/>
                <w:color w:val="auto"/>
                <w:spacing w:val="16"/>
                <w:sz w:val="23"/>
                <w:szCs w:val="23"/>
                <w:highlight w:val="none"/>
              </w:rPr>
              <w:t>不</w:t>
            </w:r>
            <w:r>
              <w:rPr>
                <w:rFonts w:ascii="宋体" w:hAnsi="宋体" w:eastAsia="宋体" w:cs="宋体"/>
                <w:color w:val="auto"/>
                <w:spacing w:val="9"/>
                <w:sz w:val="23"/>
                <w:szCs w:val="23"/>
                <w:highlight w:val="none"/>
              </w:rPr>
              <w:t>能</w:t>
            </w:r>
            <w:r>
              <w:rPr>
                <w:rFonts w:ascii="宋体" w:hAnsi="宋体" w:eastAsia="宋体" w:cs="宋体"/>
                <w:color w:val="auto"/>
                <w:spacing w:val="8"/>
                <w:sz w:val="23"/>
                <w:szCs w:val="23"/>
                <w:highlight w:val="none"/>
              </w:rPr>
              <w:t>证明其合理性，则在签订合同前进行澄清谈判时，招标人将有权按照总价</w:t>
            </w:r>
            <w:r>
              <w:rPr>
                <w:rFonts w:ascii="宋体" w:hAnsi="宋体" w:eastAsia="宋体" w:cs="宋体"/>
                <w:color w:val="auto"/>
                <w:spacing w:val="14"/>
                <w:sz w:val="23"/>
                <w:szCs w:val="23"/>
                <w:highlight w:val="none"/>
              </w:rPr>
              <w:t>不</w:t>
            </w:r>
            <w:r>
              <w:rPr>
                <w:rFonts w:ascii="宋体" w:hAnsi="宋体" w:eastAsia="宋体" w:cs="宋体"/>
                <w:color w:val="auto"/>
                <w:spacing w:val="8"/>
                <w:sz w:val="23"/>
                <w:szCs w:val="23"/>
                <w:highlight w:val="none"/>
              </w:rPr>
              <w:t>变的原则对有关单价进行调整。</w:t>
            </w:r>
          </w:p>
        </w:tc>
      </w:tr>
      <w:tr w14:paraId="7B80342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ED236F9">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C83D6AB">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w:t>
            </w:r>
            <w:r>
              <w:rPr>
                <w:rFonts w:hint="eastAsia" w:cs="Times New Roman"/>
                <w:sz w:val="23"/>
                <w:szCs w:val="23"/>
                <w:highlight w:val="none"/>
                <w:lang w:val="en-US" w:eastAsia="zh-CN"/>
              </w:rPr>
              <w:t>5</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4AE69CC3">
            <w:pPr>
              <w:spacing w:before="114" w:line="231" w:lineRule="auto"/>
              <w:ind w:left="584"/>
              <w:rPr>
                <w:rFonts w:ascii="黑体" w:hAnsi="黑体" w:eastAsia="黑体" w:cs="黑体"/>
                <w:sz w:val="23"/>
                <w:szCs w:val="23"/>
                <w:highlight w:val="none"/>
              </w:rPr>
            </w:pPr>
            <w:r>
              <w:rPr>
                <w:rFonts w:ascii="黑体" w:hAnsi="黑体" w:eastAsia="黑体" w:cs="黑体"/>
                <w:spacing w:val="18"/>
                <w:sz w:val="23"/>
                <w:szCs w:val="23"/>
                <w:highlight w:val="none"/>
              </w:rPr>
              <w:t>任</w:t>
            </w:r>
            <w:r>
              <w:rPr>
                <w:rFonts w:ascii="黑体" w:hAnsi="黑体" w:eastAsia="黑体" w:cs="黑体"/>
                <w:spacing w:val="9"/>
                <w:sz w:val="23"/>
                <w:szCs w:val="23"/>
                <w:highlight w:val="none"/>
              </w:rPr>
              <w:t>一标段存在下列情形之一的，招标人将对对应标段重新招标：</w:t>
            </w:r>
          </w:p>
          <w:p w14:paraId="2B0CFFB3">
            <w:pPr>
              <w:spacing w:before="110" w:line="221" w:lineRule="auto"/>
              <w:ind w:left="486"/>
              <w:rPr>
                <w:rFonts w:ascii="黑体" w:hAnsi="黑体" w:eastAsia="黑体" w:cs="黑体"/>
                <w:sz w:val="23"/>
                <w:szCs w:val="23"/>
                <w:highlight w:val="none"/>
              </w:rPr>
            </w:pPr>
            <w:r>
              <w:rPr>
                <w:rFonts w:ascii="黑体" w:hAnsi="黑体" w:eastAsia="黑体" w:cs="黑体"/>
                <w:spacing w:val="18"/>
                <w:sz w:val="23"/>
                <w:szCs w:val="23"/>
                <w:highlight w:val="none"/>
              </w:rPr>
              <w:t>(</w:t>
            </w:r>
            <w:r>
              <w:rPr>
                <w:rFonts w:ascii="Times New Roman" w:hAnsi="Times New Roman" w:eastAsia="Times New Roman" w:cs="Times New Roman"/>
                <w:spacing w:val="18"/>
                <w:sz w:val="23"/>
                <w:szCs w:val="23"/>
                <w:highlight w:val="none"/>
              </w:rPr>
              <w:t>1</w:t>
            </w:r>
            <w:r>
              <w:rPr>
                <w:rFonts w:ascii="黑体" w:hAnsi="黑体" w:eastAsia="黑体" w:cs="黑体"/>
                <w:spacing w:val="9"/>
                <w:sz w:val="23"/>
                <w:szCs w:val="23"/>
                <w:highlight w:val="none"/>
              </w:rPr>
              <w:t xml:space="preserve">) 投标截止时间止，递交投标文件或投标保证金的投标人少于 </w:t>
            </w:r>
            <w:r>
              <w:rPr>
                <w:rFonts w:ascii="Times New Roman" w:hAnsi="Times New Roman" w:eastAsia="Times New Roman" w:cs="Times New Roman"/>
                <w:spacing w:val="9"/>
                <w:sz w:val="23"/>
                <w:szCs w:val="23"/>
                <w:highlight w:val="none"/>
              </w:rPr>
              <w:t xml:space="preserve">3 </w:t>
            </w:r>
            <w:r>
              <w:rPr>
                <w:rFonts w:ascii="黑体" w:hAnsi="黑体" w:eastAsia="黑体" w:cs="黑体"/>
                <w:spacing w:val="9"/>
                <w:sz w:val="23"/>
                <w:szCs w:val="23"/>
                <w:highlight w:val="none"/>
              </w:rPr>
              <w:t>个的；</w:t>
            </w:r>
          </w:p>
          <w:p w14:paraId="08D6FD43">
            <w:pPr>
              <w:pageBreakBefore w:val="0"/>
              <w:kinsoku/>
              <w:wordWrap w:val="0"/>
              <w:bidi w:val="0"/>
              <w:spacing w:line="440" w:lineRule="exact"/>
              <w:ind w:firstLine="512" w:firstLineChars="200"/>
              <w:jc w:val="left"/>
              <w:rPr>
                <w:rFonts w:ascii="黑体" w:hAnsi="黑体" w:eastAsia="黑体" w:cs="黑体"/>
                <w:spacing w:val="9"/>
                <w:sz w:val="23"/>
                <w:szCs w:val="23"/>
                <w:highlight w:val="none"/>
              </w:rPr>
            </w:pPr>
            <w:r>
              <w:rPr>
                <w:rFonts w:ascii="黑体" w:hAnsi="黑体" w:eastAsia="黑体" w:cs="黑体"/>
                <w:spacing w:val="13"/>
                <w:sz w:val="23"/>
                <w:szCs w:val="23"/>
                <w:highlight w:val="none"/>
              </w:rPr>
              <w:t>(</w:t>
            </w:r>
            <w:r>
              <w:rPr>
                <w:rFonts w:ascii="Times New Roman" w:hAnsi="Times New Roman" w:eastAsia="Times New Roman" w:cs="Times New Roman"/>
                <w:spacing w:val="13"/>
                <w:sz w:val="23"/>
                <w:szCs w:val="23"/>
                <w:highlight w:val="none"/>
              </w:rPr>
              <w:t>2</w:t>
            </w:r>
            <w:r>
              <w:rPr>
                <w:rFonts w:ascii="黑体" w:hAnsi="黑体" w:eastAsia="黑体" w:cs="黑体"/>
                <w:spacing w:val="13"/>
                <w:sz w:val="23"/>
                <w:szCs w:val="23"/>
                <w:highlight w:val="none"/>
              </w:rPr>
              <w:t>) 经评标委员会评审后否决所有投标的</w:t>
            </w:r>
            <w:r>
              <w:rPr>
                <w:rFonts w:ascii="黑体" w:hAnsi="黑体" w:eastAsia="黑体" w:cs="黑体"/>
                <w:spacing w:val="9"/>
                <w:sz w:val="23"/>
                <w:szCs w:val="23"/>
                <w:highlight w:val="none"/>
              </w:rPr>
              <w:t>；</w:t>
            </w:r>
          </w:p>
          <w:p w14:paraId="65C48C9C">
            <w:pPr>
              <w:spacing w:before="111" w:line="221" w:lineRule="auto"/>
              <w:ind w:left="486"/>
              <w:rPr>
                <w:rFonts w:ascii="黑体" w:hAnsi="黑体" w:eastAsia="黑体" w:cs="黑体"/>
                <w:sz w:val="23"/>
                <w:szCs w:val="23"/>
                <w:highlight w:val="none"/>
              </w:rPr>
            </w:pPr>
            <w:r>
              <w:rPr>
                <w:rFonts w:ascii="黑体" w:hAnsi="黑体" w:eastAsia="黑体" w:cs="黑体"/>
                <w:spacing w:val="24"/>
                <w:sz w:val="23"/>
                <w:szCs w:val="23"/>
                <w:highlight w:val="none"/>
              </w:rPr>
              <w:t>(</w:t>
            </w:r>
            <w:r>
              <w:rPr>
                <w:rFonts w:ascii="Times New Roman" w:hAnsi="Times New Roman" w:eastAsia="Times New Roman" w:cs="Times New Roman"/>
                <w:spacing w:val="13"/>
                <w:sz w:val="23"/>
                <w:szCs w:val="23"/>
                <w:highlight w:val="none"/>
              </w:rPr>
              <w:t>3</w:t>
            </w:r>
            <w:r>
              <w:rPr>
                <w:rFonts w:ascii="黑体" w:hAnsi="黑体" w:eastAsia="黑体" w:cs="黑体"/>
                <w:spacing w:val="12"/>
                <w:sz w:val="23"/>
                <w:szCs w:val="23"/>
                <w:highlight w:val="none"/>
              </w:rPr>
              <w:t>) 经评标委员会评审后未推荐中标候选人的；</w:t>
            </w:r>
          </w:p>
          <w:p w14:paraId="3F49B88E">
            <w:pPr>
              <w:spacing w:before="125" w:line="221" w:lineRule="auto"/>
              <w:ind w:left="486"/>
              <w:rPr>
                <w:rFonts w:ascii="黑体" w:hAnsi="黑体" w:eastAsia="黑体" w:cs="黑体"/>
                <w:sz w:val="23"/>
                <w:szCs w:val="23"/>
                <w:highlight w:val="none"/>
              </w:rPr>
            </w:pPr>
            <w:r>
              <w:rPr>
                <w:rFonts w:ascii="黑体" w:hAnsi="黑体" w:eastAsia="黑体" w:cs="黑体"/>
                <w:spacing w:val="13"/>
                <w:sz w:val="23"/>
                <w:szCs w:val="23"/>
                <w:highlight w:val="none"/>
              </w:rPr>
              <w:t>(</w:t>
            </w:r>
            <w:r>
              <w:rPr>
                <w:rFonts w:ascii="Times New Roman" w:hAnsi="Times New Roman" w:eastAsia="Times New Roman" w:cs="Times New Roman"/>
                <w:spacing w:val="13"/>
                <w:sz w:val="23"/>
                <w:szCs w:val="23"/>
                <w:highlight w:val="none"/>
              </w:rPr>
              <w:t>4</w:t>
            </w:r>
            <w:r>
              <w:rPr>
                <w:rFonts w:ascii="黑体" w:hAnsi="黑体" w:eastAsia="黑体" w:cs="黑体"/>
                <w:spacing w:val="13"/>
                <w:sz w:val="23"/>
                <w:szCs w:val="23"/>
                <w:highlight w:val="none"/>
              </w:rPr>
              <w:t>) 中标候选人均未与招标人签订合同的</w:t>
            </w:r>
            <w:r>
              <w:rPr>
                <w:rFonts w:ascii="黑体" w:hAnsi="黑体" w:eastAsia="黑体" w:cs="黑体"/>
                <w:spacing w:val="9"/>
                <w:sz w:val="23"/>
                <w:szCs w:val="23"/>
                <w:highlight w:val="none"/>
              </w:rPr>
              <w:t>；</w:t>
            </w:r>
          </w:p>
          <w:p w14:paraId="58195BCC">
            <w:pPr>
              <w:pageBreakBefore w:val="0"/>
              <w:kinsoku/>
              <w:wordWrap w:val="0"/>
              <w:bidi w:val="0"/>
              <w:spacing w:line="440" w:lineRule="exact"/>
              <w:ind w:firstLine="528" w:firstLineChars="200"/>
              <w:jc w:val="left"/>
              <w:rPr>
                <w:rFonts w:hint="default" w:ascii="黑体" w:hAnsi="黑体" w:eastAsia="黑体" w:cs="黑体"/>
                <w:color w:val="auto"/>
                <w:spacing w:val="9"/>
                <w:kern w:val="2"/>
                <w:sz w:val="23"/>
                <w:szCs w:val="23"/>
                <w:highlight w:val="none"/>
                <w:lang w:val="en-US" w:eastAsia="zh-CN" w:bidi="ar-SA"/>
              </w:rPr>
            </w:pPr>
            <w:r>
              <w:rPr>
                <w:rFonts w:ascii="黑体" w:hAnsi="黑体" w:eastAsia="黑体" w:cs="黑体"/>
                <w:spacing w:val="17"/>
                <w:sz w:val="23"/>
                <w:szCs w:val="23"/>
                <w:highlight w:val="none"/>
              </w:rPr>
              <w:t>(</w:t>
            </w:r>
            <w:r>
              <w:rPr>
                <w:rFonts w:ascii="Times New Roman" w:hAnsi="Times New Roman" w:eastAsia="Times New Roman" w:cs="Times New Roman"/>
                <w:spacing w:val="14"/>
                <w:sz w:val="23"/>
                <w:szCs w:val="23"/>
                <w:highlight w:val="none"/>
              </w:rPr>
              <w:t>5</w:t>
            </w:r>
            <w:r>
              <w:rPr>
                <w:rFonts w:ascii="黑体" w:hAnsi="黑体" w:eastAsia="黑体" w:cs="黑体"/>
                <w:spacing w:val="14"/>
                <w:sz w:val="23"/>
                <w:szCs w:val="23"/>
                <w:highlight w:val="none"/>
              </w:rPr>
              <w:t>) 法律规定的其他情形。</w:t>
            </w:r>
          </w:p>
        </w:tc>
      </w:tr>
      <w:tr w14:paraId="0F57F1B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ABF0DCF">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0F1FCC70">
            <w:pPr>
              <w:spacing w:before="112"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w:t>
            </w:r>
            <w:r>
              <w:rPr>
                <w:rFonts w:hint="eastAsia" w:cs="Times New Roman"/>
                <w:sz w:val="23"/>
                <w:szCs w:val="23"/>
                <w:highlight w:val="none"/>
                <w:lang w:val="en-US" w:eastAsia="zh-CN"/>
              </w:rPr>
              <w:t>6</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4D78DA02">
            <w:pPr>
              <w:spacing w:before="114" w:line="275" w:lineRule="auto"/>
              <w:ind w:left="104" w:leftChars="0" w:right="97" w:rightChars="0" w:firstLine="478" w:firstLineChars="0"/>
              <w:rPr>
                <w:rFonts w:hint="default" w:ascii="黑体" w:hAnsi="黑体" w:eastAsia="黑体" w:cs="黑体"/>
                <w:color w:val="auto"/>
                <w:spacing w:val="17"/>
                <w:kern w:val="2"/>
                <w:sz w:val="23"/>
                <w:szCs w:val="23"/>
                <w:highlight w:val="none"/>
                <w:lang w:val="en-US" w:eastAsia="zh-CN" w:bidi="ar-SA"/>
              </w:rPr>
            </w:pPr>
            <w:r>
              <w:rPr>
                <w:rFonts w:ascii="黑体" w:hAnsi="黑体" w:eastAsia="黑体" w:cs="黑体"/>
                <w:spacing w:val="16"/>
                <w:sz w:val="23"/>
                <w:szCs w:val="23"/>
                <w:highlight w:val="none"/>
              </w:rPr>
              <w:t>构</w:t>
            </w:r>
            <w:r>
              <w:rPr>
                <w:rFonts w:ascii="黑体" w:hAnsi="黑体" w:eastAsia="黑体" w:cs="黑体"/>
                <w:spacing w:val="9"/>
                <w:sz w:val="23"/>
                <w:szCs w:val="23"/>
                <w:highlight w:val="none"/>
              </w:rPr>
              <w:t>成</w:t>
            </w:r>
            <w:r>
              <w:rPr>
                <w:rFonts w:ascii="黑体" w:hAnsi="黑体" w:eastAsia="黑体" w:cs="黑体"/>
                <w:spacing w:val="8"/>
                <w:sz w:val="23"/>
                <w:szCs w:val="23"/>
                <w:highlight w:val="none"/>
              </w:rPr>
              <w:t>本招标文件各个组成部分的文件，未经招标人书面同意，投标人不得</w:t>
            </w:r>
            <w:r>
              <w:rPr>
                <w:rFonts w:ascii="黑体" w:hAnsi="黑体" w:eastAsia="黑体" w:cs="黑体"/>
                <w:spacing w:val="11"/>
                <w:sz w:val="23"/>
                <w:szCs w:val="23"/>
                <w:highlight w:val="none"/>
              </w:rPr>
              <w:t>擅</w:t>
            </w:r>
            <w:r>
              <w:rPr>
                <w:rFonts w:ascii="黑体" w:hAnsi="黑体" w:eastAsia="黑体" w:cs="黑体"/>
                <w:spacing w:val="9"/>
                <w:sz w:val="23"/>
                <w:szCs w:val="23"/>
                <w:highlight w:val="none"/>
              </w:rPr>
              <w:t>自复印和用于非本招标项目所需的其他目的。</w:t>
            </w:r>
          </w:p>
        </w:tc>
      </w:tr>
      <w:tr w14:paraId="026BAFB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61A71E1">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5D7B868F">
            <w:pPr>
              <w:spacing w:before="115"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w:t>
            </w:r>
            <w:r>
              <w:rPr>
                <w:rFonts w:hint="eastAsia" w:cs="Times New Roman"/>
                <w:sz w:val="23"/>
                <w:szCs w:val="23"/>
                <w:highlight w:val="none"/>
                <w:lang w:val="en-US" w:eastAsia="zh-CN"/>
              </w:rPr>
              <w:t>7</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5E7BC791">
            <w:pPr>
              <w:spacing w:before="109" w:line="303" w:lineRule="auto"/>
              <w:ind w:left="103" w:leftChars="0" w:firstLine="471" w:firstLineChars="0"/>
              <w:rPr>
                <w:rFonts w:hint="default" w:ascii="黑体" w:hAnsi="黑体" w:eastAsia="黑体" w:cs="黑体"/>
                <w:color w:val="auto"/>
                <w:spacing w:val="17"/>
                <w:kern w:val="2"/>
                <w:sz w:val="23"/>
                <w:szCs w:val="23"/>
                <w:highlight w:val="none"/>
                <w:lang w:val="en-US" w:eastAsia="zh-CN" w:bidi="ar-SA"/>
              </w:rPr>
            </w:pPr>
            <w:r>
              <w:rPr>
                <w:rFonts w:ascii="黑体" w:hAnsi="黑体" w:eastAsia="黑体" w:cs="黑体"/>
                <w:spacing w:val="14"/>
                <w:sz w:val="23"/>
                <w:szCs w:val="23"/>
                <w:highlight w:val="none"/>
              </w:rPr>
              <w:t>构成</w:t>
            </w:r>
            <w:r>
              <w:rPr>
                <w:rFonts w:ascii="黑体" w:hAnsi="黑体" w:eastAsia="黑体" w:cs="黑体"/>
                <w:spacing w:val="8"/>
                <w:sz w:val="23"/>
                <w:szCs w:val="23"/>
                <w:highlight w:val="none"/>
              </w:rPr>
              <w:t>招</w:t>
            </w:r>
            <w:r>
              <w:rPr>
                <w:rFonts w:ascii="黑体" w:hAnsi="黑体" w:eastAsia="黑体" w:cs="黑体"/>
                <w:spacing w:val="7"/>
                <w:sz w:val="23"/>
                <w:szCs w:val="23"/>
                <w:highlight w:val="none"/>
              </w:rPr>
              <w:t>标文件组成部分的第二章、第四章</w:t>
            </w:r>
            <w:r>
              <w:rPr>
                <w:rFonts w:ascii="Times New Roman" w:hAnsi="Times New Roman" w:eastAsia="Times New Roman" w:cs="Times New Roman"/>
                <w:spacing w:val="7"/>
                <w:sz w:val="23"/>
                <w:szCs w:val="23"/>
                <w:highlight w:val="none"/>
              </w:rPr>
              <w:t>~</w:t>
            </w:r>
            <w:r>
              <w:rPr>
                <w:rFonts w:ascii="黑体" w:hAnsi="黑体" w:eastAsia="黑体" w:cs="黑体"/>
                <w:spacing w:val="7"/>
                <w:sz w:val="23"/>
                <w:szCs w:val="23"/>
                <w:highlight w:val="none"/>
              </w:rPr>
              <w:t>第八章中出现的措辞“发包人”</w:t>
            </w:r>
            <w:r>
              <w:rPr>
                <w:rFonts w:ascii="黑体" w:hAnsi="黑体" w:eastAsia="黑体" w:cs="黑体"/>
                <w:sz w:val="23"/>
                <w:szCs w:val="23"/>
                <w:highlight w:val="none"/>
              </w:rPr>
              <w:t xml:space="preserve"> </w:t>
            </w:r>
            <w:r>
              <w:rPr>
                <w:rFonts w:ascii="黑体" w:hAnsi="黑体" w:eastAsia="黑体" w:cs="黑体"/>
                <w:spacing w:val="1"/>
                <w:sz w:val="23"/>
                <w:szCs w:val="23"/>
                <w:highlight w:val="none"/>
              </w:rPr>
              <w:t>和“承包人”，在招标投标阶段应当分别按“招标人”和“投标人 (或中标人)”</w:t>
            </w:r>
            <w:r>
              <w:rPr>
                <w:rFonts w:ascii="黑体" w:hAnsi="黑体" w:eastAsia="黑体" w:cs="黑体"/>
                <w:sz w:val="23"/>
                <w:szCs w:val="23"/>
                <w:highlight w:val="none"/>
              </w:rPr>
              <w:t xml:space="preserve"> </w:t>
            </w:r>
            <w:r>
              <w:rPr>
                <w:rFonts w:ascii="黑体" w:hAnsi="黑体" w:eastAsia="黑体" w:cs="黑体"/>
                <w:spacing w:val="8"/>
                <w:sz w:val="23"/>
                <w:szCs w:val="23"/>
                <w:highlight w:val="none"/>
              </w:rPr>
              <w:t>进行理</w:t>
            </w:r>
            <w:r>
              <w:rPr>
                <w:rFonts w:ascii="黑体" w:hAnsi="黑体" w:eastAsia="黑体" w:cs="黑体"/>
                <w:spacing w:val="7"/>
                <w:sz w:val="23"/>
                <w:szCs w:val="23"/>
                <w:highlight w:val="none"/>
              </w:rPr>
              <w:t>解</w:t>
            </w:r>
            <w:r>
              <w:rPr>
                <w:rFonts w:ascii="黑体" w:hAnsi="黑体" w:eastAsia="黑体" w:cs="黑体"/>
                <w:spacing w:val="4"/>
                <w:sz w:val="23"/>
                <w:szCs w:val="23"/>
                <w:highlight w:val="none"/>
              </w:rPr>
              <w:t>；构成招标文件组成部分的第二章中出现的措辞“招标人”和“投标</w:t>
            </w:r>
            <w:r>
              <w:rPr>
                <w:rFonts w:ascii="黑体" w:hAnsi="黑体" w:eastAsia="黑体" w:cs="黑体"/>
                <w:spacing w:val="-4"/>
                <w:sz w:val="23"/>
                <w:szCs w:val="23"/>
                <w:highlight w:val="none"/>
              </w:rPr>
              <w:t xml:space="preserve">人 </w:t>
            </w:r>
            <w:r>
              <w:rPr>
                <w:rFonts w:ascii="黑体" w:hAnsi="黑体" w:eastAsia="黑体" w:cs="黑体"/>
                <w:spacing w:val="-3"/>
                <w:sz w:val="23"/>
                <w:szCs w:val="23"/>
                <w:highlight w:val="none"/>
              </w:rPr>
              <w:t>(</w:t>
            </w:r>
            <w:r>
              <w:rPr>
                <w:rFonts w:ascii="黑体" w:hAnsi="黑体" w:eastAsia="黑体" w:cs="黑体"/>
                <w:spacing w:val="-2"/>
                <w:sz w:val="23"/>
                <w:szCs w:val="23"/>
                <w:highlight w:val="none"/>
              </w:rPr>
              <w:t>或中标人) ”，且与合同文件相关的条款，在合同履约阶段应当分别按“发</w:t>
            </w:r>
            <w:r>
              <w:rPr>
                <w:rFonts w:ascii="黑体" w:hAnsi="黑体" w:eastAsia="黑体" w:cs="黑体"/>
                <w:spacing w:val="6"/>
                <w:sz w:val="23"/>
                <w:szCs w:val="23"/>
                <w:highlight w:val="none"/>
              </w:rPr>
              <w:t>包</w:t>
            </w:r>
            <w:r>
              <w:rPr>
                <w:rFonts w:ascii="黑体" w:hAnsi="黑体" w:eastAsia="黑体" w:cs="黑体"/>
                <w:spacing w:val="5"/>
                <w:sz w:val="23"/>
                <w:szCs w:val="23"/>
                <w:highlight w:val="none"/>
              </w:rPr>
              <w:t>人”和“承包人”进行理解。</w:t>
            </w:r>
          </w:p>
        </w:tc>
      </w:tr>
      <w:tr w14:paraId="0AF3EEBB">
        <w:tblPrEx>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tcPr>
          <w:p w14:paraId="6D627319">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472D236">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9.8</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150D6852">
            <w:pPr>
              <w:spacing w:before="110" w:line="308" w:lineRule="auto"/>
              <w:ind w:left="101" w:leftChars="0" w:right="97" w:rightChars="0" w:firstLine="481" w:firstLineChars="0"/>
              <w:rPr>
                <w:rFonts w:hint="default" w:ascii="黑体" w:hAnsi="黑体" w:eastAsia="黑体" w:cs="黑体"/>
                <w:color w:val="auto"/>
                <w:spacing w:val="17"/>
                <w:kern w:val="2"/>
                <w:sz w:val="23"/>
                <w:szCs w:val="23"/>
                <w:highlight w:val="none"/>
                <w:lang w:val="en-US" w:eastAsia="zh-CN" w:bidi="ar-SA"/>
              </w:rPr>
            </w:pPr>
            <w:r>
              <w:rPr>
                <w:rFonts w:ascii="黑体" w:hAnsi="黑体" w:eastAsia="黑体" w:cs="黑体"/>
                <w:spacing w:val="16"/>
                <w:sz w:val="23"/>
                <w:szCs w:val="23"/>
                <w:highlight w:val="none"/>
              </w:rPr>
              <w:t>构</w:t>
            </w:r>
            <w:r>
              <w:rPr>
                <w:rFonts w:ascii="黑体" w:hAnsi="黑体" w:eastAsia="黑体" w:cs="黑体"/>
                <w:spacing w:val="9"/>
                <w:sz w:val="23"/>
                <w:szCs w:val="23"/>
                <w:highlight w:val="none"/>
              </w:rPr>
              <w:t>成</w:t>
            </w:r>
            <w:r>
              <w:rPr>
                <w:rFonts w:ascii="黑体" w:hAnsi="黑体" w:eastAsia="黑体" w:cs="黑体"/>
                <w:spacing w:val="8"/>
                <w:sz w:val="23"/>
                <w:szCs w:val="23"/>
                <w:highlight w:val="none"/>
              </w:rPr>
              <w:t>本招标文件的各个组成文件应互为解释，互为说明；如有不明确或不</w:t>
            </w:r>
            <w:r>
              <w:rPr>
                <w:rFonts w:ascii="黑体" w:hAnsi="黑体" w:eastAsia="黑体" w:cs="黑体"/>
                <w:spacing w:val="16"/>
                <w:sz w:val="23"/>
                <w:szCs w:val="23"/>
                <w:highlight w:val="none"/>
              </w:rPr>
              <w:t>一</w:t>
            </w:r>
            <w:r>
              <w:rPr>
                <w:rFonts w:ascii="黑体" w:hAnsi="黑体" w:eastAsia="黑体" w:cs="黑体"/>
                <w:spacing w:val="15"/>
                <w:sz w:val="23"/>
                <w:szCs w:val="23"/>
                <w:highlight w:val="none"/>
              </w:rPr>
              <w:t>致</w:t>
            </w:r>
            <w:r>
              <w:rPr>
                <w:rFonts w:ascii="黑体" w:hAnsi="黑体" w:eastAsia="黑体" w:cs="黑体"/>
                <w:spacing w:val="8"/>
                <w:sz w:val="23"/>
                <w:szCs w:val="23"/>
                <w:highlight w:val="none"/>
              </w:rPr>
              <w:t>，构成合同文件组成内容的，以合同文件约定内容为准，且以合同协议书</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约</w:t>
            </w:r>
            <w:r>
              <w:rPr>
                <w:rFonts w:ascii="黑体" w:hAnsi="黑体" w:eastAsia="黑体" w:cs="黑体"/>
                <w:spacing w:val="15"/>
                <w:sz w:val="23"/>
                <w:szCs w:val="23"/>
                <w:highlight w:val="none"/>
              </w:rPr>
              <w:t>定</w:t>
            </w:r>
            <w:r>
              <w:rPr>
                <w:rFonts w:ascii="黑体" w:hAnsi="黑体" w:eastAsia="黑体" w:cs="黑体"/>
                <w:spacing w:val="8"/>
                <w:sz w:val="23"/>
                <w:szCs w:val="23"/>
                <w:highlight w:val="none"/>
              </w:rPr>
              <w:t>的合同文件优先顺序解释；除招标文件中有特别规定外，仅适用于招标投</w:t>
            </w:r>
            <w:r>
              <w:rPr>
                <w:rFonts w:ascii="黑体" w:hAnsi="黑体" w:eastAsia="黑体" w:cs="黑体"/>
                <w:sz w:val="23"/>
                <w:szCs w:val="23"/>
                <w:highlight w:val="none"/>
              </w:rPr>
              <w:t xml:space="preserve"> </w:t>
            </w:r>
            <w:r>
              <w:rPr>
                <w:rFonts w:ascii="黑体" w:hAnsi="黑体" w:eastAsia="黑体" w:cs="黑体"/>
                <w:spacing w:val="8"/>
                <w:sz w:val="23"/>
                <w:szCs w:val="23"/>
                <w:highlight w:val="none"/>
              </w:rPr>
              <w:t>标阶段的规定，按招标公告 (投标邀请书) 、投标人须知、评标办法、投标</w:t>
            </w:r>
            <w:r>
              <w:rPr>
                <w:rFonts w:ascii="黑体" w:hAnsi="黑体" w:eastAsia="黑体" w:cs="黑体"/>
                <w:spacing w:val="7"/>
                <w:sz w:val="23"/>
                <w:szCs w:val="23"/>
                <w:highlight w:val="none"/>
              </w:rPr>
              <w:t>文</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件</w:t>
            </w:r>
            <w:r>
              <w:rPr>
                <w:rFonts w:ascii="黑体" w:hAnsi="黑体" w:eastAsia="黑体" w:cs="黑体"/>
                <w:spacing w:val="15"/>
                <w:sz w:val="23"/>
                <w:szCs w:val="23"/>
                <w:highlight w:val="none"/>
              </w:rPr>
              <w:t>格</w:t>
            </w:r>
            <w:r>
              <w:rPr>
                <w:rFonts w:ascii="黑体" w:hAnsi="黑体" w:eastAsia="黑体" w:cs="黑体"/>
                <w:spacing w:val="8"/>
                <w:sz w:val="23"/>
                <w:szCs w:val="23"/>
                <w:highlight w:val="none"/>
              </w:rPr>
              <w:t>式的先后顺序解释；同一组成文件中就同一事项的规定或约定不一致的，</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以</w:t>
            </w:r>
            <w:r>
              <w:rPr>
                <w:rFonts w:ascii="黑体" w:hAnsi="黑体" w:eastAsia="黑体" w:cs="黑体"/>
                <w:spacing w:val="15"/>
                <w:sz w:val="23"/>
                <w:szCs w:val="23"/>
                <w:highlight w:val="none"/>
              </w:rPr>
              <w:t>编</w:t>
            </w:r>
            <w:r>
              <w:rPr>
                <w:rFonts w:ascii="黑体" w:hAnsi="黑体" w:eastAsia="黑体" w:cs="黑体"/>
                <w:spacing w:val="8"/>
                <w:sz w:val="23"/>
                <w:szCs w:val="23"/>
                <w:highlight w:val="none"/>
              </w:rPr>
              <w:t>排顺序在后者为准；同一组成文件不同版本之间有不一致的，以形成时间</w:t>
            </w:r>
            <w:r>
              <w:rPr>
                <w:rFonts w:ascii="黑体" w:hAnsi="黑体" w:eastAsia="黑体" w:cs="黑体"/>
                <w:sz w:val="23"/>
                <w:szCs w:val="23"/>
                <w:highlight w:val="none"/>
              </w:rPr>
              <w:t xml:space="preserve"> </w:t>
            </w:r>
            <w:r>
              <w:rPr>
                <w:rFonts w:ascii="黑体" w:hAnsi="黑体" w:eastAsia="黑体" w:cs="黑体"/>
                <w:spacing w:val="18"/>
                <w:sz w:val="23"/>
                <w:szCs w:val="23"/>
                <w:highlight w:val="none"/>
              </w:rPr>
              <w:t>在</w:t>
            </w:r>
            <w:r>
              <w:rPr>
                <w:rFonts w:ascii="黑体" w:hAnsi="黑体" w:eastAsia="黑体" w:cs="黑体"/>
                <w:spacing w:val="16"/>
                <w:sz w:val="23"/>
                <w:szCs w:val="23"/>
                <w:highlight w:val="none"/>
              </w:rPr>
              <w:t>后</w:t>
            </w:r>
            <w:r>
              <w:rPr>
                <w:rFonts w:ascii="黑体" w:hAnsi="黑体" w:eastAsia="黑体" w:cs="黑体"/>
                <w:spacing w:val="9"/>
                <w:sz w:val="23"/>
                <w:szCs w:val="23"/>
                <w:highlight w:val="none"/>
              </w:rPr>
              <w:t>者为准。按本款前述规定仍不能形成结论的，由招标人负责解释。</w:t>
            </w:r>
          </w:p>
        </w:tc>
      </w:tr>
      <w:tr w14:paraId="06130FAB">
        <w:tblPrEx>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tcPr>
          <w:p w14:paraId="2EC8C0E3">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011A705">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9.9</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06EFA4D6">
            <w:pPr>
              <w:tabs>
                <w:tab w:val="left" w:pos="140"/>
                <w:tab w:val="left" w:pos="143"/>
              </w:tabs>
              <w:spacing w:before="118" w:line="307" w:lineRule="auto"/>
              <w:ind w:firstLine="600" w:firstLineChars="0"/>
              <w:rPr>
                <w:rFonts w:hint="default" w:ascii="黑体" w:hAnsi="黑体" w:eastAsia="黑体" w:cs="黑体"/>
                <w:color w:val="auto"/>
                <w:spacing w:val="17"/>
                <w:kern w:val="2"/>
                <w:sz w:val="23"/>
                <w:szCs w:val="23"/>
                <w:highlight w:val="none"/>
                <w:lang w:val="en-US" w:eastAsia="zh-CN" w:bidi="ar-SA"/>
              </w:rPr>
            </w:pPr>
            <w:r>
              <w:rPr>
                <w:rFonts w:ascii="黑体" w:hAnsi="黑体" w:eastAsia="黑体" w:cs="黑体"/>
                <w:spacing w:val="16"/>
                <w:sz w:val="23"/>
                <w:szCs w:val="23"/>
                <w:highlight w:val="none"/>
              </w:rPr>
              <w:t>投标</w:t>
            </w:r>
            <w:r>
              <w:rPr>
                <w:rFonts w:ascii="黑体" w:hAnsi="黑体" w:eastAsia="黑体" w:cs="黑体"/>
                <w:spacing w:val="9"/>
                <w:sz w:val="23"/>
                <w:szCs w:val="23"/>
                <w:highlight w:val="none"/>
              </w:rPr>
              <w:t>人</w:t>
            </w:r>
            <w:r>
              <w:rPr>
                <w:rFonts w:ascii="黑体" w:hAnsi="黑体" w:eastAsia="黑体" w:cs="黑体"/>
                <w:spacing w:val="8"/>
                <w:sz w:val="23"/>
                <w:szCs w:val="23"/>
                <w:highlight w:val="none"/>
              </w:rPr>
              <w:t>中标后，应在收到中标通知书</w:t>
            </w:r>
            <w:r>
              <w:rPr>
                <w:rFonts w:hint="eastAsia" w:ascii="黑体" w:hAnsi="黑体" w:eastAsia="黑体" w:cs="黑体"/>
                <w:spacing w:val="8"/>
                <w:sz w:val="23"/>
                <w:szCs w:val="23"/>
                <w:highlight w:val="none"/>
                <w:lang w:val="en-US" w:eastAsia="zh-CN"/>
              </w:rPr>
              <w:t>时</w:t>
            </w:r>
            <w:r>
              <w:rPr>
                <w:rFonts w:ascii="黑体" w:hAnsi="黑体" w:eastAsia="黑体" w:cs="黑体"/>
                <w:spacing w:val="8"/>
                <w:sz w:val="23"/>
                <w:szCs w:val="23"/>
                <w:highlight w:val="none"/>
              </w:rPr>
              <w:t>向</w:t>
            </w:r>
            <w:r>
              <w:rPr>
                <w:rFonts w:ascii="黑体" w:hAnsi="黑体" w:eastAsia="黑体" w:cs="黑体"/>
                <w:sz w:val="23"/>
                <w:szCs w:val="23"/>
                <w:highlight w:val="none"/>
              </w:rPr>
              <w:t xml:space="preserve"> </w:t>
            </w:r>
            <w:r>
              <w:rPr>
                <w:rFonts w:ascii="黑体" w:hAnsi="黑体" w:eastAsia="黑体" w:cs="黑体"/>
                <w:spacing w:val="26"/>
                <w:sz w:val="23"/>
                <w:szCs w:val="23"/>
                <w:highlight w:val="none"/>
              </w:rPr>
              <w:t>招</w:t>
            </w:r>
            <w:r>
              <w:rPr>
                <w:rFonts w:ascii="黑体" w:hAnsi="黑体" w:eastAsia="黑体" w:cs="黑体"/>
                <w:spacing w:val="18"/>
                <w:sz w:val="23"/>
                <w:szCs w:val="23"/>
                <w:highlight w:val="none"/>
              </w:rPr>
              <w:t>标人委托的招标代理单位支付招标代理费，招标代理费</w:t>
            </w:r>
            <w:r>
              <w:rPr>
                <w:rFonts w:hint="eastAsia" w:ascii="黑体" w:hAnsi="黑体" w:eastAsia="黑体" w:cs="黑体"/>
                <w:spacing w:val="18"/>
                <w:sz w:val="23"/>
                <w:szCs w:val="23"/>
                <w:highlight w:val="none"/>
                <w:lang w:val="en-US" w:eastAsia="zh-CN"/>
              </w:rPr>
              <w:t>参照</w:t>
            </w:r>
            <w:r>
              <w:rPr>
                <w:rFonts w:ascii="黑体" w:hAnsi="黑体" w:eastAsia="黑体" w:cs="黑体"/>
                <w:spacing w:val="18"/>
                <w:sz w:val="23"/>
                <w:szCs w:val="23"/>
                <w:highlight w:val="none"/>
              </w:rPr>
              <w:t>原</w:t>
            </w:r>
            <w:r>
              <w:rPr>
                <w:rFonts w:ascii="黑体" w:hAnsi="黑体" w:eastAsia="黑体" w:cs="黑体"/>
                <w:sz w:val="23"/>
                <w:szCs w:val="23"/>
                <w:highlight w:val="none"/>
              </w:rPr>
              <w:t xml:space="preserve"> </w:t>
            </w:r>
            <w:r>
              <w:rPr>
                <w:rFonts w:ascii="黑体" w:hAnsi="黑体" w:eastAsia="黑体" w:cs="黑体"/>
                <w:spacing w:val="-4"/>
                <w:sz w:val="23"/>
                <w:szCs w:val="23"/>
                <w:highlight w:val="none"/>
              </w:rPr>
              <w:t>《国家计委关</w:t>
            </w:r>
            <w:r>
              <w:rPr>
                <w:rFonts w:ascii="黑体" w:hAnsi="黑体" w:eastAsia="黑体" w:cs="黑体"/>
                <w:spacing w:val="-2"/>
                <w:sz w:val="23"/>
                <w:szCs w:val="23"/>
                <w:highlight w:val="none"/>
              </w:rPr>
              <w:t>于印发〈招标代理服务收费管理暂行办法〉的通知》(计价格〔</w:t>
            </w:r>
            <w:r>
              <w:rPr>
                <w:rFonts w:ascii="Times New Roman" w:hAnsi="Times New Roman" w:eastAsia="Times New Roman" w:cs="Times New Roman"/>
                <w:spacing w:val="-2"/>
                <w:sz w:val="23"/>
                <w:szCs w:val="23"/>
                <w:highlight w:val="none"/>
              </w:rPr>
              <w:t>2002</w:t>
            </w:r>
            <w:r>
              <w:rPr>
                <w:rFonts w:ascii="黑体" w:hAnsi="黑体" w:eastAsia="黑体" w:cs="黑体"/>
                <w:spacing w:val="-2"/>
                <w:sz w:val="23"/>
                <w:szCs w:val="23"/>
                <w:highlight w:val="none"/>
              </w:rPr>
              <w:t>〕</w:t>
            </w:r>
            <w:r>
              <w:rPr>
                <w:rFonts w:ascii="Times New Roman" w:hAnsi="Times New Roman" w:eastAsia="Times New Roman" w:cs="Times New Roman"/>
                <w:spacing w:val="14"/>
                <w:sz w:val="23"/>
                <w:szCs w:val="23"/>
                <w:highlight w:val="none"/>
              </w:rPr>
              <w:t>1</w:t>
            </w:r>
            <w:r>
              <w:rPr>
                <w:rFonts w:ascii="Times New Roman" w:hAnsi="Times New Roman" w:eastAsia="Times New Roman" w:cs="Times New Roman"/>
                <w:spacing w:val="8"/>
                <w:sz w:val="23"/>
                <w:szCs w:val="23"/>
                <w:highlight w:val="none"/>
              </w:rPr>
              <w:t>9</w:t>
            </w:r>
            <w:r>
              <w:rPr>
                <w:rFonts w:ascii="Times New Roman" w:hAnsi="Times New Roman" w:eastAsia="Times New Roman" w:cs="Times New Roman"/>
                <w:spacing w:val="7"/>
                <w:sz w:val="23"/>
                <w:szCs w:val="23"/>
                <w:highlight w:val="none"/>
              </w:rPr>
              <w:t xml:space="preserve">80 </w:t>
            </w:r>
            <w:r>
              <w:rPr>
                <w:rFonts w:ascii="黑体" w:hAnsi="黑体" w:eastAsia="黑体" w:cs="黑体"/>
                <w:spacing w:val="7"/>
                <w:sz w:val="23"/>
                <w:szCs w:val="23"/>
                <w:highlight w:val="none"/>
              </w:rPr>
              <w:t>号) 和《国家发展改革委办公厅关于招标代理服务收费有关问题的通知》</w:t>
            </w:r>
            <w:r>
              <w:rPr>
                <w:rFonts w:ascii="黑体" w:hAnsi="黑体" w:eastAsia="黑体" w:cs="黑体"/>
                <w:sz w:val="23"/>
                <w:szCs w:val="23"/>
                <w:highlight w:val="none"/>
              </w:rPr>
              <w:t xml:space="preserve"> </w:t>
            </w:r>
            <w:r>
              <w:rPr>
                <w:rFonts w:ascii="黑体" w:hAnsi="黑体" w:eastAsia="黑体" w:cs="黑体"/>
                <w:sz w:val="23"/>
                <w:szCs w:val="23"/>
                <w:highlight w:val="none"/>
              </w:rPr>
              <w:tab/>
            </w:r>
            <w:r>
              <w:rPr>
                <w:rFonts w:ascii="黑体" w:hAnsi="黑体" w:eastAsia="黑体" w:cs="黑体"/>
                <w:spacing w:val="8"/>
                <w:sz w:val="23"/>
                <w:szCs w:val="23"/>
                <w:highlight w:val="none"/>
              </w:rPr>
              <w:t>(发改</w:t>
            </w:r>
            <w:r>
              <w:rPr>
                <w:rFonts w:ascii="黑体" w:hAnsi="黑体" w:eastAsia="黑体" w:cs="黑体"/>
                <w:spacing w:val="6"/>
                <w:sz w:val="23"/>
                <w:szCs w:val="23"/>
                <w:highlight w:val="none"/>
              </w:rPr>
              <w:t>办</w:t>
            </w:r>
            <w:r>
              <w:rPr>
                <w:rFonts w:ascii="黑体" w:hAnsi="黑体" w:eastAsia="黑体" w:cs="黑体"/>
                <w:spacing w:val="4"/>
                <w:sz w:val="23"/>
                <w:szCs w:val="23"/>
                <w:highlight w:val="none"/>
              </w:rPr>
              <w:t>价格〔</w:t>
            </w:r>
            <w:r>
              <w:rPr>
                <w:rFonts w:ascii="Times New Roman" w:hAnsi="Times New Roman" w:eastAsia="Times New Roman" w:cs="Times New Roman"/>
                <w:spacing w:val="4"/>
                <w:sz w:val="23"/>
                <w:szCs w:val="23"/>
                <w:highlight w:val="none"/>
              </w:rPr>
              <w:t>2003</w:t>
            </w:r>
            <w:r>
              <w:rPr>
                <w:rFonts w:ascii="黑体" w:hAnsi="黑体" w:eastAsia="黑体" w:cs="黑体"/>
                <w:spacing w:val="4"/>
                <w:sz w:val="23"/>
                <w:szCs w:val="23"/>
                <w:highlight w:val="none"/>
              </w:rPr>
              <w:t>〕</w:t>
            </w:r>
            <w:r>
              <w:rPr>
                <w:rFonts w:ascii="Times New Roman" w:hAnsi="Times New Roman" w:eastAsia="Times New Roman" w:cs="Times New Roman"/>
                <w:spacing w:val="4"/>
                <w:sz w:val="23"/>
                <w:szCs w:val="23"/>
                <w:highlight w:val="none"/>
              </w:rPr>
              <w:t xml:space="preserve">857 </w:t>
            </w:r>
            <w:r>
              <w:rPr>
                <w:rFonts w:ascii="黑体" w:hAnsi="黑体" w:eastAsia="黑体" w:cs="黑体"/>
                <w:spacing w:val="4"/>
                <w:sz w:val="23"/>
                <w:szCs w:val="23"/>
                <w:highlight w:val="none"/>
              </w:rPr>
              <w:t>号) 、《国家发展改革委关于降低部分建设项目收费</w:t>
            </w:r>
            <w:r>
              <w:rPr>
                <w:rFonts w:ascii="黑体" w:hAnsi="黑体" w:eastAsia="黑体" w:cs="黑体"/>
                <w:sz w:val="23"/>
                <w:szCs w:val="23"/>
                <w:highlight w:val="none"/>
              </w:rPr>
              <w:t xml:space="preserve"> </w:t>
            </w:r>
            <w:r>
              <w:rPr>
                <w:rFonts w:ascii="黑体" w:hAnsi="黑体" w:eastAsia="黑体" w:cs="黑体"/>
                <w:spacing w:val="14"/>
                <w:sz w:val="23"/>
                <w:szCs w:val="23"/>
                <w:highlight w:val="none"/>
              </w:rPr>
              <w:t>标准规</w:t>
            </w:r>
            <w:r>
              <w:rPr>
                <w:rFonts w:ascii="黑体" w:hAnsi="黑体" w:eastAsia="黑体" w:cs="黑体"/>
                <w:spacing w:val="13"/>
                <w:sz w:val="23"/>
                <w:szCs w:val="23"/>
                <w:highlight w:val="none"/>
              </w:rPr>
              <w:t>范</w:t>
            </w:r>
            <w:r>
              <w:rPr>
                <w:rFonts w:ascii="黑体" w:hAnsi="黑体" w:eastAsia="黑体" w:cs="黑体"/>
                <w:spacing w:val="7"/>
                <w:sz w:val="23"/>
                <w:szCs w:val="23"/>
                <w:highlight w:val="none"/>
              </w:rPr>
              <w:t>收费行为等有关问题的通知》  (发改价格〔</w:t>
            </w:r>
            <w:r>
              <w:rPr>
                <w:rFonts w:ascii="Times New Roman" w:hAnsi="Times New Roman" w:eastAsia="Times New Roman" w:cs="Times New Roman"/>
                <w:spacing w:val="7"/>
                <w:sz w:val="23"/>
                <w:szCs w:val="23"/>
                <w:highlight w:val="none"/>
              </w:rPr>
              <w:t>2011</w:t>
            </w:r>
            <w:r>
              <w:rPr>
                <w:rFonts w:ascii="黑体" w:hAnsi="黑体" w:eastAsia="黑体" w:cs="黑体"/>
                <w:spacing w:val="7"/>
                <w:sz w:val="23"/>
                <w:szCs w:val="23"/>
                <w:highlight w:val="none"/>
              </w:rPr>
              <w:t>〕</w:t>
            </w:r>
            <w:r>
              <w:rPr>
                <w:rFonts w:ascii="Times New Roman" w:hAnsi="Times New Roman" w:eastAsia="Times New Roman" w:cs="Times New Roman"/>
                <w:spacing w:val="7"/>
                <w:sz w:val="23"/>
                <w:szCs w:val="23"/>
                <w:highlight w:val="none"/>
              </w:rPr>
              <w:t xml:space="preserve">534 </w:t>
            </w:r>
            <w:r>
              <w:rPr>
                <w:rFonts w:ascii="黑体" w:hAnsi="黑体" w:eastAsia="黑体" w:cs="黑体"/>
                <w:spacing w:val="7"/>
                <w:sz w:val="23"/>
                <w:szCs w:val="23"/>
                <w:highlight w:val="none"/>
              </w:rPr>
              <w:t>号) 的规定计</w:t>
            </w:r>
            <w:r>
              <w:rPr>
                <w:rFonts w:ascii="黑体" w:hAnsi="黑体" w:eastAsia="黑体" w:cs="黑体"/>
                <w:spacing w:val="18"/>
                <w:sz w:val="23"/>
                <w:szCs w:val="23"/>
                <w:highlight w:val="none"/>
              </w:rPr>
              <w:t>算</w:t>
            </w:r>
            <w:r>
              <w:rPr>
                <w:rFonts w:ascii="黑体" w:hAnsi="黑体" w:eastAsia="黑体" w:cs="黑体"/>
                <w:spacing w:val="13"/>
                <w:sz w:val="23"/>
                <w:szCs w:val="23"/>
                <w:highlight w:val="none"/>
              </w:rPr>
              <w:t>。该项费用含入投标报价之中，招标人不再单独支付。</w:t>
            </w:r>
          </w:p>
        </w:tc>
      </w:tr>
      <w:tr w14:paraId="2C367B88">
        <w:tblPrEx>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tcPr>
          <w:p w14:paraId="2DEDF297">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67C2AE7">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9.10</w:t>
            </w:r>
            <w:r>
              <w:rPr>
                <w:rFonts w:ascii="黑体" w:hAnsi="黑体" w:eastAsia="黑体" w:cs="黑体"/>
                <w:sz w:val="23"/>
                <w:szCs w:val="23"/>
                <w:highlight w:val="none"/>
              </w:rPr>
              <w:t>款：</w:t>
            </w:r>
          </w:p>
          <w:p w14:paraId="654A9858">
            <w:pPr>
              <w:spacing w:before="115" w:line="298" w:lineRule="auto"/>
              <w:ind w:left="103" w:leftChars="0" w:firstLine="479" w:firstLineChars="0"/>
              <w:rPr>
                <w:rFonts w:hint="default" w:ascii="黑体" w:hAnsi="黑体" w:eastAsia="黑体" w:cs="黑体"/>
                <w:color w:val="auto"/>
                <w:spacing w:val="17"/>
                <w:kern w:val="2"/>
                <w:sz w:val="23"/>
                <w:szCs w:val="23"/>
                <w:highlight w:val="none"/>
                <w:lang w:val="en-US" w:eastAsia="zh-CN" w:bidi="ar-SA"/>
              </w:rPr>
            </w:pPr>
            <w:r>
              <w:rPr>
                <w:rFonts w:ascii="黑体" w:hAnsi="黑体" w:eastAsia="黑体" w:cs="黑体"/>
                <w:spacing w:val="6"/>
                <w:sz w:val="23"/>
                <w:szCs w:val="23"/>
                <w:highlight w:val="none"/>
              </w:rPr>
              <w:t>根据《</w:t>
            </w:r>
            <w:r>
              <w:rPr>
                <w:rFonts w:hint="eastAsia" w:ascii="黑体" w:hAnsi="黑体" w:eastAsia="黑体" w:cs="黑体"/>
                <w:spacing w:val="6"/>
                <w:sz w:val="23"/>
                <w:szCs w:val="23"/>
                <w:highlight w:val="none"/>
              </w:rPr>
              <w:t>省发展改革委关于降低我省建设工程交易服务收费标准的通知</w:t>
            </w:r>
            <w:r>
              <w:rPr>
                <w:rFonts w:ascii="黑体" w:hAnsi="黑体" w:eastAsia="黑体" w:cs="黑体"/>
                <w:spacing w:val="3"/>
                <w:sz w:val="23"/>
                <w:szCs w:val="23"/>
                <w:highlight w:val="none"/>
              </w:rPr>
              <w:t>》(辽发改</w:t>
            </w:r>
            <w:r>
              <w:rPr>
                <w:rFonts w:hint="eastAsia" w:ascii="黑体" w:hAnsi="黑体" w:eastAsia="黑体" w:cs="黑体"/>
                <w:spacing w:val="3"/>
                <w:sz w:val="23"/>
                <w:szCs w:val="23"/>
                <w:highlight w:val="none"/>
                <w:lang w:eastAsia="zh-CN"/>
              </w:rPr>
              <w:t>价格</w:t>
            </w:r>
            <w:r>
              <w:rPr>
                <w:rFonts w:ascii="黑体" w:hAnsi="黑体" w:eastAsia="黑体" w:cs="黑体"/>
                <w:spacing w:val="3"/>
                <w:sz w:val="23"/>
                <w:szCs w:val="23"/>
                <w:highlight w:val="none"/>
              </w:rPr>
              <w:t>【</w:t>
            </w:r>
            <w:r>
              <w:rPr>
                <w:rFonts w:ascii="Times New Roman" w:hAnsi="Times New Roman" w:eastAsia="Times New Roman" w:cs="Times New Roman"/>
                <w:spacing w:val="3"/>
                <w:sz w:val="23"/>
                <w:szCs w:val="23"/>
                <w:highlight w:val="none"/>
              </w:rPr>
              <w:t>202</w:t>
            </w:r>
            <w:r>
              <w:rPr>
                <w:rFonts w:hint="eastAsia" w:ascii="Times New Roman" w:hAnsi="Times New Roman" w:eastAsia="宋体" w:cs="Times New Roman"/>
                <w:spacing w:val="3"/>
                <w:sz w:val="23"/>
                <w:szCs w:val="23"/>
                <w:highlight w:val="none"/>
                <w:lang w:val="en-US" w:eastAsia="zh-CN"/>
              </w:rPr>
              <w:t>3</w:t>
            </w:r>
            <w:r>
              <w:rPr>
                <w:rFonts w:ascii="黑体" w:hAnsi="黑体" w:eastAsia="黑体" w:cs="黑体"/>
                <w:spacing w:val="3"/>
                <w:sz w:val="23"/>
                <w:szCs w:val="23"/>
                <w:highlight w:val="none"/>
              </w:rPr>
              <w:t>】</w:t>
            </w:r>
            <w:r>
              <w:rPr>
                <w:rFonts w:hint="eastAsia" w:ascii="Times New Roman" w:hAnsi="Times New Roman" w:eastAsia="宋体" w:cs="Times New Roman"/>
                <w:spacing w:val="16"/>
                <w:sz w:val="23"/>
                <w:szCs w:val="23"/>
                <w:highlight w:val="none"/>
                <w:lang w:val="en-US" w:eastAsia="zh-CN"/>
              </w:rPr>
              <w:t>128</w:t>
            </w:r>
            <w:r>
              <w:rPr>
                <w:rFonts w:ascii="黑体" w:hAnsi="黑体" w:eastAsia="黑体" w:cs="黑体"/>
                <w:spacing w:val="8"/>
                <w:sz w:val="23"/>
                <w:szCs w:val="23"/>
                <w:highlight w:val="none"/>
              </w:rPr>
              <w:t>号) ，本招标项目的交易双方 (招标人和中标人) 应缴纳建设工程交易中心服务费，应由招标人及中标人缴纳的建设工程交易中心服务费均由中标人</w:t>
            </w:r>
            <w:r>
              <w:rPr>
                <w:rFonts w:ascii="黑体" w:hAnsi="黑体" w:eastAsia="黑体" w:cs="黑体"/>
                <w:spacing w:val="5"/>
                <w:sz w:val="23"/>
                <w:szCs w:val="23"/>
                <w:highlight w:val="none"/>
              </w:rPr>
              <w:t>在</w:t>
            </w:r>
            <w:r>
              <w:rPr>
                <w:rFonts w:ascii="黑体" w:hAnsi="黑体" w:eastAsia="黑体" w:cs="黑体"/>
                <w:spacing w:val="8"/>
                <w:sz w:val="23"/>
                <w:szCs w:val="23"/>
                <w:highlight w:val="none"/>
              </w:rPr>
              <w:t>报价总价中综合考虑，招标人不另行计量或支付，中标人应在中标后一次性</w:t>
            </w:r>
            <w:r>
              <w:rPr>
                <w:rFonts w:ascii="黑体" w:hAnsi="黑体" w:eastAsia="黑体" w:cs="黑体"/>
                <w:spacing w:val="5"/>
                <w:sz w:val="23"/>
                <w:szCs w:val="23"/>
                <w:highlight w:val="none"/>
              </w:rPr>
              <w:t>缴</w:t>
            </w:r>
            <w:r>
              <w:rPr>
                <w:rFonts w:hint="eastAsia" w:ascii="黑体" w:hAnsi="黑体" w:eastAsia="黑体" w:cs="黑体"/>
                <w:spacing w:val="5"/>
                <w:sz w:val="23"/>
                <w:szCs w:val="23"/>
                <w:highlight w:val="none"/>
                <w:lang w:eastAsia="zh-CN"/>
              </w:rPr>
              <w:t>纳。</w:t>
            </w:r>
          </w:p>
        </w:tc>
      </w:tr>
      <w:tr w14:paraId="199C22BC">
        <w:tblPrEx>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tcPr>
          <w:p w14:paraId="44C0860C">
            <w:pPr>
              <w:pageBreakBefore w:val="0"/>
              <w:kinsoku/>
              <w:wordWrap w:val="0"/>
              <w:bidi w:val="0"/>
              <w:spacing w:line="440" w:lineRule="exact"/>
              <w:jc w:val="center"/>
              <w:rPr>
                <w:rFonts w:hint="default" w:ascii="Times New Roman" w:hAnsi="Times New Roman" w:cs="Times New Roman"/>
                <w:color w:val="auto"/>
                <w:sz w:val="24"/>
                <w:szCs w:val="24"/>
                <w:highlight w:val="none"/>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AEE67DC">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9.11</w:t>
            </w:r>
            <w:r>
              <w:rPr>
                <w:rFonts w:ascii="黑体" w:hAnsi="黑体" w:eastAsia="黑体" w:cs="黑体"/>
                <w:sz w:val="23"/>
                <w:szCs w:val="23"/>
                <w:highlight w:val="none"/>
              </w:rPr>
              <w:t>款：</w:t>
            </w:r>
          </w:p>
          <w:p w14:paraId="2BE0150A">
            <w:pPr>
              <w:spacing w:before="115" w:line="298" w:lineRule="auto"/>
              <w:ind w:left="103" w:leftChars="0" w:firstLine="479" w:firstLineChars="0"/>
              <w:rPr>
                <w:rFonts w:hint="default" w:ascii="黑体" w:hAnsi="黑体" w:eastAsia="黑体" w:cs="黑体"/>
                <w:color w:val="auto"/>
                <w:spacing w:val="6"/>
                <w:kern w:val="2"/>
                <w:sz w:val="23"/>
                <w:szCs w:val="23"/>
                <w:highlight w:val="none"/>
                <w:lang w:val="en-US" w:eastAsia="zh-CN" w:bidi="ar-SA"/>
              </w:rPr>
            </w:pPr>
            <w:r>
              <w:rPr>
                <w:rFonts w:hint="eastAsia" w:ascii="黑体" w:hAnsi="黑体" w:eastAsia="黑体" w:cs="黑体"/>
                <w:b/>
                <w:bCs/>
                <w:spacing w:val="6"/>
                <w:sz w:val="23"/>
                <w:szCs w:val="23"/>
                <w:highlight w:val="none"/>
              </w:rPr>
              <w:t>由于通过辽宁省公共资源交易平台制作电子招标文件时，投标文件格式中的“价格指数和权重值表”“银行信贷证明"“近年财务情况”为必选项，本次招标可不填报上述必选项资料，因此投标人无需制作上述材料或上传空白材料即可，上述必选项资料不作为本次招标的评审依据。</w:t>
            </w:r>
          </w:p>
        </w:tc>
      </w:tr>
    </w:tbl>
    <w:p w14:paraId="548A1C06">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5BBBE8DB">
      <w:pPr>
        <w:pageBreakBefore w:val="0"/>
        <w:kinsoku/>
        <w:wordWrap w:val="0"/>
        <w:bidi w:val="0"/>
        <w:spacing w:line="20" w:lineRule="exact"/>
        <w:jc w:val="center"/>
        <w:rPr>
          <w:rFonts w:hint="default" w:ascii="Times New Roman" w:hAnsi="Times New Roman" w:eastAsia="黑体" w:cs="Times New Roman"/>
          <w:b/>
          <w:color w:val="auto"/>
          <w:sz w:val="18"/>
          <w:szCs w:val="18"/>
          <w:highlight w:val="none"/>
        </w:rPr>
      </w:pPr>
      <w:r>
        <w:rPr>
          <w:rFonts w:hint="default" w:ascii="Times New Roman" w:hAnsi="Times New Roman" w:eastAsia="黑体" w:cs="Times New Roman"/>
          <w:color w:val="auto"/>
          <w:sz w:val="28"/>
          <w:szCs w:val="28"/>
          <w:highlight w:val="none"/>
        </w:rPr>
        <w:br w:type="page"/>
      </w:r>
    </w:p>
    <w:p w14:paraId="05C42C86">
      <w:pPr>
        <w:pStyle w:val="2"/>
        <w:pageBreakBefore w:val="0"/>
        <w:kinsoku/>
        <w:wordWrap w:val="0"/>
        <w:bidi w:val="0"/>
        <w:spacing w:before="240" w:after="240" w:line="240" w:lineRule="atLeast"/>
        <w:jc w:val="center"/>
        <w:rPr>
          <w:rFonts w:hint="default" w:ascii="Times New Roman" w:hAnsi="Times New Roman" w:cs="Times New Roman"/>
          <w:color w:val="auto"/>
          <w:highlight w:val="none"/>
        </w:rPr>
      </w:pPr>
      <w:bookmarkStart w:id="62" w:name="_Toc234832863"/>
      <w:bookmarkStart w:id="63" w:name="_Toc29783"/>
      <w:bookmarkStart w:id="64" w:name="_Toc12483"/>
      <w:bookmarkStart w:id="65" w:name="_Toc19171"/>
      <w:r>
        <w:rPr>
          <w:rFonts w:hint="default" w:ascii="Times New Roman" w:hAnsi="Times New Roman" w:eastAsia="黑体" w:cs="Times New Roman"/>
          <w:color w:val="auto"/>
          <w:sz w:val="28"/>
          <w:szCs w:val="28"/>
          <w:highlight w:val="none"/>
        </w:rPr>
        <w:t>附录1  资格审查条件（资质最低</w:t>
      </w:r>
      <w:r>
        <w:rPr>
          <w:rFonts w:hint="default" w:ascii="Times New Roman" w:hAnsi="Times New Roman" w:eastAsia="黑体" w:cs="Times New Roman"/>
          <w:color w:val="auto"/>
          <w:sz w:val="28"/>
          <w:szCs w:val="28"/>
          <w:highlight w:val="none"/>
          <w:lang w:eastAsia="zh-CN"/>
        </w:rPr>
        <w:t>要求</w:t>
      </w:r>
      <w:r>
        <w:rPr>
          <w:rFonts w:hint="default" w:ascii="Times New Roman" w:hAnsi="Times New Roman" w:eastAsia="黑体" w:cs="Times New Roman"/>
          <w:color w:val="auto"/>
          <w:sz w:val="28"/>
          <w:szCs w:val="28"/>
          <w:highlight w:val="none"/>
        </w:rPr>
        <w:t>）</w:t>
      </w:r>
      <w:r>
        <w:rPr>
          <w:rStyle w:val="47"/>
          <w:rFonts w:hint="default" w:ascii="Times New Roman" w:hAnsi="Times New Roman" w:eastAsia="黑体" w:cs="Times New Roman"/>
          <w:color w:val="auto"/>
          <w:sz w:val="28"/>
          <w:szCs w:val="28"/>
          <w:highlight w:val="none"/>
        </w:rPr>
        <w:footnoteReference w:id="18"/>
      </w:r>
      <w:bookmarkEnd w:id="62"/>
      <w:bookmarkEnd w:id="63"/>
      <w:bookmarkEnd w:id="64"/>
      <w:bookmarkEnd w:id="65"/>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1BEB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75" w:hRule="atLeast"/>
          <w:jc w:val="center"/>
        </w:trPr>
        <w:tc>
          <w:tcPr>
            <w:tcW w:w="8819" w:type="dxa"/>
            <w:noWrap w:val="0"/>
            <w:vAlign w:val="center"/>
          </w:tcPr>
          <w:p w14:paraId="222A1EE2">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施工企业资质等级要求</w:t>
            </w:r>
            <w:r>
              <w:rPr>
                <w:rFonts w:hint="default" w:ascii="Times New Roman" w:hAnsi="Times New Roman" w:cs="Times New Roman"/>
                <w:color w:val="auto"/>
                <w:szCs w:val="21"/>
                <w:highlight w:val="none"/>
              </w:rPr>
              <w:footnoteReference w:id="19"/>
            </w:r>
          </w:p>
        </w:tc>
      </w:tr>
      <w:tr w14:paraId="345C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5C0E5E9F">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、投标人必须具有国内独立法人资格及有效的企业法人营业执照。</w:t>
            </w:r>
          </w:p>
          <w:p w14:paraId="339BA9A0">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、投标人的资质应满足以下</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和</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项要求：</w:t>
            </w:r>
          </w:p>
          <w:p w14:paraId="6FF1FD7D">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具有省级交通运输主管部门颁发且有效的“公路养护作业单位资质证书”且资质类别</w:t>
            </w:r>
            <w:r>
              <w:rPr>
                <w:rFonts w:hint="default" w:ascii="Times New Roman" w:hAnsi="Times New Roman" w:cs="Times New Roman"/>
                <w:color w:val="auto"/>
                <w:szCs w:val="21"/>
                <w:highlight w:val="none"/>
                <w:lang w:val="en-US" w:eastAsia="zh-CN"/>
              </w:rPr>
              <w:t>为</w:t>
            </w:r>
            <w:r>
              <w:rPr>
                <w:rFonts w:hint="default" w:ascii="Times New Roman" w:hAnsi="Times New Roman" w:cs="Times New Roman"/>
                <w:color w:val="auto"/>
                <w:szCs w:val="21"/>
                <w:highlight w:val="none"/>
              </w:rPr>
              <w:t>路基路面养护</w:t>
            </w:r>
            <w:r>
              <w:rPr>
                <w:rFonts w:hint="default" w:ascii="Times New Roman" w:hAnsi="Times New Roman" w:cs="Times New Roman"/>
                <w:color w:val="auto"/>
                <w:szCs w:val="21"/>
                <w:highlight w:val="none"/>
                <w:lang w:val="en-US" w:eastAsia="zh-CN"/>
              </w:rPr>
              <w:t>乙</w:t>
            </w:r>
            <w:r>
              <w:rPr>
                <w:rFonts w:hint="default" w:ascii="Times New Roman" w:hAnsi="Times New Roman" w:cs="Times New Roman"/>
                <w:color w:val="auto"/>
                <w:szCs w:val="21"/>
                <w:highlight w:val="none"/>
              </w:rPr>
              <w:t>级及以上资质</w:t>
            </w:r>
            <w:r>
              <w:rPr>
                <w:rFonts w:hint="default" w:ascii="Times New Roman" w:hAnsi="Times New Roman" w:cs="Times New Roman"/>
                <w:color w:val="auto"/>
                <w:szCs w:val="21"/>
                <w:highlight w:val="none"/>
                <w:lang w:eastAsia="zh-CN"/>
              </w:rPr>
              <w:t>；</w:t>
            </w:r>
          </w:p>
          <w:p w14:paraId="7A0F5DD3">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具有省级交通运输主管部门颁发且有效的</w:t>
            </w:r>
            <w:r>
              <w:rPr>
                <w:rFonts w:hint="default" w:ascii="Times New Roman" w:hAnsi="Times New Roman" w:cs="Times New Roman"/>
                <w:color w:val="auto"/>
                <w:szCs w:val="21"/>
                <w:highlight w:val="none"/>
                <w:lang w:val="en-US" w:eastAsia="zh-CN"/>
              </w:rPr>
              <w:t>交通安全设施养护资质。</w:t>
            </w:r>
          </w:p>
          <w:p w14:paraId="4C9CA255">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、投标人必须具有</w:t>
            </w:r>
            <w:r>
              <w:rPr>
                <w:rFonts w:hint="default" w:ascii="Times New Roman" w:hAnsi="Times New Roman" w:cs="Times New Roman"/>
                <w:color w:val="auto"/>
                <w:szCs w:val="21"/>
                <w:highlight w:val="none"/>
                <w:lang w:val="en-US" w:eastAsia="zh-CN"/>
              </w:rPr>
              <w:t>行业</w:t>
            </w:r>
            <w:r>
              <w:rPr>
                <w:rFonts w:hint="default" w:ascii="Times New Roman" w:hAnsi="Times New Roman" w:cs="Times New Roman"/>
                <w:color w:val="auto"/>
                <w:szCs w:val="21"/>
                <w:highlight w:val="none"/>
              </w:rPr>
              <w:t>主管部门颁发的有效安全生产许可证。</w:t>
            </w:r>
          </w:p>
          <w:p w14:paraId="06C70FB7">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p>
          <w:p w14:paraId="4E90D344">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基本情况表”后应附企业法人营业执照副本和组织机构代码证副本（按照“三证合一”或“五证合一”登记制度进行登记的，可仅提供营业执照副本，下同）、资质证书副本、安全生产许可证副本、基本账户开户证明的复印件，以及投标人在国家企业信用信息公示系统中基础信息（体现股东及出资详细信息）的网页截图或由法定的社会验资机构出具的验资报告或注册地工商部门出具的股东出资情况证明复印件。</w:t>
            </w:r>
          </w:p>
          <w:p w14:paraId="0F6AB716">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2、投标人须提供其在交通运输部全国公路建设市场监督管理系统公路工程施工资质企业名</w:t>
            </w:r>
          </w:p>
          <w:p w14:paraId="7162F5C7">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录中的网页截图复印件</w:t>
            </w:r>
            <w:r>
              <w:rPr>
                <w:rFonts w:hint="eastAsia" w:cs="Times New Roman"/>
                <w:color w:val="auto"/>
                <w:szCs w:val="21"/>
                <w:highlight w:val="none"/>
                <w:lang w:eastAsia="zh-CN"/>
              </w:rPr>
              <w:t>。</w:t>
            </w:r>
          </w:p>
        </w:tc>
      </w:tr>
      <w:tr w14:paraId="3564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17FE16DB">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bookmarkStart w:id="66" w:name="_Toc234832864"/>
            <w:bookmarkStart w:id="67" w:name="_Toc4197"/>
            <w:bookmarkStart w:id="68" w:name="_Toc3559"/>
            <w:r>
              <w:rPr>
                <w:rFonts w:hint="eastAsia" w:cs="Times New Roman"/>
                <w:color w:val="auto"/>
                <w:szCs w:val="21"/>
                <w:highlight w:val="none"/>
                <w:lang w:val="en-US" w:eastAsia="zh-CN"/>
              </w:rPr>
              <w:t>注：</w:t>
            </w:r>
          </w:p>
          <w:p w14:paraId="7F89605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16EFECA">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1A04C1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E35F6B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868A4D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4A4F06D5">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sectPr>
          <w:headerReference r:id="rId23" w:type="default"/>
          <w:footerReference r:id="rId25" w:type="default"/>
          <w:headerReference r:id="rId24" w:type="even"/>
          <w:footerReference r:id="rId26"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3416999">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69" w:name="_Toc29861"/>
      <w:r>
        <w:rPr>
          <w:rFonts w:hint="default" w:ascii="Times New Roman" w:hAnsi="Times New Roman" w:eastAsia="黑体" w:cs="Times New Roman"/>
          <w:color w:val="auto"/>
          <w:sz w:val="28"/>
          <w:szCs w:val="28"/>
          <w:highlight w:val="none"/>
        </w:rPr>
        <w:t>附录2  资格审查条件（财务最低要求）</w:t>
      </w:r>
      <w:r>
        <w:rPr>
          <w:rStyle w:val="47"/>
          <w:rFonts w:hint="default" w:ascii="Times New Roman" w:hAnsi="Times New Roman" w:eastAsia="黑体" w:cs="Times New Roman"/>
          <w:color w:val="auto"/>
          <w:sz w:val="28"/>
          <w:szCs w:val="28"/>
          <w:highlight w:val="none"/>
        </w:rPr>
        <w:footnoteReference w:id="20"/>
      </w:r>
      <w:bookmarkEnd w:id="66"/>
      <w:bookmarkEnd w:id="67"/>
      <w:bookmarkEnd w:id="68"/>
      <w:bookmarkEnd w:id="6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6CF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7C2D2BB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财 务 要 求</w:t>
            </w:r>
          </w:p>
        </w:tc>
      </w:tr>
      <w:tr w14:paraId="3B94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100B8D03">
            <w:pPr>
              <w:rPr>
                <w:color w:val="auto"/>
                <w:highlight w:val="none"/>
              </w:rPr>
            </w:pPr>
          </w:p>
          <w:p w14:paraId="07C107CD">
            <w:pPr>
              <w:rPr>
                <w:color w:val="auto"/>
                <w:highlight w:val="none"/>
              </w:rPr>
            </w:pPr>
          </w:p>
          <w:p w14:paraId="2433EDAE">
            <w:pPr>
              <w:rPr>
                <w:color w:val="auto"/>
                <w:highlight w:val="none"/>
              </w:rPr>
            </w:pPr>
          </w:p>
          <w:p w14:paraId="678B31C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w:t>
            </w:r>
          </w:p>
          <w:p w14:paraId="3A3D6107">
            <w:pPr>
              <w:rPr>
                <w:color w:val="auto"/>
                <w:highlight w:val="none"/>
              </w:rPr>
            </w:pPr>
          </w:p>
          <w:p w14:paraId="55A7A11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D3D9C4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590E2B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B446E4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6DEC4E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D389D2B">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818AD9">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BA588A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464494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95A242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A98C5C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02DF6C5">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975D6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BC91125">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167EE2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54D449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A7477C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68C9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584F710A">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p w14:paraId="22BCB78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9D7529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F004F8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EA3ECD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A24A1C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3F3ED302">
      <w:pPr>
        <w:pageBreakBefore w:val="0"/>
        <w:kinsoku/>
        <w:wordWrap w:val="0"/>
        <w:bidi w:val="0"/>
        <w:adjustRightInd w:val="0"/>
        <w:snapToGrid w:val="0"/>
        <w:spacing w:line="300" w:lineRule="exact"/>
        <w:rPr>
          <w:rFonts w:hint="default" w:ascii="Times New Roman" w:hAnsi="Times New Roman" w:eastAsia="黑体" w:cs="Times New Roman"/>
          <w:color w:val="auto"/>
          <w:sz w:val="24"/>
          <w:highlight w:val="none"/>
        </w:rPr>
      </w:pPr>
    </w:p>
    <w:p w14:paraId="4041D78F">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70" w:name="_Toc234832865"/>
      <w:bookmarkStart w:id="71" w:name="_Toc30953"/>
      <w:bookmarkStart w:id="72" w:name="_Toc10281"/>
      <w:bookmarkStart w:id="73" w:name="_Toc6381"/>
      <w:r>
        <w:rPr>
          <w:rFonts w:hint="default" w:ascii="Times New Roman" w:hAnsi="Times New Roman" w:eastAsia="黑体" w:cs="Times New Roman"/>
          <w:color w:val="auto"/>
          <w:sz w:val="28"/>
          <w:szCs w:val="28"/>
          <w:highlight w:val="none"/>
        </w:rPr>
        <w:t xml:space="preserve">附录3 </w:t>
      </w:r>
      <w:r>
        <w:rPr>
          <w:rFonts w:hint="default" w:ascii="Times New Roman" w:hAnsi="Times New Roman" w:eastAsia="黑体" w:cs="Times New Roman"/>
          <w:color w:val="auto"/>
          <w:sz w:val="28"/>
          <w:szCs w:val="28"/>
          <w:highlight w:val="none"/>
          <w:lang w:eastAsia="zh-CN"/>
        </w:rPr>
        <w:t xml:space="preserve"> </w:t>
      </w:r>
      <w:r>
        <w:rPr>
          <w:rFonts w:hint="default" w:ascii="Times New Roman" w:hAnsi="Times New Roman" w:eastAsia="黑体" w:cs="Times New Roman"/>
          <w:color w:val="auto"/>
          <w:sz w:val="28"/>
          <w:szCs w:val="28"/>
          <w:highlight w:val="none"/>
        </w:rPr>
        <w:t>资格审查条件（业绩最低要求）</w:t>
      </w:r>
      <w:r>
        <w:rPr>
          <w:rStyle w:val="47"/>
          <w:rFonts w:hint="default" w:ascii="Times New Roman" w:hAnsi="Times New Roman" w:eastAsia="黑体" w:cs="Times New Roman"/>
          <w:color w:val="auto"/>
          <w:sz w:val="28"/>
          <w:szCs w:val="28"/>
          <w:highlight w:val="none"/>
        </w:rPr>
        <w:footnoteReference w:id="21"/>
      </w:r>
      <w:bookmarkEnd w:id="70"/>
      <w:bookmarkEnd w:id="71"/>
      <w:bookmarkEnd w:id="72"/>
      <w:bookmarkEnd w:id="7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5B5E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5F360C3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 绩 要 求</w:t>
            </w:r>
            <w:r>
              <w:rPr>
                <w:rStyle w:val="47"/>
                <w:rFonts w:hint="default" w:ascii="Times New Roman" w:hAnsi="Times New Roman" w:cs="Times New Roman"/>
                <w:color w:val="auto"/>
                <w:szCs w:val="21"/>
                <w:highlight w:val="none"/>
              </w:rPr>
              <w:footnoteReference w:id="22"/>
            </w:r>
          </w:p>
        </w:tc>
      </w:tr>
      <w:tr w14:paraId="1165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60F7F422">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投标人202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年1月1日至投标文件递交截止时间（指交工验收时为202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年1月1日至投标文件递交截止日内），完成过至少1项类似公路工程业绩。</w:t>
            </w:r>
          </w:p>
          <w:p w14:paraId="70CC67A3">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注：投标人应提供中标通知书、施工合同及竣工相关证明材料，三者缺一不可，合同时间以竣工时间为准。</w:t>
            </w:r>
          </w:p>
          <w:p w14:paraId="6DF897B1">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1、已录入“辽宁省公共资源交易平台主体交易库”中的企业业绩，可以从主体库中选取后关联至投标文件中，作为企业业绩的证明材料。</w:t>
            </w:r>
          </w:p>
          <w:p w14:paraId="0B7E14F2">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07AFFCEC">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如投标人未按要求提供企业业绩证明材料或企业业绩证明材料中的信息无法证实企业满足招标文件要求，则该项目业绩在评审时不予认定。</w:t>
            </w:r>
          </w:p>
          <w:p w14:paraId="1950D41D">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006CA48B">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4、如近年来，投标人法人机构发生变更或重组或法人名称变更时，应提供相关部门的合法</w:t>
            </w:r>
            <w:r>
              <w:rPr>
                <w:rFonts w:hint="eastAsia" w:cs="Times New Roman"/>
                <w:color w:val="auto"/>
                <w:szCs w:val="21"/>
                <w:highlight w:val="none"/>
                <w:lang w:val="en-US" w:eastAsia="zh-CN"/>
              </w:rPr>
              <w:t>批准文件</w:t>
            </w:r>
            <w:r>
              <w:rPr>
                <w:rFonts w:hint="default" w:ascii="Times New Roman" w:hAnsi="Times New Roman" w:cs="Times New Roman"/>
                <w:color w:val="auto"/>
                <w:szCs w:val="21"/>
                <w:highlight w:val="none"/>
              </w:rPr>
              <w:t>。</w:t>
            </w:r>
          </w:p>
          <w:p w14:paraId="06B0B72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2C73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2D0C9784">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p w14:paraId="51C91C4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67A4CB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E9A35E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85A7A4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8782B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05315247">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30D371AB">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74" w:name="_Toc17966"/>
      <w:bookmarkStart w:id="75" w:name="_Toc234832866"/>
      <w:bookmarkStart w:id="76" w:name="_Toc24335"/>
      <w:bookmarkStart w:id="77" w:name="_Toc29363"/>
      <w:r>
        <w:rPr>
          <w:rFonts w:hint="default" w:ascii="Times New Roman" w:hAnsi="Times New Roman" w:eastAsia="黑体" w:cs="Times New Roman"/>
          <w:color w:val="auto"/>
          <w:sz w:val="28"/>
          <w:szCs w:val="28"/>
          <w:highlight w:val="none"/>
        </w:rPr>
        <w:t>附录4  资格审查条件（信誉最低要求）</w:t>
      </w:r>
      <w:r>
        <w:rPr>
          <w:rStyle w:val="47"/>
          <w:rFonts w:hint="default" w:ascii="Times New Roman" w:hAnsi="Times New Roman" w:eastAsia="黑体" w:cs="Times New Roman"/>
          <w:color w:val="auto"/>
          <w:sz w:val="28"/>
          <w:szCs w:val="28"/>
          <w:highlight w:val="none"/>
        </w:rPr>
        <w:footnoteReference w:id="23"/>
      </w:r>
      <w:bookmarkEnd w:id="74"/>
      <w:bookmarkEnd w:id="75"/>
      <w:bookmarkEnd w:id="76"/>
      <w:bookmarkEnd w:id="77"/>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05C1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3C05642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 誉 要 求</w:t>
            </w:r>
          </w:p>
        </w:tc>
      </w:tr>
      <w:tr w14:paraId="686E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06D23736">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（1）未被省级及以上交通运输主管部门取消招标项目所在地的投标资格且处于有效期内；</w:t>
            </w:r>
          </w:p>
          <w:p w14:paraId="6BF5A629">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（2）未被责令停业，暂扣或吊销执照，或吊销资质证书；</w:t>
            </w:r>
          </w:p>
          <w:p w14:paraId="0C3077D2">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（3）未进入清算程序，或被宣告破产，或其他丧失履约能力的情形；</w:t>
            </w:r>
          </w:p>
          <w:p w14:paraId="22839F74">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（4）在国家企业信用信息公示系统（http：//www.gsxt.gov.cn）中未被列入严重违法失信企业名单；</w:t>
            </w:r>
          </w:p>
          <w:p w14:paraId="12ED47D8">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（5）在“信用中国”网站（http：//www.creditchina.gov.cn）中未被列入失信被执行人名单；</w:t>
            </w:r>
          </w:p>
          <w:p w14:paraId="11D9B7AB">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（6）投标人或其法定代表人、拟委任的项目经理在近三年内没有行贿犯罪行为的；</w:t>
            </w:r>
          </w:p>
          <w:p w14:paraId="100BDB85">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（7）投标人在以往工程未因拖欠农民工工资、材料采购、工程分包款等，而受到省级有关部门的通报；</w:t>
            </w:r>
          </w:p>
          <w:p w14:paraId="32D4F0B3">
            <w:pPr>
              <w:rPr>
                <w:color w:val="auto"/>
                <w:highlight w:val="none"/>
              </w:rPr>
            </w:pPr>
            <w:r>
              <w:rPr>
                <w:rFonts w:hint="default" w:ascii="Times New Roman" w:hAnsi="Times New Roman" w:cs="Times New Roman"/>
                <w:color w:val="auto"/>
                <w:szCs w:val="21"/>
                <w:highlight w:val="none"/>
              </w:rPr>
              <w:t>（8）法律法规规定的其他情形。</w:t>
            </w:r>
          </w:p>
          <w:p w14:paraId="2905902E">
            <w:pPr>
              <w:rPr>
                <w:color w:val="auto"/>
                <w:highlight w:val="none"/>
              </w:rPr>
            </w:pPr>
          </w:p>
          <w:p w14:paraId="52B017A7">
            <w:pPr>
              <w:rPr>
                <w:color w:val="auto"/>
                <w:highlight w:val="none"/>
              </w:rPr>
            </w:pPr>
          </w:p>
          <w:p w14:paraId="4AC4A125">
            <w:pPr>
              <w:rPr>
                <w:color w:val="auto"/>
                <w:highlight w:val="none"/>
              </w:rPr>
            </w:pPr>
          </w:p>
          <w:p w14:paraId="1C507BC4">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p>
          <w:p w14:paraId="3B5FE26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C25E12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018E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6FF5749C">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p w14:paraId="1B9A51F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0089A1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D82D76A">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0EE50F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7C336F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6F4E74FF">
      <w:pPr>
        <w:pageBreakBefore w:val="0"/>
        <w:kinsoku/>
        <w:wordWrap w:val="0"/>
        <w:bidi w:val="0"/>
        <w:adjustRightInd w:val="0"/>
        <w:snapToGrid w:val="0"/>
        <w:spacing w:line="300" w:lineRule="exact"/>
        <w:rPr>
          <w:rFonts w:hint="default" w:ascii="Times New Roman" w:hAnsi="Times New Roman" w:eastAsia="隶书" w:cs="Times New Roman"/>
          <w:color w:val="auto"/>
          <w:sz w:val="32"/>
          <w:highlight w:val="none"/>
        </w:rPr>
      </w:pPr>
    </w:p>
    <w:p w14:paraId="41A078B4">
      <w:pPr>
        <w:pageBreakBefore w:val="0"/>
        <w:kinsoku/>
        <w:wordWrap w:val="0"/>
        <w:bidi w:val="0"/>
        <w:adjustRightInd w:val="0"/>
        <w:snapToGrid w:val="0"/>
        <w:spacing w:line="300" w:lineRule="auto"/>
        <w:rPr>
          <w:rFonts w:hint="default" w:ascii="Times New Roman" w:hAnsi="Times New Roman" w:cs="Times New Roman"/>
          <w:bCs/>
          <w:color w:val="auto"/>
          <w:highlight w:val="none"/>
        </w:rPr>
      </w:pPr>
    </w:p>
    <w:p w14:paraId="3F2E9AF9">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0F1A4AF7">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78" w:name="_Toc234832867"/>
      <w:bookmarkStart w:id="79" w:name="_Toc27658"/>
      <w:bookmarkStart w:id="80" w:name="_Toc4102"/>
      <w:bookmarkStart w:id="81" w:name="_Toc4881"/>
      <w:r>
        <w:rPr>
          <w:rFonts w:hint="default" w:ascii="Times New Roman" w:hAnsi="Times New Roman" w:eastAsia="黑体" w:cs="Times New Roman"/>
          <w:color w:val="auto"/>
          <w:sz w:val="28"/>
          <w:szCs w:val="28"/>
          <w:highlight w:val="none"/>
        </w:rPr>
        <w:t>附录5  资格审查条件（项目经理和项目总工最低要求）</w:t>
      </w:r>
      <w:r>
        <w:rPr>
          <w:rStyle w:val="47"/>
          <w:rFonts w:hint="default" w:ascii="Times New Roman" w:hAnsi="Times New Roman" w:eastAsia="黑体" w:cs="Times New Roman"/>
          <w:color w:val="auto"/>
          <w:sz w:val="28"/>
          <w:szCs w:val="28"/>
          <w:highlight w:val="none"/>
        </w:rPr>
        <w:footnoteReference w:id="24"/>
      </w:r>
      <w:bookmarkEnd w:id="78"/>
      <w:bookmarkEnd w:id="79"/>
      <w:bookmarkEnd w:id="80"/>
      <w:bookmarkEnd w:id="81"/>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559"/>
        <w:gridCol w:w="2888"/>
        <w:gridCol w:w="2887"/>
      </w:tblGrid>
      <w:tr w14:paraId="6B65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70" w:type="dxa"/>
            <w:noWrap w:val="0"/>
            <w:vAlign w:val="center"/>
          </w:tcPr>
          <w:p w14:paraId="1BE5FC90">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  员</w:t>
            </w:r>
          </w:p>
        </w:tc>
        <w:tc>
          <w:tcPr>
            <w:tcW w:w="1559" w:type="dxa"/>
            <w:noWrap w:val="0"/>
            <w:vAlign w:val="center"/>
          </w:tcPr>
          <w:p w14:paraId="6558C28D">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  量</w:t>
            </w:r>
          </w:p>
        </w:tc>
        <w:tc>
          <w:tcPr>
            <w:tcW w:w="2888" w:type="dxa"/>
            <w:noWrap w:val="0"/>
            <w:vAlign w:val="center"/>
          </w:tcPr>
          <w:p w14:paraId="6A4ABB0F">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 格 要 求</w:t>
            </w:r>
            <w:r>
              <w:rPr>
                <w:rStyle w:val="47"/>
                <w:rFonts w:hint="default" w:ascii="Times New Roman" w:hAnsi="Times New Roman" w:cs="Times New Roman"/>
                <w:color w:val="auto"/>
                <w:szCs w:val="21"/>
                <w:highlight w:val="none"/>
              </w:rPr>
              <w:footnoteReference w:id="25"/>
            </w:r>
          </w:p>
        </w:tc>
        <w:tc>
          <w:tcPr>
            <w:tcW w:w="2887" w:type="dxa"/>
            <w:noWrap w:val="0"/>
            <w:vAlign w:val="center"/>
          </w:tcPr>
          <w:p w14:paraId="14A395B6">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在岗要求</w:t>
            </w:r>
          </w:p>
        </w:tc>
      </w:tr>
      <w:tr w14:paraId="4149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380F0A87">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1559" w:type="dxa"/>
            <w:noWrap w:val="0"/>
            <w:vAlign w:val="center"/>
          </w:tcPr>
          <w:p w14:paraId="6DACDB29">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w:t>
            </w:r>
          </w:p>
        </w:tc>
        <w:tc>
          <w:tcPr>
            <w:tcW w:w="2888" w:type="dxa"/>
            <w:noWrap w:val="0"/>
            <w:vAlign w:val="center"/>
          </w:tcPr>
          <w:p w14:paraId="5D01F170">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具有公路工程专业二级及以上建造师证书且证书目前必须注册在投标人单位，具有交通运输主管部门颁发的安全生产考核合格“B”类证书并在有效期内且证书目前必须注册在投标人单位</w:t>
            </w:r>
          </w:p>
        </w:tc>
        <w:tc>
          <w:tcPr>
            <w:tcW w:w="2887" w:type="dxa"/>
            <w:vMerge w:val="restart"/>
            <w:noWrap w:val="0"/>
            <w:vAlign w:val="center"/>
          </w:tcPr>
          <w:p w14:paraId="446E3881">
            <w:pPr>
              <w:pageBreakBefore w:val="0"/>
              <w:kinsoku/>
              <w:wordWrap w:val="0"/>
              <w:bidi w:val="0"/>
              <w:adjustRightInd w:val="0"/>
              <w:snapToGrid w:val="0"/>
              <w:spacing w:line="30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无在岗项目（指目前未在其他项目上任职，或虽在其他项目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w:t>
            </w:r>
          </w:p>
          <w:p w14:paraId="6CC9A75D">
            <w:pPr>
              <w:pageBreakBefore w:val="0"/>
              <w:kinsoku/>
              <w:wordWrap w:val="0"/>
              <w:bidi w:val="0"/>
              <w:adjustRightInd w:val="0"/>
              <w:snapToGrid w:val="0"/>
              <w:spacing w:line="300" w:lineRule="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项目经理和项目总工程师不得同时在两个及以上项目任职</w:t>
            </w:r>
            <w:r>
              <w:rPr>
                <w:rFonts w:hint="eastAsia" w:ascii="Times New Roman" w:hAnsi="Times New Roman" w:cs="Times New Roman"/>
                <w:color w:val="auto"/>
                <w:highlight w:val="none"/>
                <w:lang w:eastAsia="zh-CN"/>
              </w:rPr>
              <w:t>。</w:t>
            </w:r>
          </w:p>
        </w:tc>
      </w:tr>
      <w:tr w14:paraId="4877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1976AE3F">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项目总工</w:t>
            </w:r>
          </w:p>
        </w:tc>
        <w:tc>
          <w:tcPr>
            <w:tcW w:w="1559" w:type="dxa"/>
            <w:noWrap w:val="0"/>
            <w:vAlign w:val="center"/>
          </w:tcPr>
          <w:p w14:paraId="34E4D889">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w:t>
            </w:r>
          </w:p>
        </w:tc>
        <w:tc>
          <w:tcPr>
            <w:tcW w:w="2888" w:type="dxa"/>
            <w:noWrap w:val="0"/>
            <w:vAlign w:val="center"/>
          </w:tcPr>
          <w:p w14:paraId="52A0A8FD">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公路工程相关专业中级及以上技术职称。</w:t>
            </w:r>
          </w:p>
          <w:p w14:paraId="674DEE9A">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tc>
        <w:tc>
          <w:tcPr>
            <w:tcW w:w="2887" w:type="dxa"/>
            <w:vMerge w:val="continue"/>
            <w:noWrap w:val="0"/>
            <w:vAlign w:val="center"/>
          </w:tcPr>
          <w:p w14:paraId="21EF82F1">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p>
        </w:tc>
      </w:tr>
      <w:tr w14:paraId="0A99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9004" w:type="dxa"/>
            <w:gridSpan w:val="4"/>
            <w:noWrap w:val="0"/>
            <w:vAlign w:val="top"/>
          </w:tcPr>
          <w:p w14:paraId="78934B08">
            <w:pPr>
              <w:pageBreakBefore w:val="0"/>
              <w:kinsoku/>
              <w:wordWrap w:val="0"/>
              <w:bidi w:val="0"/>
              <w:adjustRightInd w:val="0"/>
              <w:snapToGrid w:val="0"/>
              <w:spacing w:line="300" w:lineRule="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tc>
      </w:tr>
    </w:tbl>
    <w:p w14:paraId="0584DED7">
      <w:pPr>
        <w:pageBreakBefore w:val="0"/>
        <w:kinsoku/>
        <w:wordWrap w:val="0"/>
        <w:bidi w:val="0"/>
        <w:adjustRightInd w:val="0"/>
        <w:snapToGrid w:val="0"/>
        <w:spacing w:line="240" w:lineRule="exact"/>
        <w:rPr>
          <w:rFonts w:hint="default" w:ascii="Times New Roman" w:hAnsi="Times New Roman" w:eastAsia="隶书" w:cs="Times New Roman"/>
          <w:b/>
          <w:bCs/>
          <w:color w:val="auto"/>
          <w:sz w:val="32"/>
          <w:szCs w:val="32"/>
          <w:highlight w:val="none"/>
        </w:rPr>
      </w:pPr>
    </w:p>
    <w:p w14:paraId="073DC223">
      <w:pPr>
        <w:pageBreakBefore w:val="0"/>
        <w:kinsoku/>
        <w:wordWrap w:val="0"/>
        <w:bidi w:val="0"/>
        <w:adjustRightInd w:val="0"/>
        <w:snapToGrid w:val="0"/>
        <w:spacing w:line="300" w:lineRule="auto"/>
        <w:ind w:right="-512" w:rightChars="-244" w:firstLine="422" w:firstLineChars="200"/>
        <w:rPr>
          <w:rFonts w:hint="default" w:ascii="Times New Roman" w:hAnsi="Times New Roman" w:cs="Times New Roman"/>
          <w:b/>
          <w:iCs/>
          <w:color w:val="auto"/>
          <w:szCs w:val="21"/>
          <w:highlight w:val="none"/>
        </w:rPr>
      </w:pPr>
    </w:p>
    <w:p w14:paraId="7F57F205">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82" w:name="_Toc234832868"/>
      <w:r>
        <w:rPr>
          <w:rFonts w:hint="default" w:ascii="Times New Roman" w:hAnsi="Times New Roman" w:eastAsia="黑体" w:cs="Times New Roman"/>
          <w:color w:val="auto"/>
          <w:sz w:val="28"/>
          <w:szCs w:val="28"/>
          <w:highlight w:val="none"/>
        </w:rPr>
        <w:br w:type="page"/>
      </w:r>
      <w:bookmarkStart w:id="83" w:name="_Toc29411"/>
      <w:bookmarkStart w:id="84" w:name="_Toc31914"/>
      <w:bookmarkStart w:id="85" w:name="_Toc5891"/>
      <w:r>
        <w:rPr>
          <w:rFonts w:hint="default" w:ascii="Times New Roman" w:hAnsi="Times New Roman" w:eastAsia="黑体" w:cs="Times New Roman"/>
          <w:color w:val="auto"/>
          <w:sz w:val="28"/>
          <w:szCs w:val="28"/>
          <w:highlight w:val="none"/>
        </w:rPr>
        <w:t>附录6  资格审查条件（其他管理和技术人员最低要求）</w:t>
      </w:r>
      <w:r>
        <w:rPr>
          <w:rFonts w:hint="default" w:ascii="Times New Roman" w:hAnsi="Times New Roman" w:eastAsia="黑体" w:cs="Times New Roman"/>
          <w:color w:val="auto"/>
          <w:sz w:val="28"/>
          <w:szCs w:val="28"/>
          <w:highlight w:val="none"/>
          <w:vertAlign w:val="superscript"/>
        </w:rPr>
        <w:footnoteReference w:id="26"/>
      </w:r>
      <w:bookmarkEnd w:id="82"/>
      <w:bookmarkEnd w:id="83"/>
      <w:bookmarkEnd w:id="84"/>
      <w:bookmarkEnd w:id="85"/>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331"/>
        <w:gridCol w:w="5847"/>
      </w:tblGrid>
      <w:tr w14:paraId="025D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826" w:type="dxa"/>
            <w:noWrap w:val="0"/>
            <w:vAlign w:val="center"/>
          </w:tcPr>
          <w:p w14:paraId="419B1A4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  员</w:t>
            </w:r>
          </w:p>
        </w:tc>
        <w:tc>
          <w:tcPr>
            <w:tcW w:w="1331" w:type="dxa"/>
            <w:noWrap w:val="0"/>
            <w:vAlign w:val="center"/>
          </w:tcPr>
          <w:p w14:paraId="0748ED2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  量</w:t>
            </w:r>
          </w:p>
        </w:tc>
        <w:tc>
          <w:tcPr>
            <w:tcW w:w="5847" w:type="dxa"/>
            <w:noWrap w:val="0"/>
            <w:vAlign w:val="center"/>
          </w:tcPr>
          <w:p w14:paraId="71CCD8A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 格 要 求</w:t>
            </w:r>
          </w:p>
        </w:tc>
      </w:tr>
      <w:tr w14:paraId="0948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70E00058">
            <w:pPr>
              <w:pageBreakBefore w:val="0"/>
              <w:kinsoku/>
              <w:wordWrap w:val="0"/>
              <w:bidi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1331" w:type="dxa"/>
            <w:noWrap w:val="0"/>
            <w:vAlign w:val="center"/>
          </w:tcPr>
          <w:p w14:paraId="55CA95F2">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5847" w:type="dxa"/>
            <w:noWrap w:val="0"/>
            <w:vAlign w:val="center"/>
          </w:tcPr>
          <w:p w14:paraId="054345CC">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6E85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3F9F0E6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noWrap w:val="0"/>
            <w:vAlign w:val="center"/>
          </w:tcPr>
          <w:p w14:paraId="070060E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noWrap w:val="0"/>
            <w:vAlign w:val="center"/>
          </w:tcPr>
          <w:p w14:paraId="6580F046">
            <w:pPr>
              <w:pageBreakBefore w:val="0"/>
              <w:kinsoku/>
              <w:wordWrap w:val="0"/>
              <w:bidi w:val="0"/>
              <w:spacing w:line="400" w:lineRule="atLeast"/>
              <w:rPr>
                <w:rFonts w:hint="default" w:ascii="Times New Roman" w:hAnsi="Times New Roman" w:cs="Times New Roman"/>
                <w:color w:val="auto"/>
                <w:sz w:val="24"/>
                <w:highlight w:val="none"/>
              </w:rPr>
            </w:pPr>
          </w:p>
        </w:tc>
      </w:tr>
      <w:tr w14:paraId="469A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7BE5848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noWrap w:val="0"/>
            <w:vAlign w:val="center"/>
          </w:tcPr>
          <w:p w14:paraId="44E797B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noWrap w:val="0"/>
            <w:vAlign w:val="center"/>
          </w:tcPr>
          <w:p w14:paraId="3405F47E">
            <w:pPr>
              <w:pageBreakBefore w:val="0"/>
              <w:kinsoku/>
              <w:wordWrap w:val="0"/>
              <w:bidi w:val="0"/>
              <w:spacing w:line="400" w:lineRule="atLeast"/>
              <w:rPr>
                <w:rFonts w:hint="default" w:ascii="Times New Roman" w:hAnsi="Times New Roman" w:cs="Times New Roman"/>
                <w:color w:val="auto"/>
                <w:sz w:val="24"/>
                <w:highlight w:val="none"/>
              </w:rPr>
            </w:pPr>
          </w:p>
        </w:tc>
      </w:tr>
      <w:tr w14:paraId="6411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0548910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7C899F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52A8683F">
            <w:pPr>
              <w:pageBreakBefore w:val="0"/>
              <w:kinsoku/>
              <w:wordWrap w:val="0"/>
              <w:bidi w:val="0"/>
              <w:spacing w:line="400" w:lineRule="atLeast"/>
              <w:rPr>
                <w:rFonts w:hint="default" w:ascii="Times New Roman" w:hAnsi="Times New Roman" w:cs="Times New Roman"/>
                <w:color w:val="auto"/>
                <w:sz w:val="24"/>
                <w:highlight w:val="none"/>
              </w:rPr>
            </w:pPr>
          </w:p>
        </w:tc>
      </w:tr>
      <w:tr w14:paraId="5226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4DF93B1">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6CFE3F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C2606E6">
            <w:pPr>
              <w:pageBreakBefore w:val="0"/>
              <w:kinsoku/>
              <w:wordWrap w:val="0"/>
              <w:bidi w:val="0"/>
              <w:spacing w:line="400" w:lineRule="atLeast"/>
              <w:rPr>
                <w:rFonts w:hint="default" w:ascii="Times New Roman" w:hAnsi="Times New Roman" w:cs="Times New Roman"/>
                <w:color w:val="auto"/>
                <w:sz w:val="24"/>
                <w:highlight w:val="none"/>
              </w:rPr>
            </w:pPr>
          </w:p>
        </w:tc>
      </w:tr>
      <w:tr w14:paraId="75A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36BF237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53F40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DB74A6F">
            <w:pPr>
              <w:pageBreakBefore w:val="0"/>
              <w:kinsoku/>
              <w:wordWrap w:val="0"/>
              <w:bidi w:val="0"/>
              <w:spacing w:line="400" w:lineRule="atLeast"/>
              <w:rPr>
                <w:rFonts w:hint="default" w:ascii="Times New Roman" w:hAnsi="Times New Roman" w:cs="Times New Roman"/>
                <w:color w:val="auto"/>
                <w:sz w:val="24"/>
                <w:highlight w:val="none"/>
              </w:rPr>
            </w:pPr>
          </w:p>
        </w:tc>
      </w:tr>
      <w:tr w14:paraId="720C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D112895">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9B7C26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3770FD6">
            <w:pPr>
              <w:pageBreakBefore w:val="0"/>
              <w:kinsoku/>
              <w:wordWrap w:val="0"/>
              <w:bidi w:val="0"/>
              <w:spacing w:line="400" w:lineRule="atLeast"/>
              <w:rPr>
                <w:rFonts w:hint="default" w:ascii="Times New Roman" w:hAnsi="Times New Roman" w:cs="Times New Roman"/>
                <w:color w:val="auto"/>
                <w:sz w:val="24"/>
                <w:highlight w:val="none"/>
              </w:rPr>
            </w:pPr>
          </w:p>
        </w:tc>
      </w:tr>
      <w:tr w14:paraId="272C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503C3B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BDF40A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4034B57">
            <w:pPr>
              <w:pageBreakBefore w:val="0"/>
              <w:kinsoku/>
              <w:wordWrap w:val="0"/>
              <w:bidi w:val="0"/>
              <w:spacing w:line="400" w:lineRule="atLeast"/>
              <w:rPr>
                <w:rFonts w:hint="default" w:ascii="Times New Roman" w:hAnsi="Times New Roman" w:cs="Times New Roman"/>
                <w:color w:val="auto"/>
                <w:sz w:val="24"/>
                <w:highlight w:val="none"/>
              </w:rPr>
            </w:pPr>
          </w:p>
        </w:tc>
      </w:tr>
      <w:tr w14:paraId="469D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8B9DD2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A3E93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EDD1D00">
            <w:pPr>
              <w:pageBreakBefore w:val="0"/>
              <w:kinsoku/>
              <w:wordWrap w:val="0"/>
              <w:bidi w:val="0"/>
              <w:spacing w:line="400" w:lineRule="atLeast"/>
              <w:rPr>
                <w:rFonts w:hint="default" w:ascii="Times New Roman" w:hAnsi="Times New Roman" w:cs="Times New Roman"/>
                <w:color w:val="auto"/>
                <w:sz w:val="24"/>
                <w:highlight w:val="none"/>
              </w:rPr>
            </w:pPr>
          </w:p>
        </w:tc>
      </w:tr>
      <w:tr w14:paraId="3D78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CF012D0">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EE565A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84FC905">
            <w:pPr>
              <w:pageBreakBefore w:val="0"/>
              <w:kinsoku/>
              <w:wordWrap w:val="0"/>
              <w:bidi w:val="0"/>
              <w:spacing w:line="400" w:lineRule="atLeast"/>
              <w:rPr>
                <w:rFonts w:hint="default" w:ascii="Times New Roman" w:hAnsi="Times New Roman" w:cs="Times New Roman"/>
                <w:color w:val="auto"/>
                <w:sz w:val="24"/>
                <w:highlight w:val="none"/>
              </w:rPr>
            </w:pPr>
          </w:p>
        </w:tc>
      </w:tr>
      <w:tr w14:paraId="466D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BE28FB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826FB1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2397442F">
            <w:pPr>
              <w:pageBreakBefore w:val="0"/>
              <w:kinsoku/>
              <w:wordWrap w:val="0"/>
              <w:bidi w:val="0"/>
              <w:spacing w:line="400" w:lineRule="atLeast"/>
              <w:rPr>
                <w:rFonts w:hint="default" w:ascii="Times New Roman" w:hAnsi="Times New Roman" w:cs="Times New Roman"/>
                <w:color w:val="auto"/>
                <w:sz w:val="24"/>
                <w:highlight w:val="none"/>
              </w:rPr>
            </w:pPr>
          </w:p>
        </w:tc>
      </w:tr>
      <w:tr w14:paraId="0868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04554B9">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B1586F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1B7896B">
            <w:pPr>
              <w:pageBreakBefore w:val="0"/>
              <w:kinsoku/>
              <w:wordWrap w:val="0"/>
              <w:bidi w:val="0"/>
              <w:spacing w:line="400" w:lineRule="atLeast"/>
              <w:rPr>
                <w:rFonts w:hint="default" w:ascii="Times New Roman" w:hAnsi="Times New Roman" w:cs="Times New Roman"/>
                <w:color w:val="auto"/>
                <w:sz w:val="24"/>
                <w:highlight w:val="none"/>
              </w:rPr>
            </w:pPr>
          </w:p>
        </w:tc>
      </w:tr>
      <w:tr w14:paraId="0062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3CD2B748">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ABDC22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87905E8">
            <w:pPr>
              <w:pageBreakBefore w:val="0"/>
              <w:kinsoku/>
              <w:wordWrap w:val="0"/>
              <w:bidi w:val="0"/>
              <w:spacing w:line="400" w:lineRule="atLeast"/>
              <w:rPr>
                <w:rFonts w:hint="default" w:ascii="Times New Roman" w:hAnsi="Times New Roman" w:cs="Times New Roman"/>
                <w:color w:val="auto"/>
                <w:sz w:val="24"/>
                <w:highlight w:val="none"/>
              </w:rPr>
            </w:pPr>
          </w:p>
        </w:tc>
      </w:tr>
      <w:tr w14:paraId="2666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8" w:hRule="atLeast"/>
          <w:jc w:val="center"/>
        </w:trPr>
        <w:tc>
          <w:tcPr>
            <w:tcW w:w="9004" w:type="dxa"/>
            <w:gridSpan w:val="3"/>
            <w:tcBorders>
              <w:top w:val="single" w:color="auto" w:sz="4" w:space="0"/>
              <w:left w:val="single" w:color="auto" w:sz="4" w:space="0"/>
              <w:bottom w:val="single" w:color="auto" w:sz="4" w:space="0"/>
              <w:right w:val="single" w:color="auto" w:sz="4" w:space="0"/>
            </w:tcBorders>
            <w:noWrap w:val="0"/>
            <w:vAlign w:val="top"/>
          </w:tcPr>
          <w:p w14:paraId="0C46FE9B">
            <w:pPr>
              <w:pageBreakBefore w:val="0"/>
              <w:kinsoku/>
              <w:wordWrap w:val="0"/>
              <w:bidi w:val="0"/>
              <w:spacing w:line="400" w:lineRule="atLeast"/>
              <w:rPr>
                <w:rFonts w:hint="eastAsia" w:cs="Times New Roman"/>
                <w:color w:val="auto"/>
                <w:sz w:val="24"/>
                <w:highlight w:val="none"/>
                <w:lang w:val="en-US" w:eastAsia="zh-CN"/>
              </w:rPr>
            </w:pPr>
            <w:r>
              <w:rPr>
                <w:rFonts w:hint="eastAsia" w:cs="Times New Roman"/>
                <w:color w:val="auto"/>
                <w:sz w:val="24"/>
                <w:highlight w:val="none"/>
                <w:lang w:val="en-US" w:eastAsia="zh-CN"/>
              </w:rPr>
              <w:t>注：</w:t>
            </w:r>
          </w:p>
          <w:p w14:paraId="025E93C9">
            <w:pPr>
              <w:pageBreakBefore w:val="0"/>
              <w:kinsoku/>
              <w:wordWrap w:val="0"/>
              <w:bidi w:val="0"/>
              <w:spacing w:line="400" w:lineRule="atLeast"/>
              <w:rPr>
                <w:rFonts w:hint="eastAsia" w:cs="Times New Roman"/>
                <w:color w:val="auto"/>
                <w:sz w:val="24"/>
                <w:highlight w:val="none"/>
                <w:lang w:val="en-US" w:eastAsia="zh-CN"/>
              </w:rPr>
            </w:pPr>
          </w:p>
        </w:tc>
      </w:tr>
    </w:tbl>
    <w:p w14:paraId="59784BBB">
      <w:pPr>
        <w:pageBreakBefore w:val="0"/>
        <w:kinsoku/>
        <w:wordWrap w:val="0"/>
        <w:bidi w:val="0"/>
        <w:adjustRightInd w:val="0"/>
        <w:snapToGrid w:val="0"/>
        <w:spacing w:line="400" w:lineRule="atLeast"/>
        <w:jc w:val="center"/>
        <w:rPr>
          <w:rFonts w:hint="default" w:ascii="Times New Roman" w:hAnsi="Times New Roman" w:eastAsia="黑体" w:cs="Times New Roman"/>
          <w:color w:val="auto"/>
          <w:sz w:val="24"/>
          <w:highlight w:val="none"/>
        </w:rPr>
      </w:pPr>
    </w:p>
    <w:p w14:paraId="010F9F97">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86" w:name="_Toc234832869"/>
      <w:bookmarkStart w:id="87" w:name="_Toc29351"/>
      <w:bookmarkStart w:id="88" w:name="_Toc31451"/>
      <w:bookmarkStart w:id="89" w:name="_Toc11147"/>
      <w:r>
        <w:rPr>
          <w:rFonts w:hint="default" w:ascii="Times New Roman" w:hAnsi="Times New Roman" w:eastAsia="黑体" w:cs="Times New Roman"/>
          <w:color w:val="auto"/>
          <w:sz w:val="28"/>
          <w:szCs w:val="28"/>
          <w:highlight w:val="none"/>
        </w:rPr>
        <w:t>附录7  资格审查条件（主要机械设备和试验检测设备最低要求）</w:t>
      </w:r>
      <w:r>
        <w:rPr>
          <w:rFonts w:hint="default" w:ascii="Times New Roman" w:hAnsi="Times New Roman" w:eastAsia="黑体" w:cs="Times New Roman"/>
          <w:color w:val="auto"/>
          <w:sz w:val="28"/>
          <w:szCs w:val="28"/>
          <w:highlight w:val="none"/>
          <w:vertAlign w:val="superscript"/>
        </w:rPr>
        <w:footnoteReference w:id="27"/>
      </w:r>
      <w:bookmarkEnd w:id="86"/>
      <w:bookmarkEnd w:id="87"/>
      <w:bookmarkEnd w:id="88"/>
      <w:bookmarkEnd w:id="8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3224"/>
        <w:gridCol w:w="1197"/>
        <w:gridCol w:w="2371"/>
      </w:tblGrid>
      <w:tr w14:paraId="0181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658C5B9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3224" w:type="dxa"/>
            <w:noWrap w:val="0"/>
            <w:vAlign w:val="center"/>
          </w:tcPr>
          <w:p w14:paraId="384F64F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1197" w:type="dxa"/>
            <w:noWrap w:val="0"/>
            <w:vAlign w:val="center"/>
          </w:tcPr>
          <w:p w14:paraId="29C05A7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2371" w:type="dxa"/>
            <w:noWrap w:val="0"/>
            <w:vAlign w:val="center"/>
          </w:tcPr>
          <w:p w14:paraId="1FA86F2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04CB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315677C">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3224" w:type="dxa"/>
            <w:noWrap w:val="0"/>
            <w:vAlign w:val="center"/>
          </w:tcPr>
          <w:p w14:paraId="7EB777B1">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1197" w:type="dxa"/>
            <w:noWrap w:val="0"/>
            <w:vAlign w:val="center"/>
          </w:tcPr>
          <w:p w14:paraId="22069BE7">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2371" w:type="dxa"/>
            <w:noWrap w:val="0"/>
            <w:vAlign w:val="center"/>
          </w:tcPr>
          <w:p w14:paraId="5FEE6FD6">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5405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7B027D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2BF6172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02D81D1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3FA7F101">
            <w:pPr>
              <w:pageBreakBefore w:val="0"/>
              <w:kinsoku/>
              <w:wordWrap w:val="0"/>
              <w:bidi w:val="0"/>
              <w:spacing w:line="400" w:lineRule="atLeast"/>
              <w:rPr>
                <w:rFonts w:hint="default" w:ascii="Times New Roman" w:hAnsi="Times New Roman" w:cs="Times New Roman"/>
                <w:color w:val="auto"/>
                <w:sz w:val="24"/>
                <w:highlight w:val="none"/>
              </w:rPr>
            </w:pPr>
          </w:p>
        </w:tc>
      </w:tr>
      <w:tr w14:paraId="4D45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2DD239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4AC76D62">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1B3D9D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4579AF50">
            <w:pPr>
              <w:pageBreakBefore w:val="0"/>
              <w:kinsoku/>
              <w:wordWrap w:val="0"/>
              <w:bidi w:val="0"/>
              <w:spacing w:line="400" w:lineRule="atLeast"/>
              <w:rPr>
                <w:rFonts w:hint="default" w:ascii="Times New Roman" w:hAnsi="Times New Roman" w:cs="Times New Roman"/>
                <w:color w:val="auto"/>
                <w:sz w:val="24"/>
                <w:highlight w:val="none"/>
              </w:rPr>
            </w:pPr>
          </w:p>
        </w:tc>
      </w:tr>
      <w:tr w14:paraId="0A1D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73AC1F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773061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51E36C0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656B6F6B">
            <w:pPr>
              <w:pageBreakBefore w:val="0"/>
              <w:kinsoku/>
              <w:wordWrap w:val="0"/>
              <w:bidi w:val="0"/>
              <w:spacing w:line="400" w:lineRule="atLeast"/>
              <w:rPr>
                <w:rFonts w:hint="default" w:ascii="Times New Roman" w:hAnsi="Times New Roman" w:cs="Times New Roman"/>
                <w:color w:val="auto"/>
                <w:sz w:val="24"/>
                <w:highlight w:val="none"/>
              </w:rPr>
            </w:pPr>
          </w:p>
        </w:tc>
      </w:tr>
      <w:tr w14:paraId="2D33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55DDDD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6DACE0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27C279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41BC422">
            <w:pPr>
              <w:pageBreakBefore w:val="0"/>
              <w:kinsoku/>
              <w:wordWrap w:val="0"/>
              <w:bidi w:val="0"/>
              <w:spacing w:line="400" w:lineRule="atLeast"/>
              <w:rPr>
                <w:rFonts w:hint="default" w:ascii="Times New Roman" w:hAnsi="Times New Roman" w:cs="Times New Roman"/>
                <w:color w:val="auto"/>
                <w:sz w:val="24"/>
                <w:highlight w:val="none"/>
              </w:rPr>
            </w:pPr>
          </w:p>
        </w:tc>
      </w:tr>
      <w:tr w14:paraId="0566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41A1C9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16F1F90C">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2E3D930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11D5BCE">
            <w:pPr>
              <w:pageBreakBefore w:val="0"/>
              <w:kinsoku/>
              <w:wordWrap w:val="0"/>
              <w:bidi w:val="0"/>
              <w:spacing w:line="400" w:lineRule="atLeast"/>
              <w:rPr>
                <w:rFonts w:hint="default" w:ascii="Times New Roman" w:hAnsi="Times New Roman" w:cs="Times New Roman"/>
                <w:color w:val="auto"/>
                <w:sz w:val="24"/>
                <w:highlight w:val="none"/>
              </w:rPr>
            </w:pPr>
          </w:p>
        </w:tc>
      </w:tr>
      <w:tr w14:paraId="5B39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3A99C27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49B7802D">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F68869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1258E95D">
            <w:pPr>
              <w:pageBreakBefore w:val="0"/>
              <w:kinsoku/>
              <w:wordWrap w:val="0"/>
              <w:bidi w:val="0"/>
              <w:spacing w:line="400" w:lineRule="atLeast"/>
              <w:rPr>
                <w:rFonts w:hint="default" w:ascii="Times New Roman" w:hAnsi="Times New Roman" w:cs="Times New Roman"/>
                <w:color w:val="auto"/>
                <w:sz w:val="24"/>
                <w:highlight w:val="none"/>
              </w:rPr>
            </w:pPr>
          </w:p>
        </w:tc>
      </w:tr>
      <w:tr w14:paraId="61DF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42B866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3E638CB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70A2525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4100B1EC">
            <w:pPr>
              <w:pageBreakBefore w:val="0"/>
              <w:kinsoku/>
              <w:wordWrap w:val="0"/>
              <w:bidi w:val="0"/>
              <w:spacing w:line="400" w:lineRule="atLeast"/>
              <w:rPr>
                <w:rFonts w:hint="default" w:ascii="Times New Roman" w:hAnsi="Times New Roman" w:cs="Times New Roman"/>
                <w:color w:val="auto"/>
                <w:sz w:val="24"/>
                <w:highlight w:val="none"/>
              </w:rPr>
            </w:pPr>
          </w:p>
        </w:tc>
      </w:tr>
      <w:tr w14:paraId="3D3C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5FC2BDD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E4F56D5">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F8F982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0EDB5244">
            <w:pPr>
              <w:pageBreakBefore w:val="0"/>
              <w:kinsoku/>
              <w:wordWrap w:val="0"/>
              <w:bidi w:val="0"/>
              <w:spacing w:line="400" w:lineRule="atLeast"/>
              <w:rPr>
                <w:rFonts w:hint="default" w:ascii="Times New Roman" w:hAnsi="Times New Roman" w:cs="Times New Roman"/>
                <w:color w:val="auto"/>
                <w:sz w:val="24"/>
                <w:highlight w:val="none"/>
              </w:rPr>
            </w:pPr>
          </w:p>
        </w:tc>
      </w:tr>
      <w:tr w14:paraId="5F25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6814F5B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798ADC4A">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0938722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53E6534B">
            <w:pPr>
              <w:pageBreakBefore w:val="0"/>
              <w:kinsoku/>
              <w:wordWrap w:val="0"/>
              <w:bidi w:val="0"/>
              <w:spacing w:line="400" w:lineRule="atLeast"/>
              <w:rPr>
                <w:rFonts w:hint="default" w:ascii="Times New Roman" w:hAnsi="Times New Roman" w:cs="Times New Roman"/>
                <w:color w:val="auto"/>
                <w:sz w:val="24"/>
                <w:highlight w:val="none"/>
              </w:rPr>
            </w:pPr>
          </w:p>
        </w:tc>
      </w:tr>
      <w:tr w14:paraId="5E86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2D76926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55395D69">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7B3CE60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BE2A236">
            <w:pPr>
              <w:pageBreakBefore w:val="0"/>
              <w:kinsoku/>
              <w:wordWrap w:val="0"/>
              <w:bidi w:val="0"/>
              <w:spacing w:line="400" w:lineRule="atLeast"/>
              <w:rPr>
                <w:rFonts w:hint="default" w:ascii="Times New Roman" w:hAnsi="Times New Roman" w:cs="Times New Roman"/>
                <w:color w:val="auto"/>
                <w:sz w:val="24"/>
                <w:highlight w:val="none"/>
              </w:rPr>
            </w:pPr>
          </w:p>
        </w:tc>
      </w:tr>
      <w:tr w14:paraId="4044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7F4E7D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3E512752">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14A81F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112AA1B">
            <w:pPr>
              <w:pageBreakBefore w:val="0"/>
              <w:kinsoku/>
              <w:wordWrap w:val="0"/>
              <w:bidi w:val="0"/>
              <w:spacing w:line="400" w:lineRule="atLeast"/>
              <w:rPr>
                <w:rFonts w:hint="default" w:ascii="Times New Roman" w:hAnsi="Times New Roman" w:cs="Times New Roman"/>
                <w:color w:val="auto"/>
                <w:sz w:val="24"/>
                <w:highlight w:val="none"/>
              </w:rPr>
            </w:pPr>
          </w:p>
        </w:tc>
      </w:tr>
      <w:tr w14:paraId="1054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45BAD8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219984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160B66A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555E9A3">
            <w:pPr>
              <w:pageBreakBefore w:val="0"/>
              <w:kinsoku/>
              <w:wordWrap w:val="0"/>
              <w:bidi w:val="0"/>
              <w:spacing w:line="400" w:lineRule="atLeast"/>
              <w:rPr>
                <w:rFonts w:hint="default" w:ascii="Times New Roman" w:hAnsi="Times New Roman" w:cs="Times New Roman"/>
                <w:color w:val="auto"/>
                <w:sz w:val="24"/>
                <w:highlight w:val="none"/>
              </w:rPr>
            </w:pPr>
          </w:p>
        </w:tc>
      </w:tr>
      <w:tr w14:paraId="2B16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2" w:hRule="atLeast"/>
          <w:jc w:val="center"/>
        </w:trPr>
        <w:tc>
          <w:tcPr>
            <w:tcW w:w="8696" w:type="dxa"/>
            <w:gridSpan w:val="4"/>
            <w:tcBorders>
              <w:top w:val="single" w:color="auto" w:sz="4" w:space="0"/>
              <w:left w:val="single" w:color="auto" w:sz="4" w:space="0"/>
              <w:bottom w:val="single" w:color="auto" w:sz="4" w:space="0"/>
              <w:right w:val="single" w:color="auto" w:sz="4" w:space="0"/>
            </w:tcBorders>
            <w:noWrap w:val="0"/>
            <w:vAlign w:val="top"/>
          </w:tcPr>
          <w:p w14:paraId="42A7BC4A">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注：</w:t>
            </w:r>
          </w:p>
        </w:tc>
      </w:tr>
    </w:tbl>
    <w:p w14:paraId="720C995C">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p w14:paraId="21478BE0">
      <w:pPr>
        <w:pStyle w:val="2"/>
        <w:pageBreakBefore w:val="0"/>
        <w:kinsoku/>
        <w:wordWrap w:val="0"/>
        <w:bidi w:val="0"/>
        <w:spacing w:before="240" w:after="240" w:line="24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4"/>
          <w:highlight w:val="none"/>
        </w:rPr>
        <w:br w:type="page"/>
      </w:r>
      <w:bookmarkStart w:id="90" w:name="_Toc234832870"/>
      <w:bookmarkStart w:id="91" w:name="_Toc15905"/>
      <w:bookmarkStart w:id="92" w:name="_Toc19462"/>
      <w:bookmarkStart w:id="93" w:name="_Toc32159"/>
      <w:r>
        <w:rPr>
          <w:rFonts w:hint="default" w:ascii="Times New Roman" w:hAnsi="Times New Roman" w:eastAsia="黑体" w:cs="Times New Roman"/>
          <w:b w:val="0"/>
          <w:color w:val="auto"/>
          <w:sz w:val="28"/>
          <w:szCs w:val="28"/>
          <w:highlight w:val="none"/>
        </w:rPr>
        <w:t>1. 总则</w:t>
      </w:r>
      <w:bookmarkEnd w:id="90"/>
      <w:bookmarkEnd w:id="91"/>
      <w:bookmarkEnd w:id="92"/>
      <w:bookmarkEnd w:id="93"/>
    </w:p>
    <w:p w14:paraId="3664509D">
      <w:pPr>
        <w:pStyle w:val="2"/>
        <w:pageBreakBefore w:val="0"/>
        <w:kinsoku/>
        <w:wordWrap w:val="0"/>
        <w:bidi w:val="0"/>
        <w:spacing w:before="240" w:after="240" w:line="240" w:lineRule="atLeast"/>
        <w:outlineLvl w:val="2"/>
        <w:rPr>
          <w:rFonts w:hint="default" w:ascii="Times New Roman" w:hAnsi="Times New Roman" w:eastAsia="宋体" w:cs="Times New Roman"/>
          <w:b w:val="0"/>
          <w:color w:val="auto"/>
          <w:sz w:val="24"/>
          <w:szCs w:val="24"/>
          <w:highlight w:val="none"/>
        </w:rPr>
      </w:pPr>
      <w:bookmarkStart w:id="94" w:name="_Toc234832871"/>
      <w:bookmarkStart w:id="95" w:name="_Toc23601"/>
      <w:bookmarkStart w:id="96" w:name="_Toc17948"/>
      <w:bookmarkStart w:id="97" w:name="_Toc13586"/>
      <w:r>
        <w:rPr>
          <w:rFonts w:hint="default" w:ascii="Times New Roman" w:hAnsi="Times New Roman" w:eastAsia="黑体" w:cs="Times New Roman"/>
          <w:b w:val="0"/>
          <w:color w:val="auto"/>
          <w:sz w:val="24"/>
          <w:szCs w:val="24"/>
          <w:highlight w:val="none"/>
        </w:rPr>
        <w:t>1.1 项目概况</w:t>
      </w:r>
      <w:bookmarkEnd w:id="94"/>
      <w:bookmarkEnd w:id="95"/>
      <w:bookmarkEnd w:id="96"/>
      <w:bookmarkEnd w:id="97"/>
    </w:p>
    <w:p w14:paraId="2E59AF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 根据《中华人民共和国招标投标法》《中华人民共和国招标投标法实施条例》《公路工程建设项目招标投标管理办法》等有关法律、法规和规章的规定，本招标项目已具备招标条件，现对本标段施工进行招标。</w:t>
      </w:r>
    </w:p>
    <w:p w14:paraId="71297F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1.1.2 本招标项目招标人：见投标人须知前附表。</w:t>
      </w:r>
    </w:p>
    <w:p w14:paraId="1BA9A3C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1.1.3 本标段招标代理机构：见投标人须知前附表。</w:t>
      </w:r>
    </w:p>
    <w:p w14:paraId="316F181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1.1.4 本招标项目名称：见投标人须知前附表。</w:t>
      </w:r>
    </w:p>
    <w:p w14:paraId="4D326B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1.1.5 本标段建设地点：见投标人须知前附表。</w:t>
      </w:r>
    </w:p>
    <w:p w14:paraId="58C43E3A">
      <w:pPr>
        <w:pStyle w:val="2"/>
        <w:pageBreakBefore w:val="0"/>
        <w:kinsoku/>
        <w:wordWrap w:val="0"/>
        <w:bidi w:val="0"/>
        <w:outlineLvl w:val="2"/>
        <w:rPr>
          <w:rFonts w:hint="default" w:ascii="Times New Roman" w:hAnsi="Times New Roman" w:cs="Times New Roman"/>
          <w:color w:val="auto"/>
          <w:highlight w:val="none"/>
        </w:rPr>
      </w:pPr>
      <w:bookmarkStart w:id="98" w:name="_Toc11370"/>
      <w:bookmarkStart w:id="99" w:name="_Toc22508"/>
      <w:bookmarkStart w:id="100" w:name="_Toc234832872"/>
      <w:bookmarkStart w:id="101" w:name="_Toc9736"/>
      <w:r>
        <w:rPr>
          <w:rFonts w:hint="default" w:ascii="Times New Roman" w:hAnsi="Times New Roman" w:cs="Times New Roman"/>
          <w:color w:val="auto"/>
          <w:highlight w:val="none"/>
        </w:rPr>
        <w:t>1.2 招标项目的资金来源和落实情况</w:t>
      </w:r>
      <w:bookmarkEnd w:id="98"/>
      <w:bookmarkEnd w:id="99"/>
      <w:bookmarkEnd w:id="100"/>
      <w:bookmarkEnd w:id="101"/>
      <w:r>
        <w:rPr>
          <w:rFonts w:hint="default" w:ascii="Times New Roman" w:hAnsi="Times New Roman" w:cs="Times New Roman"/>
          <w:color w:val="auto"/>
          <w:highlight w:val="none"/>
        </w:rPr>
        <w:t xml:space="preserve"> </w:t>
      </w:r>
    </w:p>
    <w:p w14:paraId="49057A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1.2.1 资金来源及比例：见投标人须知前附表。</w:t>
      </w:r>
    </w:p>
    <w:p w14:paraId="0EFA0B0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1.2.2 资金落实情况：见投标人须知前附表。</w:t>
      </w:r>
    </w:p>
    <w:p w14:paraId="59A81BF4">
      <w:pPr>
        <w:pStyle w:val="2"/>
        <w:pageBreakBefore w:val="0"/>
        <w:kinsoku/>
        <w:wordWrap w:val="0"/>
        <w:bidi w:val="0"/>
        <w:outlineLvl w:val="2"/>
        <w:rPr>
          <w:rFonts w:hint="default" w:ascii="Times New Roman" w:hAnsi="Times New Roman" w:cs="Times New Roman"/>
          <w:color w:val="auto"/>
          <w:highlight w:val="none"/>
        </w:rPr>
      </w:pPr>
      <w:bookmarkStart w:id="102" w:name="_Toc234832873"/>
      <w:bookmarkStart w:id="103" w:name="_Toc10840"/>
      <w:bookmarkStart w:id="104" w:name="_Toc2400"/>
      <w:bookmarkStart w:id="105" w:name="_Toc14618"/>
      <w:r>
        <w:rPr>
          <w:rFonts w:hint="default" w:ascii="Times New Roman" w:hAnsi="Times New Roman" w:cs="Times New Roman"/>
          <w:color w:val="auto"/>
          <w:highlight w:val="none"/>
        </w:rPr>
        <w:t>1.3 招标范围、计划工期、质量要求</w:t>
      </w:r>
      <w:bookmarkEnd w:id="102"/>
      <w:r>
        <w:rPr>
          <w:rFonts w:hint="default" w:ascii="Times New Roman" w:hAnsi="Times New Roman" w:cs="Times New Roman"/>
          <w:color w:val="auto"/>
          <w:highlight w:val="none"/>
        </w:rPr>
        <w:t>和安全目标</w:t>
      </w:r>
      <w:bookmarkEnd w:id="103"/>
      <w:bookmarkEnd w:id="104"/>
      <w:bookmarkEnd w:id="105"/>
    </w:p>
    <w:p w14:paraId="15732E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1.3.1 招标范围：见投标人须知前附表。</w:t>
      </w:r>
    </w:p>
    <w:p w14:paraId="18B865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1.3.2 本标段的计划工期：见投标人须知前附表。</w:t>
      </w:r>
    </w:p>
    <w:p w14:paraId="015A706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1.3.3 本标段的质量要求：见投标人须知前附表。</w:t>
      </w:r>
    </w:p>
    <w:p w14:paraId="72CE5CD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1.3.4 本标段的安全目标：见投标人须知前附表。</w:t>
      </w:r>
    </w:p>
    <w:p w14:paraId="27E60B2F">
      <w:pPr>
        <w:pStyle w:val="2"/>
        <w:pageBreakBefore w:val="0"/>
        <w:kinsoku/>
        <w:wordWrap w:val="0"/>
        <w:bidi w:val="0"/>
        <w:outlineLvl w:val="2"/>
        <w:rPr>
          <w:rFonts w:hint="default" w:ascii="Times New Roman" w:hAnsi="Times New Roman" w:cs="Times New Roman"/>
          <w:color w:val="auto"/>
          <w:highlight w:val="none"/>
        </w:rPr>
      </w:pPr>
      <w:bookmarkStart w:id="106" w:name="_Toc234832875"/>
      <w:bookmarkStart w:id="107" w:name="_Toc32367"/>
      <w:bookmarkStart w:id="108" w:name="_Toc22000"/>
      <w:bookmarkStart w:id="109" w:name="_Toc23631"/>
      <w:r>
        <w:rPr>
          <w:rFonts w:hint="default" w:ascii="Times New Roman" w:hAnsi="Times New Roman" w:cs="Times New Roman"/>
          <w:color w:val="auto"/>
          <w:highlight w:val="none"/>
        </w:rPr>
        <w:t>1.4 投标人资格要求</w:t>
      </w:r>
      <w:bookmarkEnd w:id="106"/>
      <w:bookmarkEnd w:id="107"/>
      <w:bookmarkEnd w:id="108"/>
      <w:bookmarkEnd w:id="109"/>
    </w:p>
    <w:p w14:paraId="3C5049D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1.4.1 投标人应具备承担本标段施工的资质条件、能力和信誉。</w:t>
      </w:r>
    </w:p>
    <w:p w14:paraId="3415E3C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（1）资质要求：见投标人须知前附表；</w:t>
      </w:r>
    </w:p>
    <w:p w14:paraId="2600F976">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（2）财务要求：见投标人须知前附表；</w:t>
      </w:r>
    </w:p>
    <w:p w14:paraId="35238DC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（3）业绩要求：见投标人须知前附表；</w:t>
      </w:r>
    </w:p>
    <w:p w14:paraId="25462144">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（4）信誉要求：见投标人须知前附表；</w:t>
      </w:r>
    </w:p>
    <w:p w14:paraId="5D4193FF">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（5）项目经理和项目总工资格：见投标人须知前附表；</w:t>
      </w:r>
    </w:p>
    <w:p w14:paraId="30CEBD57">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（6）其他要求：见投标人须知前附表。</w:t>
      </w:r>
    </w:p>
    <w:p w14:paraId="19B5661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需要提交的相关证明材料见本章第3.5款的规定。</w:t>
      </w:r>
    </w:p>
    <w:p w14:paraId="2B802F7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1.4.2 投标人须知前附表规定接受联合体投标的，联合体除应符合本章第1.4.1项和投标人须知前附表的要求外，还应遵守以下规定：</w:t>
      </w:r>
    </w:p>
    <w:p w14:paraId="2E5296D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（1）联合体各方应按招标文件提供的格式签订联合体协议书，明确联合体牵头人和各方权利义务，并承诺就中标项目向招标人承担连带责任；</w:t>
      </w:r>
    </w:p>
    <w:p w14:paraId="29C5007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（2）由同一专业的单位组成的联合体，按照资质等级较低的单位确定资质等级；</w:t>
      </w:r>
    </w:p>
    <w:p w14:paraId="5DE4A8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（3）联合体各方不得再以自己名义单独或参加其他联合体在同一标段中投标；</w:t>
      </w:r>
    </w:p>
    <w:p w14:paraId="6079BC0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2F731E39">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5）尽管委任了联合体牵头人，但联合体各成员在投标、签订合同与履行合同过程中，仍负有连带的和各自的法律责任。</w:t>
      </w:r>
    </w:p>
    <w:p w14:paraId="127A20DD">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1.4.3 投标人（包括联合体各成员）不得与本标段相关单位存在下列关联关系：</w:t>
      </w:r>
    </w:p>
    <w:p w14:paraId="3DEBF86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（1）为招标人不具有独立法人资格的附属机构（单位）；</w:t>
      </w:r>
    </w:p>
    <w:p w14:paraId="12C3575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（2）与招标人存在利害关系且可能影响招标公正性；</w:t>
      </w:r>
    </w:p>
    <w:p w14:paraId="0808A76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（3）与本标段的其他投标人同为一个单位负责人；</w:t>
      </w:r>
    </w:p>
    <w:p w14:paraId="0F274C0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（4）与本标段的其他投标人存在控股、管理关系；</w:t>
      </w:r>
    </w:p>
    <w:p w14:paraId="7DB43CB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（5）为本标段前期准备提供设计或咨询服务的法人或其任何附属机构（单位）；</w:t>
      </w:r>
    </w:p>
    <w:p w14:paraId="06CD221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（6）为本标段的监理人；</w:t>
      </w:r>
    </w:p>
    <w:p w14:paraId="0ED1FFF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（7）为本标段的代建人；</w:t>
      </w:r>
    </w:p>
    <w:p w14:paraId="00FFE49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（8）为本标段的招标代理机构；</w:t>
      </w:r>
    </w:p>
    <w:p w14:paraId="7E8D43D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（9）与本标段的监理人或代建人或招标代理机构同为一个法定代表人；</w:t>
      </w:r>
    </w:p>
    <w:p w14:paraId="2578711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（10）与本标段的监理人或代建人或招标代理机构存在控股或参股关系；</w:t>
      </w:r>
    </w:p>
    <w:p w14:paraId="4D9A891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（11）法律法规或投标人须知前附表规定的其他情形。</w:t>
      </w:r>
    </w:p>
    <w:p w14:paraId="3C37EDE6">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1.4.4 投标人（包括联合体各成员）不得存在下列不良状况或不良信用记录：</w:t>
      </w:r>
    </w:p>
    <w:p w14:paraId="25050FE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（1）被省级及以上交通运输主管部门取消招标项目所在地的投标资格且处于有效期内；</w:t>
      </w:r>
    </w:p>
    <w:p w14:paraId="2F093C94">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（2）被责令停业，暂扣或吊销执照，或吊销资质证书；</w:t>
      </w:r>
    </w:p>
    <w:p w14:paraId="1AE6F5B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（3）进入清算程序，或被宣告破产，或其他丧失履约能力的情形；</w:t>
      </w:r>
    </w:p>
    <w:p w14:paraId="01EA104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（4）在国家企业信用信息公示系统（http://www.gsxt.gov.cn/）中被列入严重违法失信企业名单；</w:t>
      </w:r>
    </w:p>
    <w:p w14:paraId="1F45795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（5）在</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信用中国</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网站（http://www.creditchina.gov.cn/）（或中国执行信息公开网 http://zxgk.court.gov.cn/shixin/）中被列入失信被执行人名单；</w:t>
      </w:r>
    </w:p>
    <w:p w14:paraId="2EE9527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（6）投标人或其法定代表人、拟委任的项目经理在近三年内有行贿犯罪行为的；</w:t>
      </w:r>
    </w:p>
    <w:p w14:paraId="31B890BF">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（7）法律法规或投标人须知前附表规定的其他情形。</w:t>
      </w:r>
    </w:p>
    <w:p w14:paraId="539D07B5">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1.4.5 根据《关于发布公路工程从业企业资质名录的通知》（厅公路字〔2011〕114号）要求，投标人如为名录范围的施工企业，则应进入交通运输部</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全国公路建设市场监督管理系统（https://hwdms.mot.gov.cn/BMWebSite/）</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中的公路工程施工资质企业名录，且投标人名称和资质与该名录中的相应企业名称和资质完全一致。</w:t>
      </w:r>
      <w:r>
        <w:rPr>
          <w:rStyle w:val="47"/>
          <w:rFonts w:ascii="Times New Roman" w:hAnsi="Times New Roman" w:eastAsia="宋体" w:cs="Times New Roman"/>
          <w:color w:val="auto"/>
          <w:highlight w:val="none"/>
        </w:rPr>
        <w:footnoteReference w:id="28"/>
      </w:r>
    </w:p>
    <w:p w14:paraId="7032F2E3">
      <w:pPr>
        <w:pStyle w:val="2"/>
        <w:pageBreakBefore w:val="0"/>
        <w:kinsoku/>
        <w:wordWrap w:val="0"/>
        <w:bidi w:val="0"/>
        <w:outlineLvl w:val="2"/>
        <w:rPr>
          <w:rFonts w:hint="default" w:ascii="Times New Roman" w:hAnsi="Times New Roman" w:cs="Times New Roman"/>
          <w:color w:val="auto"/>
          <w:highlight w:val="none"/>
        </w:rPr>
      </w:pPr>
      <w:bookmarkStart w:id="110" w:name="_Toc29333"/>
      <w:bookmarkStart w:id="111" w:name="_Toc14149"/>
      <w:bookmarkStart w:id="112" w:name="_Toc234832876"/>
      <w:bookmarkStart w:id="113" w:name="_Toc8417"/>
      <w:r>
        <w:rPr>
          <w:rFonts w:hint="default" w:ascii="Times New Roman" w:hAnsi="Times New Roman" w:cs="Times New Roman"/>
          <w:color w:val="auto"/>
          <w:highlight w:val="none"/>
        </w:rPr>
        <w:t>1.5 费用承担</w:t>
      </w:r>
      <w:bookmarkEnd w:id="110"/>
      <w:bookmarkEnd w:id="111"/>
      <w:bookmarkEnd w:id="112"/>
      <w:bookmarkEnd w:id="113"/>
    </w:p>
    <w:p w14:paraId="2E2DEA9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投标人准备和参加投标活动发生的费用自理。</w:t>
      </w:r>
    </w:p>
    <w:p w14:paraId="6ECFA61A">
      <w:pPr>
        <w:pStyle w:val="2"/>
        <w:pageBreakBefore w:val="0"/>
        <w:kinsoku/>
        <w:wordWrap w:val="0"/>
        <w:bidi w:val="0"/>
        <w:outlineLvl w:val="2"/>
        <w:rPr>
          <w:rFonts w:hint="default" w:ascii="Times New Roman" w:hAnsi="Times New Roman" w:cs="Times New Roman"/>
          <w:color w:val="auto"/>
          <w:highlight w:val="none"/>
        </w:rPr>
      </w:pPr>
      <w:bookmarkStart w:id="114" w:name="_Toc234832877"/>
      <w:bookmarkStart w:id="115" w:name="_Toc26593"/>
      <w:bookmarkStart w:id="116" w:name="_Toc12508"/>
      <w:bookmarkStart w:id="117" w:name="_Toc23807"/>
      <w:r>
        <w:rPr>
          <w:rFonts w:hint="default" w:ascii="Times New Roman" w:hAnsi="Times New Roman" w:cs="Times New Roman"/>
          <w:color w:val="auto"/>
          <w:highlight w:val="none"/>
        </w:rPr>
        <w:t>1.6 保密</w:t>
      </w:r>
      <w:bookmarkEnd w:id="114"/>
      <w:bookmarkEnd w:id="115"/>
      <w:bookmarkEnd w:id="116"/>
      <w:bookmarkEnd w:id="117"/>
    </w:p>
    <w:p w14:paraId="5DCEC4D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参与招标投标活动的各方应对招标文件和投标文件中的商业和技术等秘密保密，</w:t>
      </w:r>
      <w:r>
        <w:rPr>
          <w:rFonts w:hint="default" w:ascii="Times New Roman" w:hAnsi="Times New Roman" w:eastAsia="宋体" w:cs="Times New Roman"/>
          <w:color w:val="auto"/>
          <w:kern w:val="0"/>
          <w:sz w:val="24"/>
          <w:szCs w:val="20"/>
          <w:highlight w:val="none"/>
        </w:rPr>
        <w:t>否则应承担相应的法律责任。</w:t>
      </w:r>
    </w:p>
    <w:p w14:paraId="76830B8F">
      <w:pPr>
        <w:pStyle w:val="2"/>
        <w:pageBreakBefore w:val="0"/>
        <w:kinsoku/>
        <w:wordWrap w:val="0"/>
        <w:bidi w:val="0"/>
        <w:outlineLvl w:val="2"/>
        <w:rPr>
          <w:rFonts w:hint="default" w:ascii="Times New Roman" w:hAnsi="Times New Roman" w:cs="Times New Roman"/>
          <w:color w:val="auto"/>
          <w:highlight w:val="none"/>
        </w:rPr>
      </w:pPr>
      <w:bookmarkStart w:id="118" w:name="_Toc234832878"/>
      <w:bookmarkStart w:id="119" w:name="_Toc26229"/>
      <w:bookmarkStart w:id="120" w:name="_Toc20284"/>
      <w:bookmarkStart w:id="121" w:name="_Toc5479"/>
      <w:r>
        <w:rPr>
          <w:rFonts w:hint="default" w:ascii="Times New Roman" w:hAnsi="Times New Roman" w:cs="Times New Roman"/>
          <w:color w:val="auto"/>
          <w:highlight w:val="none"/>
        </w:rPr>
        <w:t>1.7 语言文字</w:t>
      </w:r>
      <w:bookmarkEnd w:id="118"/>
      <w:bookmarkEnd w:id="119"/>
      <w:bookmarkEnd w:id="120"/>
      <w:bookmarkEnd w:id="121"/>
    </w:p>
    <w:p w14:paraId="73B64E52">
      <w:pPr>
        <w:pageBreakBefore w:val="0"/>
        <w:kinsoku/>
        <w:wordWrap w:val="0"/>
        <w:bidi w:val="0"/>
        <w:spacing w:line="400" w:lineRule="atLeas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招标投标文件使用的语言文字为中文。专用术语使用外文的，应附有中文注释。</w:t>
      </w:r>
    </w:p>
    <w:p w14:paraId="239AB891">
      <w:pPr>
        <w:pStyle w:val="2"/>
        <w:pageBreakBefore w:val="0"/>
        <w:kinsoku/>
        <w:wordWrap w:val="0"/>
        <w:bidi w:val="0"/>
        <w:outlineLvl w:val="2"/>
        <w:rPr>
          <w:rFonts w:hint="default" w:ascii="Times New Roman" w:hAnsi="Times New Roman" w:cs="Times New Roman"/>
          <w:color w:val="auto"/>
          <w:highlight w:val="none"/>
        </w:rPr>
      </w:pPr>
      <w:bookmarkStart w:id="122" w:name="_Toc7349"/>
      <w:bookmarkStart w:id="123" w:name="_Toc234832879"/>
      <w:bookmarkStart w:id="124" w:name="_Toc30856"/>
      <w:bookmarkStart w:id="125" w:name="_Toc11584"/>
      <w:r>
        <w:rPr>
          <w:rFonts w:hint="default" w:ascii="Times New Roman" w:hAnsi="Times New Roman" w:cs="Times New Roman"/>
          <w:color w:val="auto"/>
          <w:highlight w:val="none"/>
        </w:rPr>
        <w:t>1.8 计量单位</w:t>
      </w:r>
      <w:bookmarkEnd w:id="122"/>
      <w:bookmarkEnd w:id="123"/>
      <w:bookmarkEnd w:id="124"/>
      <w:bookmarkEnd w:id="125"/>
    </w:p>
    <w:p w14:paraId="39FCC3D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所有计量均采用中华人民共和国法定计量单位。</w:t>
      </w:r>
    </w:p>
    <w:p w14:paraId="241BD721">
      <w:pPr>
        <w:pStyle w:val="2"/>
        <w:pageBreakBefore w:val="0"/>
        <w:kinsoku/>
        <w:wordWrap w:val="0"/>
        <w:bidi w:val="0"/>
        <w:outlineLvl w:val="2"/>
        <w:rPr>
          <w:rFonts w:hint="default" w:ascii="Times New Roman" w:hAnsi="Times New Roman" w:cs="Times New Roman"/>
          <w:color w:val="auto"/>
          <w:highlight w:val="none"/>
        </w:rPr>
      </w:pPr>
      <w:bookmarkStart w:id="126" w:name="_Toc6538"/>
      <w:bookmarkStart w:id="127" w:name="_Toc32593"/>
      <w:bookmarkStart w:id="128" w:name="_Toc234832880"/>
      <w:bookmarkStart w:id="129" w:name="_Toc11612"/>
      <w:r>
        <w:rPr>
          <w:rFonts w:hint="default" w:ascii="Times New Roman" w:hAnsi="Times New Roman" w:cs="Times New Roman"/>
          <w:color w:val="auto"/>
          <w:highlight w:val="none"/>
        </w:rPr>
        <w:t>1.9 踏勘现场</w:t>
      </w:r>
      <w:bookmarkEnd w:id="126"/>
      <w:bookmarkEnd w:id="127"/>
      <w:bookmarkEnd w:id="128"/>
      <w:bookmarkEnd w:id="129"/>
    </w:p>
    <w:p w14:paraId="74DB14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1.9.1 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规定组织踏勘现场的，招标人按规定的时间、地点组织投标人踏勘项目现场。部分投标人未按时参加踏勘现场的，不影响踏勘现场的正常进行。招标人不得组织单个或部分投标人踏勘项目现场。</w:t>
      </w:r>
    </w:p>
    <w:p w14:paraId="071B35C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1.9.2 投标人踏勘现场发生的费用自理。</w:t>
      </w:r>
    </w:p>
    <w:p w14:paraId="60FA39B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1.9.3 除招标人的原因外，投标人自行负责在踏勘现场中所发生的人员伤亡和财产损失。</w:t>
      </w:r>
    </w:p>
    <w:p w14:paraId="294C5E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1.9.4 招标人在踏勘现场中介绍的工程场地和相关的周边环境情况，供投标人在编制投标文件时参考，招标人不对投标人据此作出的判断和决策负责。</w:t>
      </w:r>
    </w:p>
    <w:p w14:paraId="68F3504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59D5CB1E">
      <w:pPr>
        <w:pStyle w:val="2"/>
        <w:pageBreakBefore w:val="0"/>
        <w:kinsoku/>
        <w:wordWrap w:val="0"/>
        <w:bidi w:val="0"/>
        <w:outlineLvl w:val="2"/>
        <w:rPr>
          <w:rFonts w:hint="default" w:ascii="Times New Roman" w:hAnsi="Times New Roman" w:cs="Times New Roman"/>
          <w:color w:val="auto"/>
          <w:highlight w:val="none"/>
        </w:rPr>
      </w:pPr>
      <w:bookmarkStart w:id="130" w:name="_Toc17701"/>
      <w:bookmarkStart w:id="131" w:name="_Toc27740"/>
      <w:bookmarkStart w:id="132" w:name="_Toc6877"/>
      <w:bookmarkStart w:id="133" w:name="_Toc234832881"/>
      <w:r>
        <w:rPr>
          <w:rFonts w:hint="default" w:ascii="Times New Roman" w:hAnsi="Times New Roman" w:cs="Times New Roman"/>
          <w:color w:val="auto"/>
          <w:highlight w:val="none"/>
        </w:rPr>
        <w:t>1.10 投标预备会</w:t>
      </w:r>
      <w:bookmarkEnd w:id="130"/>
      <w:bookmarkEnd w:id="131"/>
      <w:bookmarkEnd w:id="132"/>
      <w:bookmarkEnd w:id="133"/>
    </w:p>
    <w:p w14:paraId="150847C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1.10.1 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规定召开投标预备会的，招标人按规定的时间和地点召开投标预备会，澄清投标人提出的问题。</w:t>
      </w:r>
    </w:p>
    <w:p w14:paraId="1A53C90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1.10.2 投标人应按投标人须知前附表规定的时间和形式将提出的问题送达招标人，以便招标人在会议期间澄清。</w:t>
      </w:r>
    </w:p>
    <w:p w14:paraId="1C33DAE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1.10.3 投标预备会后，招标人将对投标人所提问题的澄清，以本章第2.2款规定的形式通知所有</w:t>
      </w:r>
      <w:r>
        <w:rPr>
          <w:rFonts w:hint="default" w:ascii="Times New Roman" w:hAnsi="Times New Roman" w:cs="Times New Roman"/>
          <w:color w:val="auto"/>
          <w:szCs w:val="24"/>
          <w:highlight w:val="none"/>
          <w:lang w:eastAsia="zh-CN"/>
        </w:rPr>
        <w:t>获取招标文件</w:t>
      </w:r>
      <w:r>
        <w:rPr>
          <w:rFonts w:hint="default" w:ascii="Times New Roman" w:hAnsi="Times New Roman" w:eastAsia="宋体" w:cs="Times New Roman"/>
          <w:color w:val="auto"/>
          <w:szCs w:val="24"/>
          <w:highlight w:val="none"/>
        </w:rPr>
        <w:t>的投标人。该澄清内容为招标文件的组成部分。</w:t>
      </w:r>
    </w:p>
    <w:p w14:paraId="150251AC">
      <w:pPr>
        <w:pStyle w:val="2"/>
        <w:pageBreakBefore w:val="0"/>
        <w:kinsoku/>
        <w:wordWrap w:val="0"/>
        <w:bidi w:val="0"/>
        <w:outlineLvl w:val="2"/>
        <w:rPr>
          <w:rFonts w:hint="default" w:ascii="Times New Roman" w:hAnsi="Times New Roman" w:cs="Times New Roman"/>
          <w:color w:val="auto"/>
          <w:highlight w:val="none"/>
        </w:rPr>
      </w:pPr>
      <w:bookmarkStart w:id="134" w:name="_Toc234832882"/>
      <w:bookmarkStart w:id="135" w:name="_Toc10304"/>
      <w:bookmarkStart w:id="136" w:name="_Toc24517"/>
      <w:bookmarkStart w:id="137" w:name="_Toc20656"/>
      <w:r>
        <w:rPr>
          <w:rFonts w:hint="default" w:ascii="Times New Roman" w:hAnsi="Times New Roman" w:cs="Times New Roman"/>
          <w:color w:val="auto"/>
          <w:highlight w:val="none"/>
        </w:rPr>
        <w:t>1.11 分包</w:t>
      </w:r>
      <w:bookmarkEnd w:id="134"/>
      <w:bookmarkEnd w:id="135"/>
      <w:bookmarkEnd w:id="136"/>
      <w:bookmarkEnd w:id="137"/>
    </w:p>
    <w:p w14:paraId="5195373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 xml:space="preserve">1.11.1 </w:t>
      </w:r>
      <w:r>
        <w:rPr>
          <w:rFonts w:hint="default" w:ascii="Times New Roman" w:hAnsi="Times New Roman" w:eastAsia="宋体" w:cs="Times New Roman"/>
          <w:color w:val="auto"/>
          <w:szCs w:val="24"/>
          <w:highlight w:val="none"/>
        </w:rPr>
        <w:t>投标人拟在中标后将中标项目的部分工作进行分包的，应</w:t>
      </w:r>
      <w:r>
        <w:rPr>
          <w:rFonts w:hint="eastAsia" w:ascii="Times New Roman" w:cs="Times New Roman"/>
          <w:color w:val="auto"/>
          <w:szCs w:val="24"/>
          <w:highlight w:val="none"/>
          <w:lang w:val="en-US" w:eastAsia="zh-CN"/>
        </w:rPr>
        <w:t>按辽宁省交通运输厅关于印发《辽宁省公路工程施工分包管理实施细则》的通知（辽交公路规〔2025〕1号）要求执行。</w:t>
      </w:r>
    </w:p>
    <w:p w14:paraId="7CAD9C3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1.11.2 中标人不得向他人转让中标项目，接受分包的人不得再次分包。中标人应就分包项目向招标人负责，接受分包的人就分包项目承担连带责任。</w:t>
      </w:r>
    </w:p>
    <w:p w14:paraId="2B737487">
      <w:pPr>
        <w:pStyle w:val="2"/>
        <w:pageBreakBefore w:val="0"/>
        <w:kinsoku/>
        <w:wordWrap w:val="0"/>
        <w:bidi w:val="0"/>
        <w:outlineLvl w:val="2"/>
        <w:rPr>
          <w:rFonts w:hint="default" w:ascii="Times New Roman" w:hAnsi="Times New Roman" w:cs="Times New Roman"/>
          <w:color w:val="auto"/>
          <w:highlight w:val="none"/>
        </w:rPr>
      </w:pPr>
      <w:bookmarkStart w:id="138" w:name="_Toc234832883"/>
      <w:bookmarkStart w:id="139" w:name="_Toc26907"/>
      <w:bookmarkStart w:id="140" w:name="_Toc3394"/>
      <w:bookmarkStart w:id="141" w:name="_Toc10366"/>
      <w:r>
        <w:rPr>
          <w:rFonts w:hint="default" w:ascii="Times New Roman" w:hAnsi="Times New Roman" w:cs="Times New Roman"/>
          <w:color w:val="auto"/>
          <w:highlight w:val="none"/>
        </w:rPr>
        <w:t xml:space="preserve">1.12 </w:t>
      </w:r>
      <w:bookmarkEnd w:id="138"/>
      <w:r>
        <w:rPr>
          <w:rFonts w:hint="default" w:ascii="Times New Roman" w:hAnsi="Times New Roman" w:cs="Times New Roman"/>
          <w:color w:val="auto"/>
          <w:highlight w:val="none"/>
        </w:rPr>
        <w:t>响应和偏差</w:t>
      </w:r>
      <w:bookmarkEnd w:id="139"/>
      <w:bookmarkEnd w:id="140"/>
      <w:bookmarkEnd w:id="141"/>
    </w:p>
    <w:p w14:paraId="62BC17B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1.12.1 投标文件偏离招标文件某些要求，视为投标文件存在偏差。偏差包括重大偏差和细微偏差。</w:t>
      </w:r>
    </w:p>
    <w:p w14:paraId="4773A10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1.12.2 投标文件应对招标文件的实质性要求和条件作出满足性或更有利于招标人的响应，否则，视为投标文件存在重大偏差，投标人的投标将被否决。</w:t>
      </w:r>
    </w:p>
    <w:p w14:paraId="40B873A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投标文件存在第三章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中所列任一否决投标情形的，均属于存在重大偏差。</w:t>
      </w:r>
    </w:p>
    <w:p w14:paraId="2B0D2EE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1.12.3 投标文件中的下列偏差为细微偏差：</w:t>
      </w:r>
    </w:p>
    <w:p w14:paraId="04DE253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w:t>
      </w:r>
      <w:r>
        <w:rPr>
          <w:rFonts w:hint="default" w:ascii="Times New Roman" w:hAnsi="Times New Roman" w:eastAsia="宋体" w:cs="Times New Roman"/>
          <w:color w:val="auto"/>
          <w:highlight w:val="none"/>
        </w:rPr>
        <w:t>在按照</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的规定对投标价进行其他错误</w:t>
      </w:r>
      <w:r>
        <w:rPr>
          <w:rFonts w:hint="default" w:ascii="Times New Roman" w:hAnsi="Times New Roman" w:eastAsia="宋体" w:cs="Times New Roman"/>
          <w:color w:val="auto"/>
          <w:highlight w:val="none"/>
        </w:rPr>
        <w:t>修正后，最终投标报价未超过最高投标限价（如有）的情况下，出现</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规定的投标报价其他错误；</w:t>
      </w:r>
    </w:p>
    <w:p w14:paraId="78B11C1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（2）施工组织设计（含关键工程技术方案）和项目管理机构不够完善；</w:t>
      </w:r>
    </w:p>
    <w:p w14:paraId="532DBA89">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（3）投标文件个别文字有遗漏错误等不影响投标文件实质性内容的偏差。</w:t>
      </w:r>
    </w:p>
    <w:p w14:paraId="30841D0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1.12.4 评标委员会对投标文件中的细微偏差按如下规定处理：</w:t>
      </w:r>
    </w:p>
    <w:p w14:paraId="40B0713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（1）对于本章第1.12.3项（1）目所述的细微偏差，按照第三章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的规定予以修正并要求投标人进行澄清；</w:t>
      </w:r>
    </w:p>
    <w:p w14:paraId="61C8967A">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77ED413E">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（3）对于本章第1.12.3项（3）目所述的细微偏差，可要求投标人对细微偏差进行澄清。</w:t>
      </w:r>
    </w:p>
    <w:p w14:paraId="1CB6186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1.12.5 投标人应根据招标文件的要求提供施工组织设计等内容以对招标文件作出响应。</w:t>
      </w:r>
    </w:p>
    <w:p w14:paraId="43AB67C4">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142" w:name="_Toc27865"/>
      <w:bookmarkStart w:id="143" w:name="_Toc28741"/>
      <w:bookmarkStart w:id="144" w:name="_Toc5915"/>
      <w:bookmarkStart w:id="145" w:name="_Toc234832884"/>
      <w:r>
        <w:rPr>
          <w:rFonts w:hint="default" w:ascii="Times New Roman" w:hAnsi="Times New Roman" w:eastAsia="黑体" w:cs="Times New Roman"/>
          <w:b w:val="0"/>
          <w:color w:val="auto"/>
          <w:sz w:val="28"/>
          <w:szCs w:val="28"/>
          <w:highlight w:val="none"/>
        </w:rPr>
        <w:t>2. 招标文件</w:t>
      </w:r>
      <w:bookmarkEnd w:id="142"/>
      <w:bookmarkEnd w:id="143"/>
      <w:bookmarkEnd w:id="144"/>
      <w:bookmarkEnd w:id="145"/>
    </w:p>
    <w:p w14:paraId="0FC14816">
      <w:pPr>
        <w:pStyle w:val="2"/>
        <w:pageBreakBefore w:val="0"/>
        <w:kinsoku/>
        <w:wordWrap w:val="0"/>
        <w:bidi w:val="0"/>
        <w:outlineLvl w:val="2"/>
        <w:rPr>
          <w:rFonts w:hint="default" w:ascii="Times New Roman" w:hAnsi="Times New Roman" w:eastAsia="黑体" w:cs="Times New Roman"/>
          <w:color w:val="auto"/>
          <w:highlight w:val="none"/>
        </w:rPr>
      </w:pPr>
      <w:bookmarkStart w:id="146" w:name="_Toc25358"/>
      <w:bookmarkStart w:id="147" w:name="_Toc12252"/>
      <w:bookmarkStart w:id="148" w:name="_Toc234832885"/>
      <w:bookmarkStart w:id="149" w:name="_Toc28112"/>
      <w:r>
        <w:rPr>
          <w:rFonts w:hint="default" w:ascii="Times New Roman" w:hAnsi="Times New Roman" w:eastAsia="黑体" w:cs="Times New Roman"/>
          <w:color w:val="auto"/>
          <w:highlight w:val="none"/>
        </w:rPr>
        <w:t>2.1 招标文件的组成</w:t>
      </w:r>
      <w:bookmarkEnd w:id="146"/>
      <w:bookmarkEnd w:id="147"/>
      <w:bookmarkEnd w:id="148"/>
      <w:bookmarkEnd w:id="149"/>
    </w:p>
    <w:p w14:paraId="73D23D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本招标文件包括：</w:t>
      </w:r>
    </w:p>
    <w:p w14:paraId="404FF1E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（1）招标公告；</w:t>
      </w:r>
    </w:p>
    <w:p w14:paraId="7F6BE76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（2）投标人须知；</w:t>
      </w:r>
    </w:p>
    <w:p w14:paraId="690C1C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（3）评标办法；</w:t>
      </w:r>
    </w:p>
    <w:p w14:paraId="442637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（4）合同条款及格式；</w:t>
      </w:r>
    </w:p>
    <w:p w14:paraId="645DD70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（5）工程量清单；</w:t>
      </w:r>
    </w:p>
    <w:p w14:paraId="7A572A7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（6）图纸；</w:t>
      </w:r>
    </w:p>
    <w:p w14:paraId="61AF8E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（7）技术规范；</w:t>
      </w:r>
    </w:p>
    <w:p w14:paraId="7D4DEB1E">
      <w:pPr>
        <w:pageBreakBefore w:val="0"/>
        <w:tabs>
          <w:tab w:val="center" w:pos="4634"/>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（8）工程量清单计量规则；</w:t>
      </w:r>
    </w:p>
    <w:p w14:paraId="5893FBC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（9）投标文件格式；</w:t>
      </w:r>
    </w:p>
    <w:p w14:paraId="021782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（10）投标人须知前附表规定的其他资料。</w:t>
      </w:r>
    </w:p>
    <w:p w14:paraId="6EAB9F2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根据本章第1.10款、第2.2款和第2.3款对招标文件所作的澄清、修改，构成招标文件的组成部分。</w:t>
      </w:r>
    </w:p>
    <w:p w14:paraId="090D063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当招标文件、招标文件的澄清或修改等在同一内容的表述上不一致时，以最后发出的书面文件为准。</w:t>
      </w:r>
    </w:p>
    <w:p w14:paraId="09AF4845">
      <w:pPr>
        <w:pStyle w:val="2"/>
        <w:pageBreakBefore w:val="0"/>
        <w:kinsoku/>
        <w:wordWrap w:val="0"/>
        <w:bidi w:val="0"/>
        <w:outlineLvl w:val="2"/>
        <w:rPr>
          <w:rFonts w:hint="default" w:ascii="Times New Roman" w:hAnsi="Times New Roman" w:cs="Times New Roman"/>
          <w:color w:val="auto"/>
          <w:highlight w:val="none"/>
        </w:rPr>
      </w:pPr>
      <w:bookmarkStart w:id="150" w:name="_Toc234832886"/>
      <w:bookmarkStart w:id="151" w:name="_Toc6673"/>
      <w:bookmarkStart w:id="152" w:name="_Toc13346"/>
      <w:bookmarkStart w:id="153" w:name="_Toc6916"/>
      <w:r>
        <w:rPr>
          <w:rFonts w:hint="default" w:ascii="Times New Roman" w:hAnsi="Times New Roman" w:cs="Times New Roman"/>
          <w:color w:val="auto"/>
          <w:highlight w:val="none"/>
        </w:rPr>
        <w:t>2.2 招标文件的澄清</w:t>
      </w:r>
      <w:bookmarkEnd w:id="150"/>
      <w:bookmarkEnd w:id="151"/>
      <w:bookmarkEnd w:id="152"/>
      <w:bookmarkEnd w:id="153"/>
    </w:p>
    <w:p w14:paraId="0406C51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57B5B43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招标文件的澄清以投标人须知前附表规定的形式发给所有</w:t>
      </w:r>
      <w:r>
        <w:rPr>
          <w:rFonts w:hint="default" w:ascii="Times New Roman" w:hAnsi="Times New Roman" w:cs="Times New Roman"/>
          <w:color w:val="auto"/>
          <w:sz w:val="24"/>
          <w:highlight w:val="none"/>
          <w:lang w:eastAsia="zh-CN"/>
        </w:rPr>
        <w:t>获取招标文件</w:t>
      </w:r>
      <w:r>
        <w:rPr>
          <w:rFonts w:hint="default" w:ascii="Times New Roman" w:hAnsi="Times New Roman" w:eastAsia="宋体" w:cs="Times New Roman"/>
          <w:color w:val="auto"/>
          <w:sz w:val="24"/>
          <w:highlight w:val="none"/>
        </w:rPr>
        <w:t>的投标人，但不指明澄清问题的来源。澄清发出的时间距本章第4.2.1项规定的投标截止时间不足15日，且澄清内容可能影响投标文件编制的，将相应延长投标截止时间。</w:t>
      </w:r>
    </w:p>
    <w:p w14:paraId="264C476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2.2.3 </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按照投标人须知前附表要求及时收悉澄清内容。</w:t>
      </w:r>
      <w:r>
        <w:rPr>
          <w:rFonts w:hint="default" w:ascii="Times New Roman" w:hAnsi="Times New Roman" w:cs="Times New Roman"/>
          <w:color w:val="auto"/>
          <w:sz w:val="24"/>
          <w:highlight w:val="none"/>
        </w:rPr>
        <w:t>投标人应注意及时浏览网上发出的澄清，因投标人自身原因未及时获知澄清内容而导致的任何后果将由投标人自行承担</w:t>
      </w:r>
      <w:r>
        <w:rPr>
          <w:rFonts w:hint="default" w:ascii="Times New Roman" w:hAnsi="Times New Roman" w:eastAsia="宋体" w:cs="Times New Roman"/>
          <w:color w:val="auto"/>
          <w:sz w:val="24"/>
          <w:highlight w:val="none"/>
        </w:rPr>
        <w:t>。</w:t>
      </w:r>
    </w:p>
    <w:p w14:paraId="508D4E5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 除非招标人认为确有必要答复，否则，招标人有权拒绝回复投标人在本章第2.2.1项规定的时间后提出的任何澄清要求。</w:t>
      </w:r>
    </w:p>
    <w:p w14:paraId="5EF78C1D">
      <w:pPr>
        <w:pStyle w:val="2"/>
        <w:pageBreakBefore w:val="0"/>
        <w:kinsoku/>
        <w:wordWrap w:val="0"/>
        <w:bidi w:val="0"/>
        <w:outlineLvl w:val="2"/>
        <w:rPr>
          <w:rFonts w:hint="default" w:ascii="Times New Roman" w:hAnsi="Times New Roman" w:cs="Times New Roman"/>
          <w:color w:val="auto"/>
          <w:highlight w:val="none"/>
        </w:rPr>
      </w:pPr>
      <w:bookmarkStart w:id="154" w:name="_Toc19533"/>
      <w:bookmarkStart w:id="155" w:name="_Toc234832887"/>
      <w:bookmarkStart w:id="156" w:name="_Toc20407"/>
      <w:bookmarkStart w:id="157" w:name="_Toc3661"/>
      <w:r>
        <w:rPr>
          <w:rFonts w:hint="default" w:ascii="Times New Roman" w:hAnsi="Times New Roman" w:cs="Times New Roman"/>
          <w:color w:val="auto"/>
          <w:highlight w:val="none"/>
        </w:rPr>
        <w:t>2.3 招标文件的修改</w:t>
      </w:r>
      <w:bookmarkEnd w:id="154"/>
      <w:bookmarkEnd w:id="155"/>
      <w:bookmarkEnd w:id="156"/>
      <w:bookmarkEnd w:id="157"/>
    </w:p>
    <w:p w14:paraId="7FB7BF4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2.3.1 招标人以投标人须知前附表规定的形式修改招标文件。修改招标文件的时间距本章第4.2.1项规定的投标截止时间不足15日，且修改内容可能影响投标文件编制的，将相应延长投标截止时间。</w:t>
      </w:r>
    </w:p>
    <w:p w14:paraId="4FC9607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2.3.2 </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w:t>
      </w:r>
      <w:r>
        <w:rPr>
          <w:rFonts w:hint="default" w:ascii="Times New Roman" w:hAnsi="Times New Roman"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内容</w:t>
      </w:r>
      <w:r>
        <w:rPr>
          <w:rFonts w:hint="default" w:ascii="Times New Roman" w:hAnsi="Times New Roman" w:cs="Times New Roman"/>
          <w:color w:val="auto"/>
          <w:sz w:val="24"/>
          <w:highlight w:val="none"/>
        </w:rPr>
        <w:t>。投标人应注意及时浏览网上发出的修改，因投标人自身原因未及时获知修改内容而导致的任何后果将由投标人自行承担</w:t>
      </w:r>
      <w:r>
        <w:rPr>
          <w:rFonts w:hint="default" w:ascii="Times New Roman" w:hAnsi="Times New Roman" w:eastAsia="宋体" w:cs="Times New Roman"/>
          <w:color w:val="auto"/>
          <w:sz w:val="24"/>
          <w:highlight w:val="none"/>
        </w:rPr>
        <w:t>。</w:t>
      </w:r>
    </w:p>
    <w:p w14:paraId="15ACC5ED">
      <w:pPr>
        <w:pStyle w:val="2"/>
        <w:pageBreakBefore w:val="0"/>
        <w:kinsoku/>
        <w:wordWrap w:val="0"/>
        <w:bidi w:val="0"/>
        <w:outlineLvl w:val="2"/>
        <w:rPr>
          <w:rFonts w:hint="default" w:ascii="Times New Roman" w:hAnsi="Times New Roman" w:cs="Times New Roman"/>
          <w:color w:val="auto"/>
          <w:highlight w:val="none"/>
        </w:rPr>
      </w:pPr>
      <w:bookmarkStart w:id="158" w:name="_Toc29500"/>
      <w:bookmarkStart w:id="159" w:name="_Toc13132"/>
      <w:bookmarkStart w:id="160" w:name="_Toc8985"/>
      <w:r>
        <w:rPr>
          <w:rFonts w:hint="default" w:ascii="Times New Roman" w:hAnsi="Times New Roman" w:cs="Times New Roman"/>
          <w:color w:val="auto"/>
          <w:highlight w:val="none"/>
        </w:rPr>
        <w:t>2.4</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rPr>
        <w:t>招标文件的异议</w:t>
      </w:r>
      <w:bookmarkEnd w:id="158"/>
      <w:bookmarkEnd w:id="159"/>
      <w:bookmarkEnd w:id="160"/>
    </w:p>
    <w:p w14:paraId="3B84DDB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投标人或其他利害关系人对招标文件有异议的，应在投标截止时间10日前以书面形式提出。招标人将在收到异议之日起3日内作出答复；作出答复前，将暂停招标投标活动。</w:t>
      </w:r>
    </w:p>
    <w:p w14:paraId="2FEC1060">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161" w:name="_Toc234832888"/>
      <w:bookmarkStart w:id="162" w:name="_Toc5945"/>
      <w:bookmarkStart w:id="163" w:name="_Toc24250"/>
      <w:bookmarkStart w:id="164" w:name="_Toc5874"/>
      <w:r>
        <w:rPr>
          <w:rFonts w:hint="default" w:ascii="Times New Roman" w:hAnsi="Times New Roman" w:eastAsia="黑体" w:cs="Times New Roman"/>
          <w:b w:val="0"/>
          <w:color w:val="auto"/>
          <w:sz w:val="28"/>
          <w:szCs w:val="28"/>
          <w:highlight w:val="none"/>
        </w:rPr>
        <w:t>3. 投标文件</w:t>
      </w:r>
      <w:bookmarkEnd w:id="161"/>
      <w:bookmarkEnd w:id="162"/>
      <w:bookmarkEnd w:id="163"/>
      <w:bookmarkEnd w:id="164"/>
    </w:p>
    <w:p w14:paraId="410DFC4F">
      <w:pPr>
        <w:pStyle w:val="2"/>
        <w:keepNext/>
        <w:keepLines/>
        <w:pageBreakBefore w:val="0"/>
        <w:widowControl w:val="0"/>
        <w:kinsoku/>
        <w:wordWrap w:val="0"/>
        <w:overflowPunct/>
        <w:topLinePunct w:val="0"/>
        <w:autoSpaceDE/>
        <w:autoSpaceDN/>
        <w:bidi w:val="0"/>
        <w:adjustRightInd/>
        <w:snapToGrid/>
        <w:textAlignment w:val="auto"/>
        <w:outlineLvl w:val="2"/>
        <w:rPr>
          <w:rFonts w:hint="default" w:ascii="Times New Roman" w:hAnsi="Times New Roman" w:cs="Times New Roman"/>
          <w:color w:val="auto"/>
          <w:highlight w:val="none"/>
        </w:rPr>
      </w:pPr>
      <w:bookmarkStart w:id="165" w:name="_Toc16758"/>
      <w:bookmarkStart w:id="166" w:name="_Toc234832889"/>
      <w:bookmarkStart w:id="167" w:name="_Toc20988"/>
      <w:bookmarkStart w:id="168" w:name="_Toc18046"/>
      <w:r>
        <w:rPr>
          <w:rFonts w:hint="default" w:ascii="Times New Roman" w:hAnsi="Times New Roman" w:cs="Times New Roman"/>
          <w:color w:val="auto"/>
          <w:highlight w:val="none"/>
        </w:rPr>
        <w:t>3.1投标文件的组成</w:t>
      </w:r>
      <w:bookmarkEnd w:id="165"/>
      <w:bookmarkEnd w:id="166"/>
      <w:bookmarkEnd w:id="167"/>
      <w:bookmarkEnd w:id="168"/>
    </w:p>
    <w:p w14:paraId="123D447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投标文件应采用双信封形式，包括下列内容：</w:t>
      </w:r>
    </w:p>
    <w:p w14:paraId="26E5475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w:t>
      </w:r>
    </w:p>
    <w:p w14:paraId="4C5B620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（1）投标函及投标函附录；</w:t>
      </w:r>
    </w:p>
    <w:p w14:paraId="40E0293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（2）授权委托书或法定代表人身份证明；</w:t>
      </w:r>
    </w:p>
    <w:p w14:paraId="38B08C7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（3）联合体协议书（如有）；</w:t>
      </w:r>
    </w:p>
    <w:p w14:paraId="2922554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（4）投标保证金（如有）；</w:t>
      </w:r>
    </w:p>
    <w:p w14:paraId="31D2109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（5）施工组织设计；</w:t>
      </w:r>
    </w:p>
    <w:p w14:paraId="4D88D14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（6）项目管理机构；</w:t>
      </w:r>
    </w:p>
    <w:p w14:paraId="417831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（7）拟分包项目情况表（</w:t>
      </w:r>
      <w:r>
        <w:rPr>
          <w:rFonts w:hint="eastAsia" w:cs="Times New Roman"/>
          <w:color w:val="auto"/>
          <w:sz w:val="24"/>
          <w:highlight w:val="none"/>
          <w:lang w:val="en-US" w:eastAsia="zh-CN"/>
        </w:rPr>
        <w:t>如有</w:t>
      </w:r>
      <w:r>
        <w:rPr>
          <w:rFonts w:hint="default" w:ascii="Times New Roman" w:hAnsi="Times New Roman" w:eastAsia="宋体" w:cs="Times New Roman"/>
          <w:color w:val="auto"/>
          <w:sz w:val="24"/>
          <w:highlight w:val="none"/>
        </w:rPr>
        <w:t>）</w:t>
      </w:r>
    </w:p>
    <w:p w14:paraId="2BC519D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 xml:space="preserve">）资格审查资料； </w:t>
      </w:r>
    </w:p>
    <w:p w14:paraId="47A3DEC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）投标人须知前附表规定的其他资料。</w:t>
      </w:r>
    </w:p>
    <w:p w14:paraId="0632E21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第二个信封（报价文件）：</w:t>
      </w:r>
    </w:p>
    <w:p w14:paraId="33C4C1C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w:t>
      </w:r>
    </w:p>
    <w:p w14:paraId="625801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）已标价工程量清单；</w:t>
      </w:r>
    </w:p>
    <w:p w14:paraId="5FF0AB6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）合同用款估算表。</w:t>
      </w:r>
    </w:p>
    <w:p w14:paraId="3B2CEE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投标人在评标过程中作出的符合法律法规和招标文件规定的澄清确认，构成投标文件的组成部分。</w:t>
      </w:r>
    </w:p>
    <w:p w14:paraId="7E910E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 投标人须知前附表规定不接受联合体投标的，或投标人没有组成联合体的，投标文件不包括本章第3.1.1（3）目所指的联合体协议书。</w:t>
      </w:r>
    </w:p>
    <w:p w14:paraId="605A34E0">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 投标人须知前附表未要求提交投标保证金的，投标文件不包括本章第3.1.1（4）目所指的投标保证金。</w:t>
      </w:r>
    </w:p>
    <w:p w14:paraId="5662B813">
      <w:pPr>
        <w:pStyle w:val="2"/>
        <w:pageBreakBefore w:val="0"/>
        <w:kinsoku/>
        <w:wordWrap w:val="0"/>
        <w:bidi w:val="0"/>
        <w:outlineLvl w:val="2"/>
        <w:rPr>
          <w:rFonts w:hint="default" w:ascii="Times New Roman" w:hAnsi="Times New Roman" w:cs="Times New Roman"/>
          <w:color w:val="auto"/>
          <w:highlight w:val="none"/>
        </w:rPr>
      </w:pPr>
      <w:bookmarkStart w:id="169" w:name="_Toc22349"/>
      <w:bookmarkStart w:id="170" w:name="_Toc4919"/>
      <w:bookmarkStart w:id="171" w:name="_Toc234832890"/>
      <w:bookmarkStart w:id="172" w:name="_Toc25498"/>
      <w:r>
        <w:rPr>
          <w:rFonts w:hint="default" w:ascii="Times New Roman" w:hAnsi="Times New Roman" w:cs="Times New Roman"/>
          <w:color w:val="auto"/>
          <w:highlight w:val="none"/>
        </w:rPr>
        <w:t>3.2 投标报价</w:t>
      </w:r>
      <w:bookmarkEnd w:id="169"/>
      <w:bookmarkEnd w:id="170"/>
      <w:bookmarkEnd w:id="171"/>
      <w:bookmarkEnd w:id="172"/>
      <w:r>
        <w:rPr>
          <w:rFonts w:hint="default" w:ascii="Times New Roman" w:hAnsi="Times New Roman" w:cs="Times New Roman"/>
          <w:color w:val="auto"/>
          <w:highlight w:val="none"/>
        </w:rPr>
        <w:t xml:space="preserve"> </w:t>
      </w:r>
    </w:p>
    <w:p w14:paraId="54EBC6E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3.2.1 投标报价应包括国家规定的增值税税金，除投标人须知前附表另有规定外，增值税税金按一般计税方法计算。投标人应按第九章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的要求在投标函中进行报价并填写工程量清单相应表格。</w:t>
      </w:r>
    </w:p>
    <w:p w14:paraId="0A6676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本项目招标采用工程量固化清单，招标人在</w:t>
      </w:r>
      <w:r>
        <w:rPr>
          <w:rFonts w:hint="default" w:ascii="Times New Roman" w:hAnsi="Times New Roman" w:cs="Times New Roman"/>
          <w:color w:val="auto"/>
          <w:sz w:val="24"/>
          <w:highlight w:val="none"/>
          <w:lang w:val="en-US" w:eastAsia="zh-CN"/>
        </w:rPr>
        <w:t>发布</w:t>
      </w:r>
      <w:r>
        <w:rPr>
          <w:rFonts w:hint="default" w:ascii="Times New Roman" w:hAnsi="Times New Roman" w:eastAsia="宋体" w:cs="Times New Roman"/>
          <w:color w:val="auto"/>
          <w:sz w:val="24"/>
          <w:highlight w:val="none"/>
        </w:rPr>
        <w:t>招标文件的同时将工程量固化清单电子文件上传至投标人须知前附表载明的网站供投标人自行下载。投标人填写工程量清单中各子目的单价</w:t>
      </w:r>
      <w:r>
        <w:rPr>
          <w:rFonts w:hint="eastAsia" w:cs="Times New Roman"/>
          <w:color w:val="auto"/>
          <w:sz w:val="24"/>
          <w:highlight w:val="none"/>
          <w:lang w:val="en-US" w:eastAsia="zh-CN"/>
        </w:rPr>
        <w:t>或</w:t>
      </w:r>
      <w:r>
        <w:rPr>
          <w:rFonts w:hint="default" w:ascii="Times New Roman" w:hAnsi="Times New Roman" w:eastAsia="宋体" w:cs="Times New Roman"/>
          <w:color w:val="auto"/>
          <w:sz w:val="24"/>
          <w:highlight w:val="none"/>
        </w:rPr>
        <w:t>总额价，即可完成投标工程量清单的编制，确定投标报价，并</w:t>
      </w:r>
      <w:r>
        <w:rPr>
          <w:rFonts w:hint="eastAsia" w:cs="Times New Roman"/>
          <w:color w:val="auto"/>
          <w:sz w:val="24"/>
          <w:highlight w:val="none"/>
          <w:lang w:val="en-US" w:eastAsia="zh-CN"/>
        </w:rPr>
        <w:t>生成电子版</w:t>
      </w:r>
      <w:r>
        <w:rPr>
          <w:rFonts w:hint="default" w:ascii="Times New Roman" w:hAnsi="Times New Roman" w:eastAsia="宋体" w:cs="Times New Roman"/>
          <w:color w:val="auto"/>
          <w:sz w:val="24"/>
          <w:highlight w:val="none"/>
        </w:rPr>
        <w:t>工程量清单，编入投标文件。投标人未在工程量清单中填入单价或总额价的工程子目，将被认为其已包含在工程量清单其他子目的单价和总额价中，招标人将不予支付。</w:t>
      </w:r>
    </w:p>
    <w:p w14:paraId="530571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严禁投标人修改工程量固化清单电子文件中的数据、格式及运算定义。</w:t>
      </w:r>
    </w:p>
    <w:p w14:paraId="6160B7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投标人根据招标人提供的工程量固化清单电子文件填报完成并</w:t>
      </w:r>
      <w:r>
        <w:rPr>
          <w:rFonts w:hint="eastAsia" w:cs="Times New Roman"/>
          <w:color w:val="auto"/>
          <w:sz w:val="24"/>
          <w:highlight w:val="none"/>
          <w:lang w:val="en-US" w:eastAsia="zh-CN"/>
        </w:rPr>
        <w:t>生成</w:t>
      </w:r>
      <w:r>
        <w:rPr>
          <w:rFonts w:hint="default" w:ascii="Times New Roman" w:hAnsi="Times New Roman" w:eastAsia="宋体" w:cs="Times New Roman"/>
          <w:color w:val="auto"/>
          <w:sz w:val="24"/>
          <w:highlight w:val="none"/>
        </w:rPr>
        <w:t>的投标工程量清单中的投标报价和投标函大写金额报价应一致，如果报价金额出现差异，其投标将被否决。</w:t>
      </w:r>
    </w:p>
    <w:p w14:paraId="127378F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3.2.2 投标人应充分了解本项目的总体情况以及影响投标报价的其他要素。</w:t>
      </w:r>
    </w:p>
    <w:p w14:paraId="1B3121F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3.2.3 本项目的报价方式见投标人须知前附表。投标人在投标截止时间前修改投标函中的投标总报价，应同时修改投标文件</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已标价工程量清单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中的相应报价。此修改须符合本章第4.3款的有关要求。</w:t>
      </w:r>
    </w:p>
    <w:p w14:paraId="100EF9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3.2.4 投标人如果发现工程量清单中的数量与图纸中数量不一致时，应立即通知招标人核查，除非招标人</w:t>
      </w:r>
      <w:r>
        <w:rPr>
          <w:rFonts w:hint="eastAsia" w:cs="Times New Roman"/>
          <w:color w:val="auto"/>
          <w:sz w:val="24"/>
          <w:highlight w:val="none"/>
          <w:lang w:val="en-US" w:eastAsia="zh-CN"/>
        </w:rPr>
        <w:t>在指定媒介上</w:t>
      </w:r>
      <w:r>
        <w:rPr>
          <w:rFonts w:hint="default" w:ascii="Times New Roman" w:hAnsi="Times New Roman" w:eastAsia="宋体" w:cs="Times New Roman"/>
          <w:color w:val="auto"/>
          <w:sz w:val="24"/>
          <w:highlight w:val="none"/>
        </w:rPr>
        <w:t>以书面方式予以更正，否则，应以工程量清单中列出的数量为准。</w:t>
      </w:r>
    </w:p>
    <w:p w14:paraId="69BAB192">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3.2.5 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1F96823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 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2A3869F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 xml:space="preserve"> 招标人设有最高投标限价的，投标人的投标报价不得超过最高投标限价，最高投标限价在投标</w:t>
      </w:r>
      <w:bookmarkStart w:id="173" w:name="_Toc384308225"/>
      <w:bookmarkStart w:id="174" w:name="_Toc247513968"/>
      <w:bookmarkStart w:id="175" w:name="_Toc247527569"/>
      <w:bookmarkStart w:id="176" w:name="_Toc352691488"/>
      <w:bookmarkStart w:id="177" w:name="_Toc369531531"/>
      <w:bookmarkStart w:id="178" w:name="_Toc144974512"/>
      <w:bookmarkStart w:id="179" w:name="_Toc361508600"/>
      <w:bookmarkStart w:id="180" w:name="_Toc300834965"/>
      <w:bookmarkStart w:id="181" w:name="_Toc10429"/>
      <w:bookmarkStart w:id="182" w:name="_Toc152042320"/>
      <w:bookmarkStart w:id="183" w:name="_Toc152045544"/>
      <w:r>
        <w:rPr>
          <w:rFonts w:hint="default" w:ascii="Times New Roman" w:hAnsi="Times New Roman" w:eastAsia="宋体" w:cs="Times New Roman"/>
          <w:color w:val="auto"/>
          <w:sz w:val="24"/>
          <w:highlight w:val="none"/>
        </w:rPr>
        <w:t>人须知前附表中载明。</w:t>
      </w:r>
      <w:bookmarkEnd w:id="173"/>
      <w:bookmarkEnd w:id="174"/>
      <w:bookmarkEnd w:id="175"/>
      <w:bookmarkEnd w:id="176"/>
      <w:bookmarkEnd w:id="177"/>
      <w:bookmarkEnd w:id="178"/>
      <w:bookmarkEnd w:id="179"/>
      <w:bookmarkEnd w:id="180"/>
      <w:bookmarkEnd w:id="181"/>
      <w:bookmarkEnd w:id="182"/>
      <w:bookmarkEnd w:id="183"/>
    </w:p>
    <w:p w14:paraId="3726AAA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 xml:space="preserve"> 投标报价的其他要求见投标人须知前附表。</w:t>
      </w:r>
    </w:p>
    <w:p w14:paraId="46BF4AE0">
      <w:pPr>
        <w:pStyle w:val="2"/>
        <w:pageBreakBefore w:val="0"/>
        <w:kinsoku/>
        <w:wordWrap w:val="0"/>
        <w:bidi w:val="0"/>
        <w:outlineLvl w:val="2"/>
        <w:rPr>
          <w:rFonts w:hint="default" w:ascii="Times New Roman" w:hAnsi="Times New Roman" w:cs="Times New Roman"/>
          <w:color w:val="auto"/>
          <w:highlight w:val="none"/>
        </w:rPr>
      </w:pPr>
      <w:bookmarkStart w:id="184" w:name="_Toc31161"/>
      <w:bookmarkStart w:id="185" w:name="_Toc234832891"/>
      <w:bookmarkStart w:id="186" w:name="_Toc5681"/>
      <w:bookmarkStart w:id="187" w:name="_Toc19241"/>
      <w:r>
        <w:rPr>
          <w:rFonts w:hint="default" w:ascii="Times New Roman" w:hAnsi="Times New Roman" w:cs="Times New Roman"/>
          <w:color w:val="auto"/>
          <w:highlight w:val="none"/>
        </w:rPr>
        <w:t>3.3投标有效期</w:t>
      </w:r>
      <w:bookmarkEnd w:id="184"/>
      <w:bookmarkEnd w:id="185"/>
      <w:bookmarkEnd w:id="186"/>
      <w:bookmarkEnd w:id="187"/>
    </w:p>
    <w:p w14:paraId="5C64B1F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3.3.1 除投标人须知前附表另有规定外，投标有效期为90日。</w:t>
      </w:r>
    </w:p>
    <w:p w14:paraId="704D9D9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 在投标有效期内，投标人撤销投标文件的，应承担招标文件和法律规定的责任。</w:t>
      </w:r>
    </w:p>
    <w:p w14:paraId="3F08B12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 出现特殊情况需要延长投标有效期的，招标人</w:t>
      </w:r>
      <w:r>
        <w:rPr>
          <w:rFonts w:hint="eastAsia" w:cs="Times New Roman"/>
          <w:color w:val="auto"/>
          <w:sz w:val="24"/>
          <w:highlight w:val="none"/>
          <w:lang w:val="en-US" w:eastAsia="zh-CN"/>
        </w:rPr>
        <w:t>通过电子交易平台</w:t>
      </w:r>
      <w:r>
        <w:rPr>
          <w:rFonts w:hint="default" w:ascii="Times New Roman" w:hAnsi="Times New Roman" w:eastAsia="宋体" w:cs="Times New Roman"/>
          <w:color w:val="auto"/>
          <w:sz w:val="24"/>
          <w:highlight w:val="none"/>
        </w:rPr>
        <w:t>通知所有投标人延长投标有效期。投标人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0E2DFEBE">
      <w:pPr>
        <w:pStyle w:val="2"/>
        <w:pageBreakBefore w:val="0"/>
        <w:kinsoku/>
        <w:wordWrap w:val="0"/>
        <w:bidi w:val="0"/>
        <w:outlineLvl w:val="2"/>
        <w:rPr>
          <w:rFonts w:hint="default" w:ascii="Times New Roman" w:hAnsi="Times New Roman" w:cs="Times New Roman"/>
          <w:color w:val="auto"/>
          <w:highlight w:val="none"/>
        </w:rPr>
      </w:pPr>
      <w:bookmarkStart w:id="188" w:name="_Toc14943"/>
      <w:bookmarkStart w:id="189" w:name="_Toc19805"/>
      <w:bookmarkStart w:id="190" w:name="_Toc234832892"/>
      <w:bookmarkStart w:id="191" w:name="_Toc17536"/>
      <w:r>
        <w:rPr>
          <w:rFonts w:hint="default" w:ascii="Times New Roman" w:hAnsi="Times New Roman" w:cs="Times New Roman"/>
          <w:color w:val="auto"/>
          <w:highlight w:val="none"/>
        </w:rPr>
        <w:t>3.4投标保证金</w:t>
      </w:r>
      <w:bookmarkEnd w:id="188"/>
      <w:bookmarkEnd w:id="189"/>
      <w:bookmarkEnd w:id="190"/>
      <w:bookmarkEnd w:id="191"/>
    </w:p>
    <w:p w14:paraId="4B2CAB1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 投标人在递交投标文件的同时，应按投标人须知前附表规定的金额和第九章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规定的投标保证金格式递交投标保证金，并作为其投标文件的组成部分。联合体投标的，其投标保证金由牵头人递交，并应符合投标人须知前附表的规定。</w:t>
      </w:r>
    </w:p>
    <w:p w14:paraId="0A3EDB8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投标保证金应采用现金、支票、银行保函或招标人在投标人须知前附表规定的其他形式。</w:t>
      </w:r>
    </w:p>
    <w:p w14:paraId="5950121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6563E8B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（2）若采用银行保函，则应由符合投标人须知前附表规定级别的银行开具，并采用招标文件提供的格式。银行保函</w:t>
      </w:r>
      <w:r>
        <w:rPr>
          <w:rFonts w:hint="eastAsia" w:cs="Times New Roman"/>
          <w:color w:val="auto"/>
          <w:sz w:val="24"/>
          <w:highlight w:val="none"/>
          <w:lang w:eastAsia="zh-CN"/>
        </w:rPr>
        <w:t>原件扫描件</w:t>
      </w:r>
      <w:r>
        <w:rPr>
          <w:rFonts w:hint="eastAsia" w:cs="Times New Roman"/>
          <w:color w:val="auto"/>
          <w:sz w:val="24"/>
          <w:highlight w:val="none"/>
          <w:lang w:val="en-US" w:eastAsia="zh-CN"/>
        </w:rPr>
        <w:t>编辑</w:t>
      </w:r>
      <w:r>
        <w:rPr>
          <w:rFonts w:hint="default" w:ascii="Times New Roman" w:hAnsi="Times New Roman" w:eastAsia="宋体" w:cs="Times New Roman"/>
          <w:color w:val="auto"/>
          <w:sz w:val="24"/>
          <w:highlight w:val="none"/>
        </w:rPr>
        <w:t>在投标文件内。</w:t>
      </w:r>
    </w:p>
    <w:p w14:paraId="79638B5D">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）若采用电子保函形式提交，投标人应在投标文件中提供电子保函的扫描件和电子化保函验真渠道。</w:t>
      </w:r>
    </w:p>
    <w:p w14:paraId="4D7E9EF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无论采取何种形式的投标保证金，投标保证金有效期均应与投标有效期一致。招标人如果按本章第3.3.3项的规定延长了投标有效期，则投标保证金的有效期也相应延长。</w:t>
      </w:r>
    </w:p>
    <w:p w14:paraId="4A889F0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 投标人不按本章第3.4.1项要求提交投标保证金的，评标委员会将否决其投标。</w:t>
      </w:r>
    </w:p>
    <w:p w14:paraId="16A18F0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3.4.3 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352F863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利息计算原则见投标人须知前附表。</w:t>
      </w:r>
    </w:p>
    <w:p w14:paraId="770502A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3.4.4 有下列情形之一的，投标保证金将不予退还：</w:t>
      </w:r>
    </w:p>
    <w:p w14:paraId="443C06E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（1）投标人在投标有效期内撤销投标文件；</w:t>
      </w:r>
    </w:p>
    <w:p w14:paraId="72AD31E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（2）中标人在收到中标通知书后，无正当理由不与招标人订立合同，在签订合同时向招标人提出附加条件，或不按照招标文件要求提交履约保证金；</w:t>
      </w:r>
    </w:p>
    <w:p w14:paraId="492C8B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（3）发生投标人须知前附表规定的其他可以不予退还投标保证金的情形。</w:t>
      </w:r>
    </w:p>
    <w:p w14:paraId="6D247F0E">
      <w:pPr>
        <w:pStyle w:val="2"/>
        <w:pageBreakBefore w:val="0"/>
        <w:kinsoku/>
        <w:wordWrap w:val="0"/>
        <w:bidi w:val="0"/>
        <w:outlineLvl w:val="2"/>
        <w:rPr>
          <w:rFonts w:hint="default" w:ascii="Times New Roman" w:hAnsi="Times New Roman" w:cs="Times New Roman"/>
          <w:color w:val="auto"/>
          <w:highlight w:val="none"/>
        </w:rPr>
      </w:pPr>
      <w:bookmarkStart w:id="192" w:name="_Toc6927"/>
      <w:bookmarkStart w:id="193" w:name="_Toc234832894"/>
      <w:bookmarkStart w:id="194" w:name="_Toc32650"/>
      <w:bookmarkStart w:id="195" w:name="_Toc19802"/>
      <w:r>
        <w:rPr>
          <w:rFonts w:hint="default" w:ascii="Times New Roman" w:hAnsi="Times New Roman" w:cs="Times New Roman"/>
          <w:color w:val="auto"/>
          <w:highlight w:val="none"/>
        </w:rPr>
        <w:t>3.5资格审查资料</w:t>
      </w:r>
      <w:bookmarkEnd w:id="192"/>
      <w:bookmarkEnd w:id="193"/>
      <w:bookmarkEnd w:id="194"/>
      <w:bookmarkEnd w:id="195"/>
    </w:p>
    <w:p w14:paraId="32E3BDD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除投标人须知前附表另有规定外，投标人应按下列规定提供资格审查资料，以证明其满足本章第1.4款规定的资质、财务、业绩、信誉等要求。</w:t>
      </w:r>
    </w:p>
    <w:p w14:paraId="454F859C">
      <w:pPr>
        <w:pageBreakBefore w:val="0"/>
        <w:kinsoku/>
        <w:wordWrap w:val="0"/>
        <w:bidi w:val="0"/>
        <w:spacing w:line="40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投标人应在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中建立信用信息档案，并对在系统中所填报内容的真实性、准确性和完整性负责。投标人需要在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中备案或更新的内容，</w:t>
      </w:r>
      <w:r>
        <w:rPr>
          <w:rFonts w:hint="default" w:ascii="Times New Roman" w:hAnsi="Times New Roman"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在投标文件递交截止时间之前完成备案或更新，未录入、更新至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的信息数据或已录入、更新至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中但</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中未填报的内容，均不予认可，投标文件中证明资料的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应从</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eastAsia" w:cs="Times New Roman"/>
          <w:color w:val="auto"/>
          <w:sz w:val="24"/>
          <w:szCs w:val="24"/>
          <w:highlight w:val="none"/>
          <w:lang w:val="en-US" w:eastAsia="zh-CN"/>
        </w:rPr>
        <w:t>主体信息库</w:t>
      </w:r>
      <w:r>
        <w:rPr>
          <w:rFonts w:hint="default" w:ascii="Times New Roman" w:hAnsi="Times New Roman" w:eastAsia="宋体" w:cs="Times New Roman"/>
          <w:color w:val="auto"/>
          <w:sz w:val="24"/>
          <w:szCs w:val="24"/>
          <w:highlight w:val="none"/>
        </w:rPr>
        <w:t>中选择并进行超链接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除投标人须知前附表另有规定外</w:t>
      </w:r>
      <w:r>
        <w:rPr>
          <w:rFonts w:hint="default" w:ascii="Times New Roman" w:hAnsi="Times New Roman" w:eastAsia="宋体" w:cs="Times New Roman"/>
          <w:color w:val="auto"/>
          <w:sz w:val="24"/>
          <w:szCs w:val="24"/>
          <w:highlight w:val="none"/>
        </w:rPr>
        <w:t>招标人不再接受投标人提交相关证明原件作为替代或补充。</w:t>
      </w:r>
    </w:p>
    <w:p w14:paraId="5402C4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3.5.1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投标人基本情况表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基本存款账户信息</w:t>
      </w:r>
      <w:r>
        <w:rPr>
          <w:rFonts w:hint="default" w:ascii="Times New Roman" w:hAnsi="Times New Roman" w:eastAsia="宋体" w:cs="Times New Roman"/>
          <w:color w:val="auto"/>
          <w:sz w:val="24"/>
          <w:highlight w:val="none"/>
        </w:rPr>
        <w:t>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，投标人在交通运输部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公路工程施工资质企业名录中的网页截图</w:t>
      </w:r>
      <w:r>
        <w:rPr>
          <w:rStyle w:val="47"/>
          <w:rFonts w:ascii="Times New Roman" w:hAnsi="Times New Roman" w:eastAsia="宋体" w:cs="Times New Roman"/>
          <w:color w:val="auto"/>
          <w:highlight w:val="none"/>
        </w:rPr>
        <w:footnoteReference w:id="29"/>
      </w:r>
      <w:r>
        <w:rPr>
          <w:rFonts w:hint="default" w:ascii="Times New Roman" w:hAnsi="Times New Roman" w:eastAsia="宋体" w:cs="Times New Roman"/>
          <w:color w:val="auto"/>
          <w:sz w:val="24"/>
          <w:highlight w:val="none"/>
        </w:rPr>
        <w:t>，以及投标人在国家企业信用信息公示系统中基础信息（体现股东及出资详细信息）的网页截图。</w:t>
      </w:r>
    </w:p>
    <w:p w14:paraId="7B5BA3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基本存款账户信息</w:t>
      </w:r>
      <w:r>
        <w:rPr>
          <w:rFonts w:hint="default" w:ascii="Times New Roman" w:hAnsi="Times New Roman" w:eastAsia="宋体" w:cs="Times New Roman"/>
          <w:color w:val="auto"/>
          <w:sz w:val="24"/>
          <w:highlight w:val="none"/>
        </w:rPr>
        <w:t>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应提供全本（证书封面、封底、空白页除外），应包括投标人名称、投标人其他相关信息、颁发机构名称、投标人信息变更情况等关键页在内。</w:t>
      </w:r>
    </w:p>
    <w:p w14:paraId="4864A8A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3.5.2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财务状况表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应附经会计师事务所或审计机构审计的财务会计报表，包括资产负债表、现金流量表、利润表和财务情况说明书的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，具体年份要求见投标人须知前附表。投标人的成立时间少于投标人须知前附表规定年份的，应提供成立以来的财务状况表。</w:t>
      </w:r>
    </w:p>
    <w:p w14:paraId="7756AA32">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3.5.3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近年完成的类似项目</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具体时间要求见投标人须知前附表。</w:t>
      </w:r>
    </w:p>
    <w:p w14:paraId="6CC214E4">
      <w:pPr>
        <w:pageBreakBefore w:val="0"/>
        <w:kinsoku/>
        <w:wordWrap w:val="0"/>
        <w:topLinePunct/>
        <w:bidi w:val="0"/>
        <w:spacing w:line="400" w:lineRule="atLeast"/>
        <w:ind w:firstLine="480" w:firstLineChars="200"/>
        <w:rPr>
          <w:rFonts w:hint="eastAsia" w:ascii="宋体" w:hAnsi="宋体" w:eastAsia="宋体" w:cs="宋体"/>
          <w:color w:val="auto"/>
          <w:sz w:val="24"/>
          <w:highlight w:val="none"/>
        </w:rPr>
      </w:pPr>
      <w:r>
        <w:rPr>
          <w:rFonts w:hint="eastAsia" w:cs="Times New Roman"/>
          <w:color w:val="auto"/>
          <w:sz w:val="24"/>
          <w:highlight w:val="none"/>
          <w:lang w:val="en-US" w:eastAsia="zh-CN"/>
        </w:rPr>
        <w:t>投标人应在</w:t>
      </w:r>
      <w:r>
        <w:rPr>
          <w:rFonts w:hint="eastAsia" w:ascii="宋体" w:hAnsi="宋体" w:eastAsia="宋体" w:cs="宋体"/>
          <w:color w:val="auto"/>
          <w:sz w:val="24"/>
          <w:highlight w:val="none"/>
        </w:rPr>
        <w:t>“辽宁省公共资源交易一张网电子化平台”</w:t>
      </w:r>
      <w:r>
        <w:rPr>
          <w:rFonts w:hint="eastAsia" w:ascii="宋体" w:hAnsi="宋体" w:cs="宋体"/>
          <w:color w:val="auto"/>
          <w:sz w:val="24"/>
          <w:highlight w:val="none"/>
          <w:lang w:eastAsia="zh-CN"/>
        </w:rPr>
        <w:t>主体信息库</w:t>
      </w:r>
      <w:r>
        <w:rPr>
          <w:rFonts w:hint="eastAsia" w:ascii="宋体" w:hAnsi="宋体" w:eastAsia="宋体" w:cs="宋体"/>
          <w:color w:val="auto"/>
          <w:sz w:val="24"/>
          <w:highlight w:val="none"/>
        </w:rPr>
        <w:t>中选择并进行超链接</w:t>
      </w:r>
      <w:r>
        <w:rPr>
          <w:rFonts w:hint="eastAsia" w:ascii="宋体" w:hAnsi="宋体" w:cs="宋体"/>
          <w:color w:val="auto"/>
          <w:sz w:val="24"/>
          <w:highlight w:val="none"/>
          <w:lang w:eastAsia="zh-CN"/>
        </w:rPr>
        <w:t>。</w:t>
      </w:r>
    </w:p>
    <w:p w14:paraId="24023A47">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投标人的信誉情况表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应附投标人在国家企业信用信息公示系统中未被列入严重违法失信企业名单、在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信用中国</w:t>
      </w:r>
      <w:r>
        <w:rPr>
          <w:rFonts w:hint="eastAsia" w:ascii="宋体" w:hAnsi="宋体" w:eastAsia="宋体" w:cs="宋体"/>
          <w:color w:val="auto"/>
          <w:sz w:val="24"/>
          <w:highlight w:val="none"/>
        </w:rPr>
        <w:t>”（或中国执行信息公开网）</w:t>
      </w:r>
      <w:r>
        <w:rPr>
          <w:rFonts w:hint="default" w:ascii="Times New Roman" w:hAnsi="Times New Roman" w:eastAsia="宋体" w:cs="Times New Roman"/>
          <w:color w:val="auto"/>
          <w:sz w:val="24"/>
          <w:highlight w:val="none"/>
        </w:rPr>
        <w:t>网站中未被列入失信被执行人名单的网页截图，以及</w:t>
      </w:r>
      <w:r>
        <w:rPr>
          <w:rFonts w:hint="default" w:ascii="Times New Roman" w:hAnsi="Times New Roman" w:cs="Times New Roman"/>
          <w:color w:val="auto"/>
          <w:sz w:val="24"/>
          <w:szCs w:val="24"/>
          <w:highlight w:val="none"/>
          <w:lang w:val="en-US" w:eastAsia="zh-CN"/>
        </w:rPr>
        <w:t>近三年内（以投标截止日期为截止日、往前推算3个年度）投标人单位、个人（指法定代表人、拟投入的项目经理）均无行贿犯罪行为的书面承诺</w:t>
      </w:r>
      <w:r>
        <w:rPr>
          <w:rFonts w:hint="eastAsia" w:cs="Times New Roman"/>
          <w:color w:val="auto"/>
          <w:sz w:val="24"/>
          <w:szCs w:val="24"/>
          <w:highlight w:val="none"/>
          <w:lang w:val="en-US" w:eastAsia="zh-CN"/>
        </w:rPr>
        <w:t>“原件扫描件”</w:t>
      </w:r>
      <w:r>
        <w:rPr>
          <w:rFonts w:hint="default" w:ascii="Times New Roman" w:hAnsi="Times New Roman" w:cs="Times New Roman"/>
          <w:color w:val="auto"/>
          <w:sz w:val="24"/>
          <w:szCs w:val="24"/>
          <w:highlight w:val="none"/>
          <w:lang w:val="en-US" w:eastAsia="zh-CN"/>
        </w:rPr>
        <w:t>（格式详见招标文件第九章）</w:t>
      </w:r>
      <w:r>
        <w:rPr>
          <w:rFonts w:hint="default" w:ascii="Times New Roman" w:hAnsi="Times New Roman" w:eastAsia="宋体" w:cs="Times New Roman"/>
          <w:color w:val="auto"/>
          <w:sz w:val="24"/>
          <w:highlight w:val="none"/>
        </w:rPr>
        <w:t>。</w:t>
      </w:r>
    </w:p>
    <w:p w14:paraId="6A23B36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3.5.5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拟委任的项目经理和项目总工资历表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应附项目经理和项目总工的身份证、职称资格证书以及资格审查条件所要求的其他相关证书（如建造师注册证书、安全生产考核合格证书等）的</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建造师注册证书、安全生产考核合格证书在政府相关部门网站上公开信息的网页截图，以及投标人所属社保机构出具的拟委任的项目经理和项目总工的社保缴费证明或其他能够证明拟委任的项目经理和项目总工参加社保的有效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w:t>
      </w:r>
    </w:p>
    <w:p w14:paraId="7C9346FB">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如项目经理或项目总工目前仍在其他项目上任职，则投标人应提供承诺上述人员能够从该项目撤离的书面</w:t>
      </w:r>
      <w:r>
        <w:rPr>
          <w:rFonts w:hint="eastAsia" w:cs="Times New Roman"/>
          <w:color w:val="auto"/>
          <w:sz w:val="24"/>
          <w:highlight w:val="none"/>
          <w:lang w:val="en-US" w:eastAsia="zh-CN"/>
        </w:rPr>
        <w:t>承诺</w:t>
      </w:r>
      <w:r>
        <w:rPr>
          <w:rFonts w:hint="default" w:ascii="Times New Roman" w:hAnsi="Times New Roman" w:eastAsia="宋体" w:cs="Times New Roman"/>
          <w:color w:val="auto"/>
          <w:sz w:val="24"/>
          <w:highlight w:val="none"/>
        </w:rPr>
        <w:t>。</w:t>
      </w:r>
    </w:p>
    <w:p w14:paraId="0F248A8F">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3.5.6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拟委任的其他管理和技术人员汇总表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（如有）应填报满足投标人须知前附表附录6规定的其他人员的相关信息。</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拟委任的其他管理和技术人员资历表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（如有）中相关人员应附身份证、职称资格证书以及资格审查条件所要求的其他相关证书的</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，相关业绩证明材料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，以及投标人所属社保机构出具的社保缴费证明或其他能够证明其参加社保的有效证明材料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w:t>
      </w:r>
    </w:p>
    <w:p w14:paraId="12D3562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3.5.7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拟投入本标段的主要施工机械表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拟配备本标段的主要材料试验、测量、质检仪器设备表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（如有）应填报满足投标人须知前附表附录7规定的机械设备和试验检测设备。</w:t>
      </w:r>
    </w:p>
    <w:p w14:paraId="5E08746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3.5.8 投标人须知前附表规定接受联合体投标的，本章第3.5.1项至第3.5.7项规定的表格和资料应包括联合体各方相关情况。</w:t>
      </w:r>
    </w:p>
    <w:p w14:paraId="3A04405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3.5.9 除合同条款约定的特殊情形外，投标人在投标文件中填报的项目经理和项目总工不允许更换。</w:t>
      </w:r>
    </w:p>
    <w:p w14:paraId="03027EED">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3.5.10 投标人应根据本单位实际情况及时完成相关信息的申报、录入和动态更新，并对相关信息的真实性、完整性和准确性负责。</w:t>
      </w:r>
    </w:p>
    <w:p w14:paraId="77552F20">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3.5.11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w:t>
      </w:r>
      <w:r>
        <w:rPr>
          <w:rFonts w:hint="default" w:ascii="Times New Roman" w:hAnsi="Times New Roman" w:eastAsia="宋体" w:cs="Times New Roman"/>
          <w:color w:val="auto"/>
          <w:sz w:val="24"/>
          <w:highlight w:val="none"/>
          <w:lang w:val="en-US"/>
        </w:rPr>
        <w:t>10</w:t>
      </w:r>
      <w:r>
        <w:rPr>
          <w:rFonts w:hint="default" w:ascii="Times New Roman" w:hAnsi="Times New Roman" w:eastAsia="宋体" w:cs="Times New Roman"/>
          <w:color w:val="auto"/>
          <w:sz w:val="24"/>
          <w:highlight w:val="none"/>
        </w:rPr>
        <w:t>％签约合同价的金额作为违约金。同时招标人将投标人上述弄虚作假行为上报省级交通运输主管部门，作为不良记录纳入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eastAsia="宋体" w:cs="Times New Roman"/>
          <w:color w:val="auto"/>
          <w:sz w:val="24"/>
          <w:highlight w:val="none"/>
        </w:rPr>
        <w:t>。</w:t>
      </w:r>
    </w:p>
    <w:p w14:paraId="6C499E81">
      <w:pPr>
        <w:pStyle w:val="2"/>
        <w:pageBreakBefore w:val="0"/>
        <w:kinsoku/>
        <w:wordWrap w:val="0"/>
        <w:bidi w:val="0"/>
        <w:outlineLvl w:val="2"/>
        <w:rPr>
          <w:rFonts w:hint="default" w:ascii="Times New Roman" w:hAnsi="Times New Roman" w:cs="Times New Roman"/>
          <w:color w:val="auto"/>
          <w:highlight w:val="none"/>
        </w:rPr>
      </w:pPr>
      <w:bookmarkStart w:id="196" w:name="_Toc28562"/>
      <w:bookmarkStart w:id="197" w:name="_Toc28097"/>
      <w:bookmarkStart w:id="198" w:name="_Toc234832895"/>
      <w:bookmarkStart w:id="199" w:name="_Toc21591"/>
      <w:r>
        <w:rPr>
          <w:rFonts w:hint="default" w:ascii="Times New Roman" w:hAnsi="Times New Roman" w:cs="Times New Roman"/>
          <w:color w:val="auto"/>
          <w:highlight w:val="none"/>
        </w:rPr>
        <w:t>3.6 备选投标方案</w:t>
      </w:r>
      <w:bookmarkEnd w:id="196"/>
      <w:bookmarkEnd w:id="197"/>
      <w:bookmarkEnd w:id="198"/>
      <w:bookmarkEnd w:id="199"/>
    </w:p>
    <w:p w14:paraId="7A2D7A5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 除投标人须知前附表规定允许外，投标人不得递交备选投标方案，否则其投标将被否决。</w:t>
      </w:r>
    </w:p>
    <w:p w14:paraId="436D9CC1">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062CCAC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 投标人提供两个或两个以上投标报价，或在投标文件中提供一个报价，但同时提供两个或两个以上</w:t>
      </w:r>
      <w:bookmarkStart w:id="200" w:name="_Toc352691495"/>
      <w:bookmarkStart w:id="201" w:name="_Toc29902"/>
      <w:bookmarkStart w:id="202" w:name="_Toc300834971"/>
      <w:bookmarkStart w:id="203" w:name="_Toc144974518"/>
      <w:bookmarkStart w:id="204" w:name="_Toc247527575"/>
      <w:bookmarkStart w:id="205" w:name="_Toc152042326"/>
      <w:bookmarkStart w:id="206" w:name="_Toc361508607"/>
      <w:bookmarkStart w:id="207" w:name="_Toc247513974"/>
      <w:bookmarkStart w:id="208" w:name="_Toc384308232"/>
      <w:bookmarkStart w:id="209" w:name="_Toc369531538"/>
      <w:bookmarkStart w:id="210" w:name="_Toc152045550"/>
      <w:r>
        <w:rPr>
          <w:rFonts w:hint="default" w:ascii="Times New Roman" w:hAnsi="Times New Roman" w:eastAsia="宋体" w:cs="Times New Roman"/>
          <w:color w:val="auto"/>
          <w:sz w:val="24"/>
          <w:highlight w:val="none"/>
        </w:rPr>
        <w:t>施工组织设计的</w:t>
      </w:r>
      <w:bookmarkEnd w:id="200"/>
      <w:bookmarkEnd w:id="201"/>
      <w:bookmarkEnd w:id="202"/>
      <w:bookmarkEnd w:id="203"/>
      <w:bookmarkEnd w:id="204"/>
      <w:bookmarkEnd w:id="205"/>
      <w:bookmarkEnd w:id="206"/>
      <w:bookmarkEnd w:id="207"/>
      <w:bookmarkEnd w:id="208"/>
      <w:bookmarkEnd w:id="209"/>
      <w:bookmarkEnd w:id="210"/>
      <w:r>
        <w:rPr>
          <w:rFonts w:hint="default" w:ascii="Times New Roman" w:hAnsi="Times New Roman" w:eastAsia="宋体" w:cs="Times New Roman"/>
          <w:color w:val="auto"/>
          <w:sz w:val="24"/>
          <w:highlight w:val="none"/>
        </w:rPr>
        <w:t>，视为提供备选方案。</w:t>
      </w:r>
    </w:p>
    <w:p w14:paraId="19CEF2FF">
      <w:pPr>
        <w:pStyle w:val="2"/>
        <w:pageBreakBefore w:val="0"/>
        <w:kinsoku/>
        <w:wordWrap w:val="0"/>
        <w:bidi w:val="0"/>
        <w:outlineLvl w:val="2"/>
        <w:rPr>
          <w:rFonts w:hint="default" w:ascii="Times New Roman" w:hAnsi="Times New Roman" w:cs="Times New Roman"/>
          <w:color w:val="auto"/>
          <w:highlight w:val="none"/>
        </w:rPr>
      </w:pPr>
      <w:bookmarkStart w:id="211" w:name="_Toc10660"/>
      <w:bookmarkStart w:id="212" w:name="_Toc13945"/>
      <w:bookmarkStart w:id="213" w:name="_Toc4837"/>
      <w:bookmarkStart w:id="214" w:name="_Toc234832896"/>
      <w:r>
        <w:rPr>
          <w:rFonts w:hint="default" w:ascii="Times New Roman" w:hAnsi="Times New Roman" w:cs="Times New Roman"/>
          <w:color w:val="auto"/>
          <w:highlight w:val="none"/>
        </w:rPr>
        <w:t>3.7 投标文件的编制</w:t>
      </w:r>
      <w:bookmarkEnd w:id="211"/>
      <w:bookmarkEnd w:id="212"/>
      <w:bookmarkEnd w:id="213"/>
      <w:bookmarkEnd w:id="214"/>
    </w:p>
    <w:p w14:paraId="4A5649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3.7.1 投标文件应按第九章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进行编写，如有必要，可以增加附页，作为投标文件的组成部分。其中，投标函附录在满足招标文件实质性要求的基础上，可以提出比招标文件要求更有利于招标人的承诺。</w:t>
      </w:r>
    </w:p>
    <w:p w14:paraId="67E1C52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3.7.2 投标文件应对招标文件有关工期、投标有效期、质量要求、安全目标、技术标准和要求、招标范围等实质性内容作出响应。</w:t>
      </w:r>
    </w:p>
    <w:p w14:paraId="0F0DC07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3.7.3 投标文件的制作应满足以下规定：</w:t>
      </w:r>
    </w:p>
    <w:p w14:paraId="56049F7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（1）投标文件由投标人使用</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自带的</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制作生成。</w:t>
      </w:r>
    </w:p>
    <w:p w14:paraId="1B78D44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（2）投标人在编制投标文件时应建立分级目录，并按照标签提示导入相关内容。</w:t>
      </w:r>
    </w:p>
    <w:p w14:paraId="5D57F1C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，应从</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主体信息库</w:t>
      </w:r>
      <w:r>
        <w:rPr>
          <w:rFonts w:hint="default" w:ascii="Times New Roman" w:hAnsi="Times New Roman" w:cs="Times New Roman"/>
          <w:color w:val="auto"/>
          <w:sz w:val="24"/>
          <w:szCs w:val="24"/>
          <w:highlight w:val="none"/>
        </w:rPr>
        <w:t>中选择并进行超链接，未标示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的证明资料均应直接制作生成。</w:t>
      </w:r>
    </w:p>
    <w:p w14:paraId="2C426F4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（4）投标文件中的已标价报价清单数据文件应与招标人提供的报价清单数据文件格式一致。</w:t>
      </w:r>
    </w:p>
    <w:p w14:paraId="69E58466">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（5）第</w:t>
      </w:r>
      <w:r>
        <w:rPr>
          <w:rFonts w:hint="default" w:ascii="Times New Roman" w:hAnsi="Times New Roman" w:cs="Times New Roman"/>
          <w:color w:val="auto"/>
          <w:sz w:val="24"/>
          <w:szCs w:val="24"/>
          <w:highlight w:val="none"/>
          <w:lang w:val="en-US" w:eastAsia="zh-CN"/>
        </w:rPr>
        <w:t>九</w:t>
      </w:r>
      <w:r>
        <w:rPr>
          <w:rFonts w:hint="default" w:ascii="Times New Roman" w:hAnsi="Times New Roman" w:cs="Times New Roman"/>
          <w:color w:val="auto"/>
          <w:sz w:val="24"/>
          <w:szCs w:val="24"/>
          <w:highlight w:val="none"/>
        </w:rPr>
        <w:t>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投标文件格式</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中要求盖单位章和（或）签字的地方，投标人均应使用CA 数字证书加盖投标人的单位电子印章和（或）法定代表人</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委托代理人</w:t>
      </w:r>
      <w:r>
        <w:rPr>
          <w:rFonts w:hint="default" w:ascii="Times New Roman" w:hAnsi="Times New Roman" w:cs="Times New Roman"/>
          <w:color w:val="auto"/>
          <w:sz w:val="24"/>
          <w:szCs w:val="24"/>
          <w:highlight w:val="none"/>
        </w:rPr>
        <w:t>的个人电子印章或</w:t>
      </w:r>
      <w:r>
        <w:rPr>
          <w:rFonts w:hint="eastAsia" w:cs="Times New Roman"/>
          <w:color w:val="auto"/>
          <w:sz w:val="24"/>
          <w:szCs w:val="24"/>
          <w:highlight w:val="none"/>
          <w:lang w:eastAsia="zh-CN"/>
        </w:rPr>
        <w:t>电子签名</w:t>
      </w:r>
      <w:r>
        <w:rPr>
          <w:rFonts w:hint="default" w:ascii="Times New Roman" w:hAnsi="Times New Roman" w:cs="Times New Roman"/>
          <w:color w:val="auto"/>
          <w:sz w:val="24"/>
          <w:szCs w:val="24"/>
          <w:highlight w:val="none"/>
        </w:rPr>
        <w:t>。联合体投标的，投标文件由联合体牵头人按上述规定加盖联合体牵头人单位电子印章和（或）法定代表人</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委托代理人</w:t>
      </w:r>
      <w:r>
        <w:rPr>
          <w:rFonts w:hint="default" w:ascii="Times New Roman" w:hAnsi="Times New Roman" w:cs="Times New Roman"/>
          <w:color w:val="auto"/>
          <w:sz w:val="24"/>
          <w:szCs w:val="24"/>
          <w:highlight w:val="none"/>
        </w:rPr>
        <w:t>的个人电子印章或</w:t>
      </w:r>
      <w:r>
        <w:rPr>
          <w:rFonts w:hint="eastAsia" w:cs="Times New Roman"/>
          <w:color w:val="auto"/>
          <w:sz w:val="24"/>
          <w:szCs w:val="24"/>
          <w:highlight w:val="none"/>
          <w:lang w:eastAsia="zh-CN"/>
        </w:rPr>
        <w:t>电子签名</w:t>
      </w:r>
      <w:r>
        <w:rPr>
          <w:rFonts w:hint="default" w:ascii="Times New Roman" w:hAnsi="Times New Roman" w:cs="Times New Roman"/>
          <w:color w:val="auto"/>
          <w:sz w:val="24"/>
          <w:szCs w:val="24"/>
          <w:highlight w:val="none"/>
        </w:rPr>
        <w:t>。</w:t>
      </w:r>
    </w:p>
    <w:p w14:paraId="28CC0E5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（6）投标文件制作完成后，投标人应使用CA 数字证书对投标文件进行文件加密，形成加密的投标文件。</w:t>
      </w:r>
    </w:p>
    <w:p w14:paraId="6E94776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（7）投标文件制作的具体方法详见</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中的</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操作指南</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rPr>
        <w:t>。</w:t>
      </w:r>
    </w:p>
    <w:p w14:paraId="5A5B75BF">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3.7.4 因投标人自身原因而导致投标文件无法导入</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电子开标、评标系统，该投标视为无效投标，投标人自行承担由此导致的全部责任</w:t>
      </w:r>
      <w:r>
        <w:rPr>
          <w:rFonts w:hint="default" w:ascii="Times New Roman" w:hAnsi="Times New Roman" w:cs="Times New Roman"/>
          <w:color w:val="auto"/>
          <w:sz w:val="24"/>
          <w:szCs w:val="24"/>
          <w:highlight w:val="none"/>
          <w:lang w:eastAsia="zh-CN"/>
        </w:rPr>
        <w:t>。</w:t>
      </w:r>
    </w:p>
    <w:p w14:paraId="633F04B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3.7.5 </w:t>
      </w:r>
      <w:r>
        <w:rPr>
          <w:rFonts w:hint="default" w:ascii="Times New Roman" w:hAnsi="Times New Roman" w:cs="Times New Roman"/>
          <w:color w:val="auto"/>
          <w:sz w:val="24"/>
          <w:szCs w:val="24"/>
          <w:highlight w:val="none"/>
        </w:rPr>
        <w:t>投标文件上传的要求</w:t>
      </w:r>
      <w:r>
        <w:rPr>
          <w:rFonts w:hint="default" w:ascii="Times New Roman" w:hAnsi="Times New Roman" w:cs="Times New Roman"/>
          <w:color w:val="auto"/>
          <w:sz w:val="24"/>
          <w:szCs w:val="24"/>
          <w:highlight w:val="none"/>
          <w:lang w:val="en-US" w:eastAsia="zh-CN"/>
        </w:rPr>
        <w:t>：见投标人须知前附表。</w:t>
      </w:r>
    </w:p>
    <w:p w14:paraId="7FEDA83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 投标文件其他要求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见投标人须知前附表。</w:t>
      </w:r>
    </w:p>
    <w:p w14:paraId="7A8BB656">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15" w:name="_Toc234832897"/>
      <w:bookmarkStart w:id="216" w:name="_Toc3604"/>
      <w:bookmarkStart w:id="217" w:name="_Toc25479"/>
      <w:bookmarkStart w:id="218" w:name="_Toc17066"/>
      <w:r>
        <w:rPr>
          <w:rFonts w:hint="default" w:ascii="Times New Roman" w:hAnsi="Times New Roman" w:eastAsia="黑体" w:cs="Times New Roman"/>
          <w:b w:val="0"/>
          <w:color w:val="auto"/>
          <w:sz w:val="28"/>
          <w:szCs w:val="28"/>
          <w:highlight w:val="none"/>
        </w:rPr>
        <w:t>4. 投标</w:t>
      </w:r>
      <w:bookmarkEnd w:id="215"/>
      <w:bookmarkEnd w:id="216"/>
      <w:bookmarkEnd w:id="217"/>
      <w:bookmarkEnd w:id="218"/>
      <w:r>
        <w:rPr>
          <w:rFonts w:hint="default" w:ascii="Times New Roman" w:hAnsi="Times New Roman" w:eastAsia="黑体" w:cs="Times New Roman"/>
          <w:b w:val="0"/>
          <w:color w:val="auto"/>
          <w:sz w:val="28"/>
          <w:szCs w:val="28"/>
          <w:highlight w:val="none"/>
        </w:rPr>
        <w:tab/>
      </w:r>
    </w:p>
    <w:p w14:paraId="6CD44FC3">
      <w:pPr>
        <w:pStyle w:val="2"/>
        <w:pageBreakBefore w:val="0"/>
        <w:kinsoku/>
        <w:wordWrap w:val="0"/>
        <w:bidi w:val="0"/>
        <w:outlineLvl w:val="2"/>
        <w:rPr>
          <w:rFonts w:hint="default" w:ascii="Times New Roman" w:hAnsi="Times New Roman" w:cs="Times New Roman"/>
          <w:color w:val="auto"/>
          <w:highlight w:val="none"/>
        </w:rPr>
      </w:pPr>
      <w:bookmarkStart w:id="219" w:name="_Toc26001"/>
      <w:bookmarkStart w:id="220" w:name="_Toc2664"/>
      <w:bookmarkStart w:id="221" w:name="_Toc17200"/>
      <w:bookmarkStart w:id="222" w:name="_Toc21870"/>
      <w:r>
        <w:rPr>
          <w:rFonts w:hint="default" w:ascii="Times New Roman" w:hAnsi="Times New Roman" w:cs="Times New Roman"/>
          <w:color w:val="auto"/>
          <w:highlight w:val="none"/>
        </w:rPr>
        <w:t>4.1 投标文件的密封和标记</w:t>
      </w:r>
      <w:bookmarkEnd w:id="219"/>
      <w:bookmarkEnd w:id="220"/>
      <w:bookmarkEnd w:id="221"/>
      <w:bookmarkEnd w:id="222"/>
    </w:p>
    <w:p w14:paraId="1B11954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投标文件应按照本章第3.7.3项要求制作并加密，未按要求加密的投标文件，招标人（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）将拒绝接收并提示。</w:t>
      </w:r>
    </w:p>
    <w:p w14:paraId="2B44AD0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p>
    <w:p w14:paraId="2B75E028">
      <w:pPr>
        <w:pStyle w:val="2"/>
        <w:pageBreakBefore w:val="0"/>
        <w:kinsoku/>
        <w:wordWrap w:val="0"/>
        <w:bidi w:val="0"/>
        <w:outlineLvl w:val="2"/>
        <w:rPr>
          <w:rFonts w:hint="default" w:ascii="Times New Roman" w:hAnsi="Times New Roman" w:cs="Times New Roman"/>
          <w:color w:val="auto"/>
          <w:highlight w:val="none"/>
        </w:rPr>
      </w:pPr>
      <w:bookmarkStart w:id="223" w:name="_Toc8968"/>
      <w:bookmarkStart w:id="224" w:name="_Toc10897"/>
      <w:bookmarkStart w:id="225" w:name="_Toc10211"/>
      <w:bookmarkStart w:id="226" w:name="_Toc26071"/>
      <w:r>
        <w:rPr>
          <w:rFonts w:hint="default" w:ascii="Times New Roman" w:hAnsi="Times New Roman" w:cs="Times New Roman"/>
          <w:color w:val="auto"/>
          <w:highlight w:val="none"/>
        </w:rPr>
        <w:t>4.2 投标文件的递交</w:t>
      </w:r>
      <w:bookmarkEnd w:id="223"/>
      <w:bookmarkEnd w:id="224"/>
      <w:bookmarkEnd w:id="225"/>
      <w:bookmarkEnd w:id="226"/>
    </w:p>
    <w:p w14:paraId="481A8B3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4.2.1 投标人应在第一章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招标公告</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规定的投标截止时间前，通过互联网使用CA数字证书登录</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p w14:paraId="756A47C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4.2.2 根据本章第4.1款的规定，投标人递交的投标文件，只要出现应当拒收的情形，其投标文件予以拒收。</w:t>
      </w:r>
    </w:p>
    <w:p w14:paraId="660ACC57">
      <w:pPr>
        <w:pStyle w:val="2"/>
        <w:pageBreakBefore w:val="0"/>
        <w:kinsoku/>
        <w:wordWrap w:val="0"/>
        <w:bidi w:val="0"/>
        <w:outlineLvl w:val="2"/>
        <w:rPr>
          <w:rFonts w:hint="default" w:ascii="Times New Roman" w:hAnsi="Times New Roman" w:cs="Times New Roman"/>
          <w:color w:val="auto"/>
          <w:highlight w:val="none"/>
        </w:rPr>
      </w:pPr>
      <w:bookmarkStart w:id="227" w:name="_Toc31061"/>
      <w:bookmarkStart w:id="228" w:name="_Toc10369"/>
      <w:bookmarkStart w:id="229" w:name="_Toc16651"/>
      <w:bookmarkStart w:id="230" w:name="_Toc19209"/>
      <w:r>
        <w:rPr>
          <w:rFonts w:hint="default" w:ascii="Times New Roman" w:hAnsi="Times New Roman" w:cs="Times New Roman"/>
          <w:color w:val="auto"/>
          <w:highlight w:val="none"/>
        </w:rPr>
        <w:t>4.3 投标文件的修改与撤回</w:t>
      </w:r>
      <w:bookmarkEnd w:id="227"/>
      <w:bookmarkEnd w:id="228"/>
      <w:bookmarkEnd w:id="229"/>
      <w:bookmarkEnd w:id="230"/>
    </w:p>
    <w:p w14:paraId="32DFE09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4.3.1 在本章第4.2.1项规定的投标截止时间前，投标人可以修改或撤回已递交的投标文件。投标人对加密的投标文件进行撤回的，应在</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直接进行撤回操作；投标人对加密的投标文件进行修改的，应在投标截止时间前完成上传。</w:t>
      </w:r>
    </w:p>
    <w:p w14:paraId="0DA8CB4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4.3.2 投标人修改投标文件的，应使用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制作成完整的投标文件，并按照本章第3条、第4条规定进行编制、加密和递交。对采用网上递交的加密的投标文件，以投标截止时间前最后完成上传的文件为准。</w:t>
      </w:r>
    </w:p>
    <w:p w14:paraId="28F115D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4.3.3 投标人撤回投标文件的，招标人自收到投标人书面撤回通知之日起5日内退还已收取的投标保证金。</w:t>
      </w:r>
    </w:p>
    <w:p w14:paraId="2B0AC6BA">
      <w:pPr>
        <w:pStyle w:val="2"/>
        <w:pageBreakBefore w:val="0"/>
        <w:kinsoku/>
        <w:wordWrap w:val="0"/>
        <w:bidi w:val="0"/>
        <w:outlineLvl w:val="1"/>
        <w:rPr>
          <w:rFonts w:hint="default" w:ascii="Times New Roman" w:hAnsi="Times New Roman" w:cs="Times New Roman"/>
          <w:color w:val="auto"/>
          <w:highlight w:val="none"/>
        </w:rPr>
      </w:pPr>
      <w:bookmarkStart w:id="231" w:name="_Toc29100"/>
      <w:bookmarkStart w:id="232" w:name="_Toc1833"/>
      <w:bookmarkStart w:id="233" w:name="_Toc31196"/>
      <w:bookmarkStart w:id="234" w:name="_Toc234832901"/>
      <w:r>
        <w:rPr>
          <w:rFonts w:hint="default" w:ascii="Times New Roman" w:hAnsi="Times New Roman" w:cs="Times New Roman"/>
          <w:color w:val="auto"/>
          <w:highlight w:val="none"/>
        </w:rPr>
        <w:t>5. 开标</w:t>
      </w:r>
      <w:bookmarkEnd w:id="231"/>
      <w:bookmarkEnd w:id="232"/>
      <w:bookmarkEnd w:id="233"/>
      <w:bookmarkEnd w:id="234"/>
    </w:p>
    <w:p w14:paraId="7B74B303">
      <w:pPr>
        <w:pStyle w:val="2"/>
        <w:pageBreakBefore w:val="0"/>
        <w:kinsoku/>
        <w:wordWrap w:val="0"/>
        <w:bidi w:val="0"/>
        <w:outlineLvl w:val="2"/>
        <w:rPr>
          <w:rFonts w:hint="default" w:ascii="Times New Roman" w:hAnsi="Times New Roman" w:cs="Times New Roman"/>
          <w:color w:val="auto"/>
          <w:highlight w:val="none"/>
        </w:rPr>
      </w:pPr>
      <w:bookmarkStart w:id="235" w:name="_Toc2581"/>
      <w:bookmarkStart w:id="236" w:name="_Toc6841"/>
      <w:bookmarkStart w:id="237" w:name="_Toc22056"/>
      <w:bookmarkStart w:id="238" w:name="_Toc234832902"/>
      <w:r>
        <w:rPr>
          <w:rFonts w:hint="default" w:ascii="Times New Roman" w:hAnsi="Times New Roman" w:cs="Times New Roman"/>
          <w:color w:val="auto"/>
          <w:highlight w:val="none"/>
        </w:rPr>
        <w:t>5.1 开标时间和地点</w:t>
      </w:r>
      <w:bookmarkEnd w:id="235"/>
      <w:bookmarkEnd w:id="236"/>
      <w:bookmarkEnd w:id="237"/>
    </w:p>
    <w:p w14:paraId="1D5D934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5.1.1 招标人在投标人须知前附表规定的投标截止时间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开标时间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和地点在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辽宁省公共资源交易中心不见面开标大厅</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不见面开标大厅</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）上公开进行第一个信封（商务及技术文件）开标，所有投标人均应当准时在线参加开标。</w:t>
      </w:r>
    </w:p>
    <w:p w14:paraId="4579736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招标人还将在投标人须知前附表规定的时间和地点对投标文件第二个信封（报价文件）在</w:t>
      </w:r>
      <w:r>
        <w:rPr>
          <w:rFonts w:hint="eastAsia" w:ascii="宋体" w:hAnsi="宋体" w:eastAsia="宋体" w:cs="宋体"/>
          <w:color w:val="auto"/>
          <w:sz w:val="24"/>
          <w:highlight w:val="none"/>
        </w:rPr>
        <w:t>“不见面开标大厅”</w:t>
      </w:r>
      <w:r>
        <w:rPr>
          <w:rFonts w:hint="default" w:ascii="Times New Roman" w:hAnsi="Times New Roman" w:eastAsia="宋体" w:cs="Times New Roman"/>
          <w:color w:val="auto"/>
          <w:sz w:val="24"/>
          <w:highlight w:val="none"/>
        </w:rPr>
        <w:t>进行公开开标，并邀请所有投标人代表准时参加。</w:t>
      </w:r>
    </w:p>
    <w:p w14:paraId="7213C2E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投标人代表应按时参加第一个信封（商务及技术文件）及第二个信封（报价文件）</w:t>
      </w:r>
      <w:r>
        <w:rPr>
          <w:rFonts w:hint="eastAsia" w:cs="Times New Roman"/>
          <w:color w:val="auto"/>
          <w:sz w:val="24"/>
          <w:highlight w:val="none"/>
          <w:lang w:val="en-US" w:eastAsia="zh-CN"/>
        </w:rPr>
        <w:t>线上</w:t>
      </w:r>
      <w:r>
        <w:rPr>
          <w:rFonts w:hint="default" w:ascii="Times New Roman" w:hAnsi="Times New Roman" w:eastAsia="宋体" w:cs="Times New Roman"/>
          <w:color w:val="auto"/>
          <w:sz w:val="24"/>
          <w:highlight w:val="none"/>
        </w:rPr>
        <w:t>开标会。</w:t>
      </w:r>
    </w:p>
    <w:p w14:paraId="3D078F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5.1.2 投标人应当在能够保证设施设备可靠、互联网畅通的任意地点，通过互联网在线参加开标，并实时在线关注招标人的操作情况。</w:t>
      </w:r>
    </w:p>
    <w:p w14:paraId="411DD1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p>
    <w:bookmarkEnd w:id="238"/>
    <w:p w14:paraId="693FAC08">
      <w:pPr>
        <w:pStyle w:val="2"/>
        <w:pageBreakBefore w:val="0"/>
        <w:kinsoku/>
        <w:wordWrap w:val="0"/>
        <w:bidi w:val="0"/>
        <w:outlineLvl w:val="2"/>
        <w:rPr>
          <w:rFonts w:hint="default" w:ascii="Times New Roman" w:hAnsi="Times New Roman" w:cs="Times New Roman"/>
          <w:color w:val="auto"/>
          <w:highlight w:val="none"/>
        </w:rPr>
      </w:pPr>
      <w:bookmarkStart w:id="239" w:name="_Toc29801"/>
      <w:bookmarkStart w:id="240" w:name="_Toc8283"/>
      <w:bookmarkStart w:id="241" w:name="_Toc17800"/>
      <w:r>
        <w:rPr>
          <w:rFonts w:hint="default" w:ascii="Times New Roman" w:hAnsi="Times New Roman" w:cs="Times New Roman"/>
          <w:color w:val="auto"/>
          <w:highlight w:val="none"/>
        </w:rPr>
        <w:t>5.2开标程序</w:t>
      </w:r>
      <w:bookmarkEnd w:id="239"/>
      <w:bookmarkEnd w:id="240"/>
      <w:bookmarkEnd w:id="241"/>
    </w:p>
    <w:p w14:paraId="3F6F7E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5.2.1 主持人按下列程序对投标文件第一个信封（商务及技术文件）进行开标：</w:t>
      </w:r>
    </w:p>
    <w:p w14:paraId="2FBFD4B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47CA14B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（2）公布在投标截止时间前递交</w:t>
      </w:r>
      <w:r>
        <w:rPr>
          <w:rFonts w:hint="default" w:ascii="Times New Roman" w:hAnsi="Times New Roman" w:cs="Times New Roman"/>
          <w:color w:val="auto"/>
          <w:sz w:val="24"/>
          <w:szCs w:val="24"/>
          <w:highlight w:val="none"/>
          <w:lang w:val="en-US" w:eastAsia="zh-CN"/>
        </w:rPr>
        <w:t>至</w:t>
      </w:r>
      <w:r>
        <w:rPr>
          <w:rFonts w:hint="eastAsia" w:ascii="宋体" w:hAnsi="宋体" w:eastAsia="宋体" w:cs="宋体"/>
          <w:color w:val="auto"/>
          <w:sz w:val="24"/>
          <w:szCs w:val="24"/>
          <w:highlight w:val="none"/>
          <w:lang w:val="en-US" w:eastAsia="zh-CN"/>
        </w:rPr>
        <w:t>“</w:t>
      </w:r>
      <w:r>
        <w:rPr>
          <w:rFonts w:hint="eastAsia" w:cs="Times New Roman"/>
          <w:color w:val="auto"/>
          <w:sz w:val="24"/>
          <w:szCs w:val="24"/>
          <w:highlight w:val="none"/>
          <w:lang w:val="en-US" w:eastAsia="zh-CN"/>
        </w:rPr>
        <w:t>电子交易平台</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投标文件的投标人数量；</w:t>
      </w:r>
    </w:p>
    <w:p w14:paraId="49A2CA5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“不见面开标大厅”</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p>
    <w:p w14:paraId="6116D79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）招标人对未成功解密的投标文件进行退回并按本章第5.3款进行补救处理；</w:t>
      </w:r>
    </w:p>
    <w:p w14:paraId="5F88648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）导入并读取所有解密成功的投标文件第一个信封（商务及技术文件）的内容；</w:t>
      </w:r>
    </w:p>
    <w:p w14:paraId="72DBC58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）公布标段名称、投标人名称的递交情况、</w:t>
      </w:r>
      <w:r>
        <w:rPr>
          <w:rFonts w:hint="eastAsia" w:cs="Times New Roman"/>
          <w:color w:val="auto"/>
          <w:sz w:val="24"/>
          <w:szCs w:val="24"/>
          <w:highlight w:val="none"/>
          <w:lang w:val="en-US" w:eastAsia="zh-CN"/>
        </w:rPr>
        <w:t>工期</w:t>
      </w:r>
      <w:r>
        <w:rPr>
          <w:rFonts w:hint="default" w:ascii="Times New Roman" w:hAnsi="Times New Roman" w:cs="Times New Roman"/>
          <w:color w:val="auto"/>
          <w:sz w:val="24"/>
          <w:szCs w:val="24"/>
          <w:highlight w:val="none"/>
        </w:rPr>
        <w:t>及其他内容，并记录在案；</w:t>
      </w:r>
    </w:p>
    <w:p w14:paraId="0EA06818">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lang w:val="en-US" w:eastAsia="zh-CN"/>
        </w:rPr>
        <w:t>“</w:t>
      </w:r>
      <w:r>
        <w:rPr>
          <w:rFonts w:hint="eastAsia" w:cs="Times New Roman"/>
          <w:color w:val="auto"/>
          <w:sz w:val="24"/>
          <w:szCs w:val="24"/>
          <w:highlight w:val="none"/>
          <w:lang w:val="en-US" w:eastAsia="zh-CN"/>
        </w:rPr>
        <w:t>不见面开标大厅</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提出，否则视为无异议；</w:t>
      </w:r>
    </w:p>
    <w:p w14:paraId="5DED77B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）开标结束</w:t>
      </w:r>
      <w:r>
        <w:rPr>
          <w:rFonts w:hint="default" w:ascii="Times New Roman" w:hAnsi="Times New Roman" w:eastAsia="宋体" w:cs="Times New Roman"/>
          <w:color w:val="auto"/>
          <w:sz w:val="24"/>
          <w:highlight w:val="none"/>
        </w:rPr>
        <w:t>。</w:t>
      </w:r>
    </w:p>
    <w:p w14:paraId="6B78A4FC">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5.2.2 投标文件第二个信封（报价文件）在投标文件第一个信封（商务及技术文件）完成评审前，</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的开标评标系统将不进行读取。</w:t>
      </w:r>
    </w:p>
    <w:p w14:paraId="1C007CF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 招标人将按照本章第5.1款规定的时间和地点对投标文件第二个信封（报价文件）进行开标。主持人按下列程序进行开标：</w:t>
      </w:r>
    </w:p>
    <w:p w14:paraId="0348E554">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43ABC41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（2）当众宣布通过投标文件第一个信封（商务及技术文件）评审的投标人名单；</w:t>
      </w:r>
    </w:p>
    <w:p w14:paraId="4F912AD9">
      <w:pPr>
        <w:pageBreakBefore w:val="0"/>
        <w:kinsoku/>
        <w:wordWrap w:val="0"/>
        <w:bidi w:val="0"/>
        <w:spacing w:line="400" w:lineRule="exact"/>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eastAsia" w:ascii="宋体" w:hAnsi="宋体" w:cs="宋体"/>
          <w:color w:val="auto"/>
          <w:sz w:val="24"/>
          <w:szCs w:val="24"/>
          <w:highlight w:val="none"/>
          <w:lang w:val="en-US" w:eastAsia="zh-CN"/>
        </w:rPr>
        <w:t>对</w:t>
      </w:r>
      <w:r>
        <w:rPr>
          <w:rFonts w:hint="default" w:ascii="Times New Roman" w:hAnsi="Times New Roman" w:cs="Times New Roman"/>
          <w:color w:val="auto"/>
          <w:sz w:val="24"/>
          <w:szCs w:val="24"/>
          <w:highlight w:val="none"/>
        </w:rPr>
        <w:t>通过投标文件第一个信封（商务及技术文件）评审的投标人</w:t>
      </w:r>
      <w:r>
        <w:rPr>
          <w:rFonts w:hint="eastAsia" w:cs="Times New Roman"/>
          <w:color w:val="auto"/>
          <w:sz w:val="24"/>
          <w:szCs w:val="24"/>
          <w:highlight w:val="none"/>
          <w:lang w:val="en-US" w:eastAsia="zh-CN"/>
        </w:rPr>
        <w:t>进行随机分配投标标段</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0D2C866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）通过投标文件第一个信封（商务及技术文件）评审的投标人代表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“不见面开标大厅”</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解密加密的投标文件第二个信封（报价文件）；</w:t>
      </w:r>
    </w:p>
    <w:p w14:paraId="6BB5D4F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）招标人对未成功解密的投标文件进行退回并按本章第5.3款进行补救处理；</w:t>
      </w:r>
    </w:p>
    <w:p w14:paraId="628F9D8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）导入并读取所有通过投标文件第一个信封（商务及技术文件）评审的解密成功的投标文件第二个信封（报价文件）的内容；</w:t>
      </w:r>
    </w:p>
    <w:p w14:paraId="673BE138">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 xml:space="preserve">）公布标段名称、投标人名称、投标报价及其他内容，并记录在案； </w:t>
      </w:r>
    </w:p>
    <w:p w14:paraId="4FCABDB8">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随机抽取评标基准价计算方法、评标基准价系数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511A688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提出，否则视为无异议；</w:t>
      </w:r>
    </w:p>
    <w:p w14:paraId="31BE2DB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）开标结束。</w:t>
      </w:r>
    </w:p>
    <w:p w14:paraId="1340FC7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5.2.4 若采用合理低价法或综合评分法，在投标文件第二个信封（报价文件）开标现场，招标人将按第三章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规定的原则计算并宣布评标基准价。若招标人发现投标文件出现以下任一情况，其投标报价将不再参加评标基准价的计算：</w:t>
      </w:r>
    </w:p>
    <w:p w14:paraId="4870595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（1）未按要求在投标函上填写投标总价；</w:t>
      </w:r>
    </w:p>
    <w:p w14:paraId="5715EC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（2）投标报价超出招标人公布的最高投标限价（如有）</w:t>
      </w:r>
      <w:r>
        <w:rPr>
          <w:rFonts w:hint="eastAsia" w:cs="Times New Roman"/>
          <w:color w:val="auto"/>
          <w:sz w:val="24"/>
          <w:highlight w:val="none"/>
          <w:lang w:eastAsia="zh-CN"/>
        </w:rPr>
        <w:t>，或低于招标人公布的最高投标限价（如有）的 G</w:t>
      </w:r>
      <w:r>
        <w:rPr>
          <w:rStyle w:val="47"/>
          <w:rFonts w:hint="eastAsia" w:cs="Times New Roman"/>
          <w:color w:val="auto"/>
          <w:sz w:val="24"/>
          <w:highlight w:val="none"/>
          <w:lang w:eastAsia="zh-CN"/>
        </w:rPr>
        <w:footnoteReference w:id="30"/>
      </w:r>
      <w:r>
        <w:rPr>
          <w:rFonts w:hint="eastAsia" w:cs="Times New Roman"/>
          <w:color w:val="auto"/>
          <w:sz w:val="24"/>
          <w:highlight w:val="none"/>
          <w:lang w:eastAsia="zh-CN"/>
        </w:rPr>
        <w:t xml:space="preserve"> %</w:t>
      </w:r>
      <w:r>
        <w:rPr>
          <w:rFonts w:hint="default" w:ascii="Times New Roman" w:hAnsi="Times New Roman" w:eastAsia="宋体" w:cs="Times New Roman"/>
          <w:color w:val="auto"/>
          <w:sz w:val="24"/>
          <w:highlight w:val="none"/>
        </w:rPr>
        <w:t>；</w:t>
      </w:r>
    </w:p>
    <w:p w14:paraId="5FA774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（3）无法确定投标报价具体数值；</w:t>
      </w:r>
    </w:p>
    <w:p w14:paraId="68C2AAA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（4）投标函上填写的标段号与上传的对应项目标段号不一致（如分标段）。</w:t>
      </w:r>
    </w:p>
    <w:p w14:paraId="5BA406E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2285CA8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5.2.5 在投标文件第一个信封（商务及技术文件）或第二个信封（报价文件）开标过程中，若</w:t>
      </w:r>
      <w:r>
        <w:rPr>
          <w:rFonts w:hint="default" w:ascii="Times New Roman" w:hAnsi="Times New Roman" w:cs="Times New Roman"/>
          <w:color w:val="auto"/>
          <w:sz w:val="24"/>
          <w:szCs w:val="24"/>
          <w:highlight w:val="none"/>
          <w:lang w:val="en-US" w:eastAsia="zh-CN"/>
        </w:rPr>
        <w:t>开标现场</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的内容与投标文件不符，投标人有权在开标现场提出疑问，经招标人当场核查确认之后，可重新</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其</w:t>
      </w:r>
      <w:r>
        <w:rPr>
          <w:rFonts w:hint="eastAsia" w:cs="Times New Roman"/>
          <w:color w:val="auto"/>
          <w:sz w:val="24"/>
          <w:szCs w:val="24"/>
          <w:highlight w:val="none"/>
          <w:lang w:val="en-US" w:eastAsia="zh-CN"/>
        </w:rPr>
        <w:t>内容</w:t>
      </w:r>
      <w:r>
        <w:rPr>
          <w:rFonts w:hint="default" w:ascii="Times New Roman" w:hAnsi="Times New Roman" w:cs="Times New Roman"/>
          <w:color w:val="auto"/>
          <w:sz w:val="24"/>
          <w:szCs w:val="24"/>
          <w:highlight w:val="none"/>
        </w:rPr>
        <w:t>。若投标人现场未提出疑问，则认为投标人已确认</w:t>
      </w:r>
      <w:r>
        <w:rPr>
          <w:rFonts w:hint="default" w:ascii="Times New Roman" w:hAnsi="Times New Roman" w:cs="Times New Roman"/>
          <w:color w:val="auto"/>
          <w:sz w:val="24"/>
          <w:szCs w:val="24"/>
          <w:highlight w:val="none"/>
          <w:lang w:val="en-US" w:eastAsia="zh-CN"/>
        </w:rPr>
        <w:t>开标现场</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的内容。</w:t>
      </w:r>
    </w:p>
    <w:p w14:paraId="7030CC37">
      <w:pPr>
        <w:pStyle w:val="2"/>
        <w:pageBreakBefore w:val="0"/>
        <w:kinsoku/>
        <w:wordWrap w:val="0"/>
        <w:bidi w:val="0"/>
        <w:outlineLvl w:val="2"/>
        <w:rPr>
          <w:rFonts w:hint="default" w:ascii="Times New Roman" w:hAnsi="Times New Roman" w:cs="Times New Roman"/>
          <w:color w:val="auto"/>
          <w:highlight w:val="none"/>
        </w:rPr>
      </w:pPr>
      <w:bookmarkStart w:id="242" w:name="_Toc29082"/>
      <w:bookmarkStart w:id="243" w:name="_Toc24866"/>
      <w:bookmarkStart w:id="244" w:name="_Toc27278"/>
      <w:r>
        <w:rPr>
          <w:rFonts w:hint="default" w:ascii="Times New Roman" w:hAnsi="Times New Roman" w:cs="Times New Roman"/>
          <w:color w:val="auto"/>
          <w:highlight w:val="none"/>
        </w:rPr>
        <w:t>5.3 开标补救措施</w:t>
      </w:r>
      <w:bookmarkEnd w:id="242"/>
      <w:bookmarkEnd w:id="243"/>
      <w:bookmarkEnd w:id="244"/>
    </w:p>
    <w:p w14:paraId="6BFD00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5.3.1 开标过程中因本章第5.3.2项、第5.3.3项所列原因，导致系统无法正常运行，将按投标人须知前附表的规定采取补救措施。</w:t>
      </w:r>
    </w:p>
    <w:p w14:paraId="730641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5.3.2 因</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系统故障导致投标人无法正常上传加密的投标文件，投标人应打印并递交</w:t>
      </w:r>
      <w:r>
        <w:rPr>
          <w:rFonts w:hint="eastAsia" w:cs="Times New Roman"/>
          <w:color w:val="auto"/>
          <w:sz w:val="24"/>
          <w:highlight w:val="none"/>
          <w:lang w:eastAsia="zh-CN"/>
        </w:rPr>
        <w:t>电子交易平台</w:t>
      </w:r>
      <w:r>
        <w:rPr>
          <w:rFonts w:hint="default" w:ascii="Times New Roman" w:hAnsi="Times New Roman" w:eastAsia="宋体" w:cs="Times New Roman"/>
          <w:color w:val="auto"/>
          <w:sz w:val="24"/>
          <w:highlight w:val="none"/>
        </w:rPr>
        <w:t>自动生成的上传失败的异常记录单。</w:t>
      </w:r>
    </w:p>
    <w:p w14:paraId="1752AB8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5.3.3 当出现以下情况时，应对未开标的中止电子开标，并在恢复正常后及时安排时间开标：</w:t>
      </w:r>
    </w:p>
    <w:p w14:paraId="45901D4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（1）系统服务器发生故障，无法访问或无法使用系统；</w:t>
      </w:r>
    </w:p>
    <w:p w14:paraId="548EB9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（2）系统的软件或数据库出现错误，不能进行正常操作；</w:t>
      </w:r>
    </w:p>
    <w:p w14:paraId="2A75CF0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（3）系统发现有安全漏洞，有潜在的泄密危险；</w:t>
      </w:r>
    </w:p>
    <w:p w14:paraId="63A4EF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（4）出现断电事故且短时间内无法恢复供电；</w:t>
      </w:r>
    </w:p>
    <w:p w14:paraId="2B8A820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（5）其他无法保证招投标过程正常进行的情形。</w:t>
      </w:r>
    </w:p>
    <w:p w14:paraId="7ADD0C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5.3.4 采取补救措施时，必须对原有资料及信息作出妥善保密处理。</w:t>
      </w:r>
    </w:p>
    <w:p w14:paraId="67937B85">
      <w:pPr>
        <w:pStyle w:val="2"/>
        <w:pageBreakBefore w:val="0"/>
        <w:kinsoku/>
        <w:wordWrap w:val="0"/>
        <w:bidi w:val="0"/>
        <w:outlineLvl w:val="2"/>
        <w:rPr>
          <w:rFonts w:hint="default" w:ascii="Times New Roman" w:hAnsi="Times New Roman" w:cs="Times New Roman"/>
          <w:color w:val="auto"/>
          <w:highlight w:val="none"/>
        </w:rPr>
      </w:pPr>
      <w:bookmarkStart w:id="245" w:name="_Toc3488"/>
      <w:bookmarkStart w:id="246" w:name="_Toc11803"/>
      <w:bookmarkStart w:id="247" w:name="_Toc20631"/>
      <w:r>
        <w:rPr>
          <w:rFonts w:hint="default" w:ascii="Times New Roman" w:hAnsi="Times New Roman" w:cs="Times New Roman"/>
          <w:color w:val="auto"/>
          <w:highlight w:val="none"/>
        </w:rPr>
        <w:t>5.4开标异议</w:t>
      </w:r>
      <w:bookmarkEnd w:id="245"/>
      <w:bookmarkEnd w:id="246"/>
      <w:bookmarkEnd w:id="247"/>
    </w:p>
    <w:p w14:paraId="19A6849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cs="Times New Roman"/>
          <w:color w:val="auto"/>
          <w:sz w:val="24"/>
          <w:szCs w:val="24"/>
          <w:highlight w:val="none"/>
        </w:rPr>
        <w:t>投标人对开标有异议的，应在开标现场</w:t>
      </w:r>
      <w:r>
        <w:rPr>
          <w:rFonts w:hint="default" w:ascii="Times New Roman" w:hAnsi="Times New Roman" w:cs="Times New Roman"/>
          <w:color w:val="auto"/>
          <w:sz w:val="24"/>
          <w:szCs w:val="24"/>
          <w:highlight w:val="none"/>
          <w:lang w:val="en-US" w:eastAsia="zh-CN"/>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提出，招标人当场作出答复，并制作记录</w:t>
      </w:r>
      <w:r>
        <w:rPr>
          <w:rFonts w:hint="default" w:ascii="Times New Roman" w:hAnsi="Times New Roman" w:eastAsia="宋体" w:cs="Times New Roman"/>
          <w:color w:val="auto"/>
          <w:sz w:val="24"/>
          <w:highlight w:val="none"/>
        </w:rPr>
        <w:t>。</w:t>
      </w:r>
    </w:p>
    <w:p w14:paraId="33022C4E">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48" w:name="_Toc234832906"/>
      <w:bookmarkStart w:id="249" w:name="_Toc32026"/>
      <w:bookmarkStart w:id="250" w:name="_Toc25227"/>
      <w:bookmarkStart w:id="251" w:name="_Toc26520"/>
      <w:r>
        <w:rPr>
          <w:rFonts w:hint="default" w:ascii="Times New Roman" w:hAnsi="Times New Roman" w:eastAsia="黑体" w:cs="Times New Roman"/>
          <w:b w:val="0"/>
          <w:color w:val="auto"/>
          <w:sz w:val="28"/>
          <w:szCs w:val="28"/>
          <w:highlight w:val="none"/>
        </w:rPr>
        <w:t>6. 评标</w:t>
      </w:r>
      <w:bookmarkEnd w:id="248"/>
      <w:bookmarkEnd w:id="249"/>
      <w:bookmarkEnd w:id="250"/>
      <w:bookmarkEnd w:id="251"/>
    </w:p>
    <w:p w14:paraId="5F715567">
      <w:pPr>
        <w:pStyle w:val="2"/>
        <w:pageBreakBefore w:val="0"/>
        <w:kinsoku/>
        <w:wordWrap w:val="0"/>
        <w:bidi w:val="0"/>
        <w:outlineLvl w:val="2"/>
        <w:rPr>
          <w:rFonts w:hint="default" w:ascii="Times New Roman" w:hAnsi="Times New Roman" w:cs="Times New Roman"/>
          <w:color w:val="auto"/>
          <w:highlight w:val="none"/>
        </w:rPr>
      </w:pPr>
      <w:bookmarkStart w:id="252" w:name="_Toc22353"/>
      <w:bookmarkStart w:id="253" w:name="_Toc21787"/>
      <w:bookmarkStart w:id="254" w:name="_Toc234832907"/>
      <w:bookmarkStart w:id="255" w:name="_Toc475"/>
      <w:r>
        <w:rPr>
          <w:rFonts w:hint="default" w:ascii="Times New Roman" w:hAnsi="Times New Roman" w:cs="Times New Roman"/>
          <w:color w:val="auto"/>
          <w:highlight w:val="none"/>
        </w:rPr>
        <w:t>6.1评标委员会</w:t>
      </w:r>
      <w:bookmarkEnd w:id="252"/>
      <w:bookmarkEnd w:id="253"/>
      <w:bookmarkEnd w:id="254"/>
      <w:bookmarkEnd w:id="255"/>
    </w:p>
    <w:p w14:paraId="4C0004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6.1.1 评标由招标人依法组建的评标委员会负责。评标委员会由招标人或其委托熟悉相关业务的代表，以及有关技术、经济等方面的专家组成。评标委员会成员人数以及技术、经济等方面专家的确定方式见投标人须知前附表。</w:t>
      </w:r>
    </w:p>
    <w:p w14:paraId="75DB219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6.1.2 评标委员会成员有下列情形之一的，应主动提出回避：</w:t>
      </w:r>
    </w:p>
    <w:p w14:paraId="2594A68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（1）为负责招标项目监督管理的交通运输主管部门的工作人员；</w:t>
      </w:r>
    </w:p>
    <w:p w14:paraId="2D318A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（2）与投标人法定代表人或其委托代理人有近亲属关系；</w:t>
      </w:r>
    </w:p>
    <w:p w14:paraId="32B15FC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（3）为投标人的工作人员或退休人员；</w:t>
      </w:r>
    </w:p>
    <w:p w14:paraId="206C88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（4）与投标人有其他利害关系，可能影响评标活动公正性；</w:t>
      </w:r>
    </w:p>
    <w:p w14:paraId="179C62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（5）在与招标投标有关的活动中有过违法违规行为、曾受过行政处罚或刑事处罚。</w:t>
      </w:r>
    </w:p>
    <w:p w14:paraId="12C30C9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招标人及其子公司、招标人下属单位、招标人的上级主管部门或者控股公司、招标代理机构的工作人员或者退休人员不得以专家身份参与本单位招标或者招标代理项目的评标。</w:t>
      </w:r>
    </w:p>
    <w:p w14:paraId="107561E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6.1.3 评标过程中，评标委员会成员有回避事由、擅离职守或因健康等原因不能继续评标的，招标人有权更换。被更换的评标委员会成员作出的评审结论无效，由更换后的评标委员会成员重新进行评审。</w:t>
      </w:r>
    </w:p>
    <w:p w14:paraId="16355EA6">
      <w:pPr>
        <w:pStyle w:val="2"/>
        <w:pageBreakBefore w:val="0"/>
        <w:kinsoku/>
        <w:wordWrap w:val="0"/>
        <w:bidi w:val="0"/>
        <w:outlineLvl w:val="2"/>
        <w:rPr>
          <w:rFonts w:hint="default" w:ascii="Times New Roman" w:hAnsi="Times New Roman" w:cs="Times New Roman"/>
          <w:color w:val="auto"/>
          <w:highlight w:val="none"/>
        </w:rPr>
      </w:pPr>
      <w:bookmarkStart w:id="256" w:name="_Toc4844"/>
      <w:bookmarkStart w:id="257" w:name="_Toc9194"/>
      <w:bookmarkStart w:id="258" w:name="_Toc2946"/>
      <w:bookmarkStart w:id="259" w:name="_Toc234832908"/>
      <w:r>
        <w:rPr>
          <w:rFonts w:hint="default" w:ascii="Times New Roman" w:hAnsi="Times New Roman" w:cs="Times New Roman"/>
          <w:color w:val="auto"/>
          <w:highlight w:val="none"/>
        </w:rPr>
        <w:t>6.2 评标原则</w:t>
      </w:r>
      <w:bookmarkEnd w:id="256"/>
      <w:bookmarkEnd w:id="257"/>
      <w:bookmarkEnd w:id="258"/>
      <w:bookmarkEnd w:id="259"/>
    </w:p>
    <w:p w14:paraId="1D6E8F5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评标活动遵循公平、公正、科学和择优的原则。</w:t>
      </w:r>
    </w:p>
    <w:p w14:paraId="18F777DF">
      <w:pPr>
        <w:pStyle w:val="2"/>
        <w:pageBreakBefore w:val="0"/>
        <w:kinsoku/>
        <w:wordWrap w:val="0"/>
        <w:bidi w:val="0"/>
        <w:outlineLvl w:val="2"/>
        <w:rPr>
          <w:rFonts w:hint="default" w:ascii="Times New Roman" w:hAnsi="Times New Roman" w:cs="Times New Roman"/>
          <w:color w:val="auto"/>
          <w:highlight w:val="none"/>
        </w:rPr>
      </w:pPr>
      <w:bookmarkStart w:id="260" w:name="_Toc234832909"/>
      <w:bookmarkStart w:id="261" w:name="_Toc32567"/>
      <w:bookmarkStart w:id="262" w:name="_Toc25028"/>
      <w:bookmarkStart w:id="263" w:name="_Toc22506"/>
      <w:r>
        <w:rPr>
          <w:rFonts w:hint="default" w:ascii="Times New Roman" w:hAnsi="Times New Roman" w:cs="Times New Roman"/>
          <w:color w:val="auto"/>
          <w:highlight w:val="none"/>
        </w:rPr>
        <w:t>6.3 评标</w:t>
      </w:r>
      <w:bookmarkEnd w:id="260"/>
      <w:bookmarkEnd w:id="261"/>
      <w:bookmarkEnd w:id="262"/>
      <w:bookmarkEnd w:id="263"/>
    </w:p>
    <w:p w14:paraId="34BD896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6.3.1 评标委员会按照第三章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规定的方法、评审因素、标准和程序对投标文件进行评审。第三章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没有规定的方法、评审因素和标准，不作为评标依据。</w:t>
      </w:r>
    </w:p>
    <w:p w14:paraId="45DC7597">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6.3.2评标及补救措施</w:t>
      </w:r>
    </w:p>
    <w:p w14:paraId="6F80C8B0">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按照本章第6.3.1项的规定在电子评标系统上开展评审工作。如果评标过程中出现异常情况，导致无法继续评审工作的，可暂停评标，对原有资料及信息作出妥善保密处理，待电子评标系统恢复正常之后，应重新组织评审。</w:t>
      </w:r>
    </w:p>
    <w:p w14:paraId="2F7325A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评标完成后，评标委员会应当向招标人提交书面评标报告和中标候选人名单。评标委员会推荐中标</w:t>
      </w:r>
      <w:bookmarkStart w:id="264" w:name="_Toc384308240"/>
      <w:bookmarkStart w:id="265" w:name="_Toc144974526"/>
      <w:bookmarkStart w:id="266" w:name="_Toc352691502"/>
      <w:bookmarkStart w:id="267" w:name="_Toc300834979"/>
      <w:bookmarkStart w:id="268" w:name="_Toc361508615"/>
      <w:bookmarkStart w:id="269" w:name="_Toc12259"/>
      <w:bookmarkStart w:id="270" w:name="_Toc152045558"/>
      <w:bookmarkStart w:id="271" w:name="_Toc369531546"/>
      <w:bookmarkStart w:id="272" w:name="_Toc247527583"/>
      <w:bookmarkStart w:id="273" w:name="_Toc247513982"/>
      <w:bookmarkStart w:id="274" w:name="_Toc152042334"/>
      <w:r>
        <w:rPr>
          <w:rFonts w:hint="default" w:ascii="Times New Roman" w:hAnsi="Times New Roman" w:cs="Times New Roman"/>
          <w:color w:val="auto"/>
          <w:sz w:val="24"/>
          <w:szCs w:val="24"/>
          <w:highlight w:val="none"/>
        </w:rPr>
        <w:t>候选人的人数见投标人须知前附</w:t>
      </w:r>
      <w:bookmarkEnd w:id="264"/>
      <w:bookmarkEnd w:id="265"/>
      <w:bookmarkEnd w:id="266"/>
      <w:bookmarkEnd w:id="267"/>
      <w:bookmarkEnd w:id="268"/>
      <w:bookmarkEnd w:id="269"/>
      <w:bookmarkEnd w:id="270"/>
      <w:bookmarkEnd w:id="271"/>
      <w:bookmarkEnd w:id="272"/>
      <w:bookmarkEnd w:id="273"/>
      <w:bookmarkEnd w:id="274"/>
      <w:r>
        <w:rPr>
          <w:rFonts w:hint="default" w:ascii="Times New Roman" w:hAnsi="Times New Roman" w:cs="Times New Roman"/>
          <w:color w:val="auto"/>
          <w:sz w:val="24"/>
          <w:szCs w:val="24"/>
          <w:highlight w:val="none"/>
        </w:rPr>
        <w:t>表</w:t>
      </w:r>
      <w:r>
        <w:rPr>
          <w:rFonts w:hint="default" w:ascii="Times New Roman" w:hAnsi="Times New Roman" w:eastAsia="宋体" w:cs="Times New Roman"/>
          <w:color w:val="auto"/>
          <w:sz w:val="24"/>
          <w:highlight w:val="none"/>
        </w:rPr>
        <w:t>。</w:t>
      </w:r>
    </w:p>
    <w:p w14:paraId="774980C6">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75" w:name="_Toc16883"/>
      <w:bookmarkStart w:id="276" w:name="_Toc5930"/>
      <w:bookmarkStart w:id="277" w:name="_Toc234832910"/>
      <w:bookmarkStart w:id="278" w:name="_Toc29075"/>
      <w:r>
        <w:rPr>
          <w:rFonts w:hint="default" w:ascii="Times New Roman" w:hAnsi="Times New Roman" w:eastAsia="黑体" w:cs="Times New Roman"/>
          <w:b w:val="0"/>
          <w:color w:val="auto"/>
          <w:sz w:val="28"/>
          <w:szCs w:val="28"/>
          <w:highlight w:val="none"/>
        </w:rPr>
        <w:t>7. 合同授予</w:t>
      </w:r>
      <w:bookmarkEnd w:id="275"/>
      <w:bookmarkEnd w:id="276"/>
      <w:bookmarkEnd w:id="277"/>
      <w:bookmarkEnd w:id="278"/>
    </w:p>
    <w:p w14:paraId="6CF6A91E">
      <w:pPr>
        <w:pStyle w:val="2"/>
        <w:pageBreakBefore w:val="0"/>
        <w:kinsoku/>
        <w:wordWrap w:val="0"/>
        <w:bidi w:val="0"/>
        <w:outlineLvl w:val="2"/>
        <w:rPr>
          <w:rFonts w:hint="default" w:ascii="Times New Roman" w:hAnsi="Times New Roman" w:cs="Times New Roman"/>
          <w:color w:val="auto"/>
          <w:highlight w:val="none"/>
        </w:rPr>
      </w:pPr>
      <w:bookmarkStart w:id="279" w:name="_Toc6153"/>
      <w:bookmarkStart w:id="280" w:name="_Toc29612"/>
      <w:bookmarkStart w:id="281" w:name="_Toc1586"/>
      <w:bookmarkStart w:id="282" w:name="_Toc234832911"/>
      <w:r>
        <w:rPr>
          <w:rFonts w:hint="default" w:ascii="Times New Roman" w:hAnsi="Times New Roman" w:cs="Times New Roman"/>
          <w:color w:val="auto"/>
          <w:highlight w:val="none"/>
        </w:rPr>
        <w:t>7.1 中标候选人公示</w:t>
      </w:r>
      <w:bookmarkEnd w:id="279"/>
      <w:bookmarkEnd w:id="280"/>
      <w:bookmarkEnd w:id="281"/>
    </w:p>
    <w:p w14:paraId="2566147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招标人在收到评标报告之日起3日内，按照投标人须知前附表规定的公示媒介和期限公示中标候选人，公示期不得少于3日，公示内容包括：</w:t>
      </w:r>
    </w:p>
    <w:p w14:paraId="5871E62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（1）中标候选人排序、名称、投标报价，对工程质量要求、安全目标和工期的响应情况；</w:t>
      </w:r>
    </w:p>
    <w:p w14:paraId="708C09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（2）中标候选人在投标文件中承诺的项目经理和项目总工姓名、个人业绩、相关证书名称和编号；</w:t>
      </w:r>
    </w:p>
    <w:p w14:paraId="43442AB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（3）中标候选人在投标文件中填报的项目业绩；</w:t>
      </w:r>
    </w:p>
    <w:p w14:paraId="1A2373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（4）被否决投标的投标人名称、否决依据和原因；</w:t>
      </w:r>
    </w:p>
    <w:p w14:paraId="514994C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（5）提出异议的渠道和方式；</w:t>
      </w:r>
    </w:p>
    <w:p w14:paraId="2CB983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（6）投标人须知前附表规定公示的其他内容。</w:t>
      </w:r>
    </w:p>
    <w:p w14:paraId="77FC8A79">
      <w:pPr>
        <w:pStyle w:val="2"/>
        <w:pageBreakBefore w:val="0"/>
        <w:kinsoku/>
        <w:wordWrap w:val="0"/>
        <w:bidi w:val="0"/>
        <w:outlineLvl w:val="2"/>
        <w:rPr>
          <w:rFonts w:hint="default" w:ascii="Times New Roman" w:hAnsi="Times New Roman" w:cs="Times New Roman"/>
          <w:color w:val="auto"/>
          <w:highlight w:val="none"/>
        </w:rPr>
      </w:pPr>
      <w:bookmarkStart w:id="283" w:name="_Toc27197"/>
      <w:bookmarkStart w:id="284" w:name="_Toc9333"/>
      <w:bookmarkStart w:id="285" w:name="_Toc28677"/>
      <w:r>
        <w:rPr>
          <w:rFonts w:hint="default" w:ascii="Times New Roman" w:hAnsi="Times New Roman" w:cs="Times New Roman"/>
          <w:color w:val="auto"/>
          <w:highlight w:val="none"/>
        </w:rPr>
        <w:t>7.2 评标结果异议</w:t>
      </w:r>
      <w:bookmarkEnd w:id="283"/>
      <w:bookmarkEnd w:id="284"/>
      <w:bookmarkEnd w:id="285"/>
    </w:p>
    <w:p w14:paraId="566BDEB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投标人或其他利害关系人对依法必须进行招标的项目的评标结果有异议的，应在中标候选人公示期间提出。招标人将在收到异议之日起3日内作出答复；作出答复前，将暂停招标投标活动。</w:t>
      </w:r>
    </w:p>
    <w:p w14:paraId="2C7B6387">
      <w:pPr>
        <w:pStyle w:val="2"/>
        <w:pageBreakBefore w:val="0"/>
        <w:kinsoku/>
        <w:wordWrap w:val="0"/>
        <w:bidi w:val="0"/>
        <w:outlineLvl w:val="2"/>
        <w:rPr>
          <w:rFonts w:hint="default" w:ascii="Times New Roman" w:hAnsi="Times New Roman" w:cs="Times New Roman"/>
          <w:color w:val="auto"/>
          <w:highlight w:val="none"/>
        </w:rPr>
      </w:pPr>
      <w:bookmarkStart w:id="286" w:name="_Toc9159"/>
      <w:bookmarkStart w:id="287" w:name="_Toc20027"/>
      <w:bookmarkStart w:id="288" w:name="_Toc2167"/>
      <w:r>
        <w:rPr>
          <w:rFonts w:hint="default" w:ascii="Times New Roman" w:hAnsi="Times New Roman" w:cs="Times New Roman"/>
          <w:color w:val="auto"/>
          <w:highlight w:val="none"/>
        </w:rPr>
        <w:t>7.3 中标候选人履约能力审查</w:t>
      </w:r>
      <w:bookmarkEnd w:id="286"/>
      <w:bookmarkEnd w:id="287"/>
      <w:bookmarkEnd w:id="288"/>
    </w:p>
    <w:p w14:paraId="3B0085C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2A18C59F">
      <w:pPr>
        <w:pStyle w:val="2"/>
        <w:pageBreakBefore w:val="0"/>
        <w:kinsoku/>
        <w:wordWrap w:val="0"/>
        <w:bidi w:val="0"/>
        <w:outlineLvl w:val="2"/>
        <w:rPr>
          <w:rFonts w:hint="default" w:ascii="Times New Roman" w:hAnsi="Times New Roman" w:cs="Times New Roman"/>
          <w:color w:val="auto"/>
          <w:highlight w:val="none"/>
        </w:rPr>
      </w:pPr>
      <w:bookmarkStart w:id="289" w:name="_Toc19093"/>
      <w:bookmarkStart w:id="290" w:name="_Toc5726"/>
      <w:bookmarkStart w:id="291" w:name="_Toc766"/>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4 </w:t>
      </w:r>
      <w:r>
        <w:rPr>
          <w:rFonts w:hint="default" w:ascii="Times New Roman" w:hAnsi="Times New Roman" w:cs="Times New Roman"/>
          <w:color w:val="auto"/>
          <w:highlight w:val="none"/>
        </w:rPr>
        <w:t>定标</w:t>
      </w:r>
      <w:bookmarkEnd w:id="282"/>
      <w:bookmarkEnd w:id="289"/>
      <w:bookmarkEnd w:id="290"/>
      <w:bookmarkEnd w:id="291"/>
    </w:p>
    <w:p w14:paraId="19E82D2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7.4.1</w:t>
      </w:r>
      <w:r>
        <w:rPr>
          <w:rFonts w:hint="default" w:ascii="Times New Roman" w:hAnsi="Times New Roman" w:eastAsia="宋体" w:cs="Times New Roman"/>
          <w:color w:val="auto"/>
          <w:sz w:val="24"/>
          <w:highlight w:val="none"/>
        </w:rPr>
        <w:t>按照投标人须知前附表的规定，招标人或招标人授权的评标委员会依法确定中标人。</w:t>
      </w:r>
    </w:p>
    <w:p w14:paraId="56F41F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7.4.2招标人依据投标须知前附表的</w:t>
      </w:r>
      <w:r>
        <w:rPr>
          <w:rFonts w:hint="eastAsia" w:cs="Times New Roman"/>
          <w:color w:val="auto"/>
          <w:sz w:val="24"/>
          <w:szCs w:val="24"/>
          <w:highlight w:val="none"/>
          <w:lang w:val="en-US" w:eastAsia="zh-CN"/>
        </w:rPr>
        <w:t>定标规则</w:t>
      </w:r>
      <w:r>
        <w:rPr>
          <w:rFonts w:hint="eastAsia" w:cs="Times New Roman"/>
          <w:color w:val="auto"/>
          <w:sz w:val="24"/>
          <w:highlight w:val="none"/>
          <w:lang w:val="en-US" w:eastAsia="zh-CN"/>
        </w:rPr>
        <w:t>，在评标委员会推荐的中标候选人中确定中标人</w:t>
      </w:r>
      <w:r>
        <w:rPr>
          <w:rFonts w:hint="default" w:ascii="Times New Roman" w:hAnsi="Times New Roman" w:eastAsia="宋体" w:cs="Times New Roman"/>
          <w:color w:val="auto"/>
          <w:sz w:val="24"/>
          <w:highlight w:val="none"/>
        </w:rPr>
        <w:t>。</w:t>
      </w:r>
    </w:p>
    <w:p w14:paraId="13F5349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7.4.3招标人授权评标委员会按前附表7.4.2项规定的规则直接定标。</w:t>
      </w:r>
    </w:p>
    <w:p w14:paraId="4C974A8A">
      <w:pPr>
        <w:pStyle w:val="2"/>
        <w:pageBreakBefore w:val="0"/>
        <w:kinsoku/>
        <w:wordWrap w:val="0"/>
        <w:bidi w:val="0"/>
        <w:outlineLvl w:val="2"/>
        <w:rPr>
          <w:rFonts w:hint="default" w:ascii="Times New Roman" w:hAnsi="Times New Roman" w:cs="Times New Roman"/>
          <w:color w:val="auto"/>
          <w:highlight w:val="none"/>
        </w:rPr>
      </w:pPr>
      <w:bookmarkStart w:id="292" w:name="_Toc234832912"/>
      <w:bookmarkStart w:id="293" w:name="_Toc4728"/>
      <w:bookmarkStart w:id="294" w:name="_Toc11520"/>
      <w:bookmarkStart w:id="295" w:name="_Toc10213"/>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5 中标通知</w:t>
      </w:r>
      <w:bookmarkEnd w:id="292"/>
      <w:bookmarkEnd w:id="293"/>
      <w:bookmarkEnd w:id="294"/>
      <w:bookmarkEnd w:id="295"/>
    </w:p>
    <w:p w14:paraId="6875AD1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在本章第3.3款规定的投标有效期内，招标人应通过</w:t>
      </w:r>
      <w:r>
        <w:rPr>
          <w:rFonts w:hint="default" w:ascii="Times New Roman" w:hAnsi="Times New Roman" w:cs="Times New Roman"/>
          <w:color w:val="auto"/>
          <w:sz w:val="24"/>
          <w:highlight w:val="none"/>
          <w:lang w:val="en-US" w:eastAsia="zh-CN"/>
        </w:rPr>
        <w:t>投标人须知前附表规定的</w:t>
      </w:r>
      <w:r>
        <w:rPr>
          <w:rFonts w:hint="default" w:ascii="Times New Roman" w:hAnsi="Times New Roman" w:cs="Times New Roman"/>
          <w:color w:val="auto"/>
          <w:sz w:val="24"/>
          <w:highlight w:val="none"/>
        </w:rPr>
        <w:t>形式向中标人发出中标通知书，同时将中标结果通知未中标的投标人</w:t>
      </w:r>
      <w:r>
        <w:rPr>
          <w:rFonts w:hint="default" w:ascii="Times New Roman" w:hAnsi="Times New Roman" w:eastAsia="宋体" w:cs="Times New Roman"/>
          <w:color w:val="auto"/>
          <w:sz w:val="24"/>
          <w:highlight w:val="none"/>
        </w:rPr>
        <w:t>。</w:t>
      </w:r>
    </w:p>
    <w:p w14:paraId="1F737C9D">
      <w:pPr>
        <w:pStyle w:val="2"/>
        <w:pageBreakBefore w:val="0"/>
        <w:kinsoku/>
        <w:wordWrap w:val="0"/>
        <w:bidi w:val="0"/>
        <w:outlineLvl w:val="2"/>
        <w:rPr>
          <w:rFonts w:hint="default" w:ascii="Times New Roman" w:hAnsi="Times New Roman" w:cs="Times New Roman"/>
          <w:color w:val="auto"/>
          <w:highlight w:val="none"/>
        </w:rPr>
      </w:pPr>
      <w:bookmarkStart w:id="296" w:name="_Toc16073"/>
      <w:bookmarkStart w:id="297" w:name="_Toc2116"/>
      <w:bookmarkStart w:id="298" w:name="_Toc8745"/>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6 </w:t>
      </w:r>
      <w:r>
        <w:rPr>
          <w:rFonts w:hint="default" w:ascii="Times New Roman" w:hAnsi="Times New Roman" w:cs="Times New Roman"/>
          <w:color w:val="auto"/>
          <w:highlight w:val="none"/>
        </w:rPr>
        <w:t>中标</w:t>
      </w:r>
      <w:r>
        <w:rPr>
          <w:rFonts w:hint="default" w:ascii="Times New Roman" w:hAnsi="Times New Roman" w:cs="Times New Roman"/>
          <w:color w:val="auto"/>
          <w:highlight w:val="none"/>
          <w:lang w:eastAsia="zh-CN"/>
        </w:rPr>
        <w:t>结果</w:t>
      </w:r>
      <w:r>
        <w:rPr>
          <w:rFonts w:hint="default" w:ascii="Times New Roman" w:hAnsi="Times New Roman" w:cs="Times New Roman"/>
          <w:color w:val="auto"/>
          <w:highlight w:val="none"/>
        </w:rPr>
        <w:t>公告</w:t>
      </w:r>
      <w:bookmarkEnd w:id="296"/>
      <w:bookmarkEnd w:id="297"/>
      <w:bookmarkEnd w:id="298"/>
    </w:p>
    <w:p w14:paraId="466CEA6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招标人在确定中标人之日起3日内，按照投标人须知前附表规定的公告媒介和期限公告中标结果，公告期不得少于3日。公告内容包括中标人名称、中标价。</w:t>
      </w:r>
    </w:p>
    <w:p w14:paraId="2FFDF375">
      <w:pPr>
        <w:pStyle w:val="2"/>
        <w:pageBreakBefore w:val="0"/>
        <w:kinsoku/>
        <w:wordWrap w:val="0"/>
        <w:bidi w:val="0"/>
        <w:outlineLvl w:val="2"/>
        <w:rPr>
          <w:rFonts w:hint="default" w:ascii="Times New Roman" w:hAnsi="Times New Roman" w:cs="Times New Roman"/>
          <w:color w:val="auto"/>
          <w:highlight w:val="none"/>
        </w:rPr>
      </w:pPr>
      <w:bookmarkStart w:id="299" w:name="_Toc234832913"/>
      <w:bookmarkStart w:id="300" w:name="_Toc24614"/>
      <w:bookmarkStart w:id="301" w:name="_Toc12850"/>
      <w:bookmarkStart w:id="302" w:name="_Toc8824"/>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7 </w:t>
      </w:r>
      <w:r>
        <w:rPr>
          <w:rFonts w:hint="default" w:ascii="Times New Roman" w:hAnsi="Times New Roman" w:cs="Times New Roman"/>
          <w:color w:val="auto"/>
          <w:highlight w:val="none"/>
        </w:rPr>
        <w:t>履约</w:t>
      </w:r>
      <w:bookmarkEnd w:id="299"/>
      <w:r>
        <w:rPr>
          <w:rFonts w:hint="default" w:ascii="Times New Roman" w:hAnsi="Times New Roman" w:cs="Times New Roman"/>
          <w:color w:val="auto"/>
          <w:highlight w:val="none"/>
          <w:lang w:eastAsia="zh-CN"/>
        </w:rPr>
        <w:t>保证金</w:t>
      </w:r>
      <w:bookmarkEnd w:id="300"/>
      <w:bookmarkEnd w:id="301"/>
      <w:bookmarkEnd w:id="302"/>
    </w:p>
    <w:p w14:paraId="6ED44C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7.7.1 在签订合同前，中标人应按投标人须知前附表规定的形式、金额和招标文件第四章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合同条款及格式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规定的或事先经过招标人书面认可的履约保证金格式向招标人提交履约保证金。除投标人须知前附表另有规定外，履约保证金为签约合同价的</w:t>
      </w:r>
      <w:r>
        <w:rPr>
          <w:rFonts w:hint="default" w:ascii="Times New Roman" w:hAnsi="Times New Roman" w:eastAsia="宋体" w:cs="Times New Roman"/>
          <w:color w:val="auto"/>
          <w:sz w:val="24"/>
          <w:highlight w:val="none"/>
          <w:lang w:val="en-US"/>
        </w:rPr>
        <w:t>10</w:t>
      </w:r>
      <w:r>
        <w:rPr>
          <w:rFonts w:hint="default" w:ascii="Times New Roman" w:hAnsi="Times New Roman" w:eastAsia="宋体" w:cs="Times New Roman"/>
          <w:color w:val="auto"/>
          <w:sz w:val="24"/>
          <w:highlight w:val="none"/>
        </w:rPr>
        <w:t>%。联合体中标的，其履约保证金以联合体各方或联合体中牵头人的名义提交。</w:t>
      </w:r>
    </w:p>
    <w:p w14:paraId="778DB7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采用银行保函时，应由符合投标人须知前附表规定级别的银行开具，所需的费用由中标人承担，中标人应保证银行保函有效。</w:t>
      </w:r>
    </w:p>
    <w:p w14:paraId="5848F40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7.7.2 中标人不能按本章第7.7.1项要求提交履约保证金的，视为放弃中标，其投标保证金不予退还，给招标人造成的损失超过投标保证金数额的，中标人还应对超过部分予以赔偿。</w:t>
      </w:r>
    </w:p>
    <w:p w14:paraId="1D2A494B">
      <w:pPr>
        <w:pStyle w:val="2"/>
        <w:pageBreakBefore w:val="0"/>
        <w:kinsoku/>
        <w:wordWrap w:val="0"/>
        <w:bidi w:val="0"/>
        <w:outlineLvl w:val="2"/>
        <w:rPr>
          <w:rFonts w:hint="default" w:ascii="Times New Roman" w:hAnsi="Times New Roman" w:cs="Times New Roman"/>
          <w:color w:val="auto"/>
          <w:highlight w:val="none"/>
        </w:rPr>
      </w:pPr>
      <w:bookmarkStart w:id="303" w:name="_Toc234832914"/>
      <w:bookmarkStart w:id="304" w:name="_Toc12449"/>
      <w:bookmarkStart w:id="305" w:name="_Toc24076"/>
      <w:bookmarkStart w:id="306" w:name="_Toc8984"/>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 xml:space="preserve"> 签订合同</w:t>
      </w:r>
      <w:bookmarkEnd w:id="303"/>
      <w:bookmarkEnd w:id="304"/>
      <w:bookmarkEnd w:id="305"/>
      <w:bookmarkEnd w:id="306"/>
    </w:p>
    <w:p w14:paraId="0C34A3B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7.8.1 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 </w:t>
      </w:r>
    </w:p>
    <w:p w14:paraId="7A546B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7.8.2 发出中标通知书后，招标人无正当理由拒签合同，或在签订合同时向中标人提出附加条件的，招标人向中标人退还投标保证金；给中标人造成损失的，还应赔偿损失。</w:t>
      </w:r>
    </w:p>
    <w:p w14:paraId="7DF5A0B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 联合体中标的，联合体各方应共同与招标人签订合同，就中标项目向招标人承担连带责任。</w:t>
      </w:r>
    </w:p>
    <w:p w14:paraId="6B5BBDA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招标人和中标人在签订合同协议书的同时，须按照本招标文件规定的格式和要求签订廉政合同及安全生产合同，明确双方在廉政建设和安全生产方面的权利和义务以及应承担的违约责任。</w:t>
      </w:r>
    </w:p>
    <w:p w14:paraId="026287E5">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07" w:name="_Toc21562"/>
      <w:bookmarkStart w:id="308" w:name="_Toc11626"/>
      <w:bookmarkStart w:id="309" w:name="_Toc234832918"/>
      <w:bookmarkStart w:id="310" w:name="_Toc11642"/>
      <w:r>
        <w:rPr>
          <w:rFonts w:hint="default" w:ascii="Times New Roman" w:hAnsi="Times New Roman" w:eastAsia="黑体" w:cs="Times New Roman"/>
          <w:b w:val="0"/>
          <w:color w:val="auto"/>
          <w:sz w:val="28"/>
          <w:szCs w:val="28"/>
          <w:highlight w:val="none"/>
          <w:lang w:eastAsia="zh-CN"/>
        </w:rPr>
        <w:t>8</w:t>
      </w:r>
      <w:r>
        <w:rPr>
          <w:rFonts w:hint="default" w:ascii="Times New Roman" w:hAnsi="Times New Roman" w:eastAsia="黑体" w:cs="Times New Roman"/>
          <w:b w:val="0"/>
          <w:color w:val="auto"/>
          <w:sz w:val="28"/>
          <w:szCs w:val="28"/>
          <w:highlight w:val="none"/>
        </w:rPr>
        <w:t>. 纪律和监督</w:t>
      </w:r>
      <w:bookmarkEnd w:id="307"/>
      <w:bookmarkEnd w:id="308"/>
      <w:bookmarkEnd w:id="309"/>
      <w:bookmarkEnd w:id="310"/>
    </w:p>
    <w:p w14:paraId="1EACA5D4">
      <w:pPr>
        <w:pStyle w:val="2"/>
        <w:pageBreakBefore w:val="0"/>
        <w:kinsoku/>
        <w:wordWrap w:val="0"/>
        <w:bidi w:val="0"/>
        <w:outlineLvl w:val="2"/>
        <w:rPr>
          <w:rFonts w:hint="default" w:ascii="Times New Roman" w:hAnsi="Times New Roman" w:cs="Times New Roman"/>
          <w:color w:val="auto"/>
          <w:highlight w:val="none"/>
        </w:rPr>
      </w:pPr>
      <w:bookmarkStart w:id="311" w:name="_Toc234832919"/>
      <w:bookmarkStart w:id="312" w:name="_Toc2195"/>
      <w:bookmarkStart w:id="313" w:name="_Toc23721"/>
      <w:bookmarkStart w:id="314" w:name="_Toc30402"/>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.1 对招标人的纪律要求</w:t>
      </w:r>
      <w:bookmarkEnd w:id="311"/>
      <w:bookmarkEnd w:id="312"/>
      <w:bookmarkEnd w:id="313"/>
      <w:bookmarkEnd w:id="314"/>
    </w:p>
    <w:p w14:paraId="5035F2E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招标人不得泄露招标投标活动中应保密的情况和资料，不得与投标人串通损害国家利益、社会公共利益或他人合法权益。</w:t>
      </w:r>
    </w:p>
    <w:p w14:paraId="6EE2999D">
      <w:pPr>
        <w:pStyle w:val="2"/>
        <w:pageBreakBefore w:val="0"/>
        <w:kinsoku/>
        <w:wordWrap w:val="0"/>
        <w:bidi w:val="0"/>
        <w:outlineLvl w:val="2"/>
        <w:rPr>
          <w:rFonts w:hint="default" w:ascii="Times New Roman" w:hAnsi="Times New Roman" w:cs="Times New Roman"/>
          <w:color w:val="auto"/>
          <w:highlight w:val="none"/>
        </w:rPr>
      </w:pPr>
      <w:bookmarkStart w:id="315" w:name="_Toc234832920"/>
      <w:bookmarkStart w:id="316" w:name="_Toc31255"/>
      <w:bookmarkStart w:id="317" w:name="_Toc23019"/>
      <w:bookmarkStart w:id="318" w:name="_Toc28155"/>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.2 对投标人的纪律要求</w:t>
      </w:r>
      <w:bookmarkEnd w:id="315"/>
      <w:bookmarkEnd w:id="316"/>
      <w:bookmarkEnd w:id="317"/>
      <w:bookmarkEnd w:id="318"/>
    </w:p>
    <w:p w14:paraId="720FB80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67473180">
      <w:pPr>
        <w:pStyle w:val="2"/>
        <w:pageBreakBefore w:val="0"/>
        <w:kinsoku/>
        <w:wordWrap w:val="0"/>
        <w:bidi w:val="0"/>
        <w:outlineLvl w:val="2"/>
        <w:rPr>
          <w:rFonts w:hint="default" w:ascii="Times New Roman" w:hAnsi="Times New Roman" w:cs="Times New Roman"/>
          <w:color w:val="auto"/>
          <w:highlight w:val="none"/>
        </w:rPr>
      </w:pPr>
      <w:bookmarkStart w:id="319" w:name="_Toc22216"/>
      <w:bookmarkStart w:id="320" w:name="_Toc5418"/>
      <w:bookmarkStart w:id="321" w:name="_Toc234832921"/>
      <w:bookmarkStart w:id="322" w:name="_Toc18750"/>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.3 对评标委员会成员的纪律要求</w:t>
      </w:r>
      <w:bookmarkEnd w:id="319"/>
      <w:bookmarkEnd w:id="320"/>
      <w:bookmarkEnd w:id="321"/>
      <w:bookmarkEnd w:id="322"/>
    </w:p>
    <w:p w14:paraId="0771FE6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没有规定的评审因素和标准进行评标。</w:t>
      </w:r>
    </w:p>
    <w:p w14:paraId="4D04A6B0">
      <w:pPr>
        <w:pStyle w:val="2"/>
        <w:pageBreakBefore w:val="0"/>
        <w:kinsoku/>
        <w:wordWrap w:val="0"/>
        <w:bidi w:val="0"/>
        <w:outlineLvl w:val="2"/>
        <w:rPr>
          <w:rFonts w:hint="default" w:ascii="Times New Roman" w:hAnsi="Times New Roman" w:cs="Times New Roman"/>
          <w:color w:val="auto"/>
          <w:highlight w:val="none"/>
        </w:rPr>
      </w:pPr>
      <w:bookmarkStart w:id="323" w:name="_Toc6211"/>
      <w:bookmarkStart w:id="324" w:name="_Toc9801"/>
      <w:bookmarkStart w:id="325" w:name="_Toc11335"/>
      <w:bookmarkStart w:id="326" w:name="_Toc234832922"/>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.4 对与评标活动有关的工作人员的纪律要求</w:t>
      </w:r>
      <w:bookmarkEnd w:id="323"/>
      <w:bookmarkEnd w:id="324"/>
      <w:bookmarkEnd w:id="325"/>
      <w:bookmarkEnd w:id="326"/>
    </w:p>
    <w:p w14:paraId="159E81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7B916F6C">
      <w:pPr>
        <w:pStyle w:val="2"/>
        <w:pageBreakBefore w:val="0"/>
        <w:kinsoku/>
        <w:wordWrap w:val="0"/>
        <w:bidi w:val="0"/>
        <w:outlineLvl w:val="2"/>
        <w:rPr>
          <w:rFonts w:hint="default" w:ascii="Times New Roman" w:hAnsi="Times New Roman" w:cs="Times New Roman"/>
          <w:color w:val="auto"/>
          <w:highlight w:val="none"/>
        </w:rPr>
      </w:pPr>
      <w:bookmarkStart w:id="327" w:name="_Toc19294"/>
      <w:bookmarkStart w:id="328" w:name="_Toc234832923"/>
      <w:bookmarkStart w:id="329" w:name="_Toc22150"/>
      <w:bookmarkStart w:id="330" w:name="_Toc15842"/>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.5 投诉</w:t>
      </w:r>
      <w:bookmarkEnd w:id="327"/>
      <w:bookmarkEnd w:id="328"/>
      <w:bookmarkEnd w:id="329"/>
      <w:bookmarkEnd w:id="330"/>
    </w:p>
    <w:p w14:paraId="6573160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8.5.1 投标人或其他利害关系人认为招标投标活动不符合法律、行政法规规定的，可以自知道或应当知道之日起10日内向有关行政监督部门投诉。投诉应有明确的请求和必要的证明材料。</w:t>
      </w:r>
    </w:p>
    <w:p w14:paraId="05B9B22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监督部门的联系方式见投标人须知前附表。</w:t>
      </w:r>
    </w:p>
    <w:p w14:paraId="0C01418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8.5.2 投标人或其他利害关系人对招标文件、开标和评标结果提出投诉的，应按照本章第2.4款、第5.3款和第7.2款的规定先向招标人提出异议。异议答复期间</w:t>
      </w:r>
      <w:bookmarkStart w:id="331" w:name="_Toc247527595"/>
      <w:bookmarkStart w:id="332" w:name="_Toc369531561"/>
      <w:bookmarkStart w:id="333" w:name="_Toc352691517"/>
      <w:bookmarkStart w:id="334" w:name="_Toc384308255"/>
      <w:bookmarkStart w:id="335" w:name="_Toc144974538"/>
      <w:bookmarkStart w:id="336" w:name="_Toc12776"/>
      <w:bookmarkStart w:id="337" w:name="_Toc361508630"/>
      <w:bookmarkStart w:id="338" w:name="_Toc247513994"/>
      <w:bookmarkStart w:id="339" w:name="_Toc152042346"/>
      <w:bookmarkStart w:id="340" w:name="_Toc300834993"/>
      <w:bookmarkStart w:id="341" w:name="_Toc152045570"/>
      <w:r>
        <w:rPr>
          <w:rFonts w:hint="default" w:ascii="Times New Roman" w:hAnsi="Times New Roman" w:eastAsia="宋体" w:cs="Times New Roman"/>
          <w:color w:val="auto"/>
          <w:sz w:val="24"/>
          <w:highlight w:val="none"/>
        </w:rPr>
        <w:t>不计算在第8.5.</w:t>
      </w:r>
      <w:bookmarkEnd w:id="331"/>
      <w:bookmarkEnd w:id="332"/>
      <w:bookmarkEnd w:id="333"/>
      <w:bookmarkEnd w:id="334"/>
      <w:bookmarkEnd w:id="335"/>
      <w:bookmarkEnd w:id="336"/>
      <w:bookmarkEnd w:id="337"/>
      <w:bookmarkEnd w:id="338"/>
      <w:bookmarkEnd w:id="339"/>
      <w:bookmarkEnd w:id="340"/>
      <w:bookmarkEnd w:id="341"/>
      <w:r>
        <w:rPr>
          <w:rFonts w:hint="default" w:ascii="Times New Roman" w:hAnsi="Times New Roman" w:eastAsia="宋体" w:cs="Times New Roman"/>
          <w:color w:val="auto"/>
          <w:sz w:val="24"/>
          <w:highlight w:val="none"/>
        </w:rPr>
        <w:t>1项规定的期限内。</w:t>
      </w:r>
    </w:p>
    <w:p w14:paraId="0C2BAF02">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lang w:eastAsia="zh-CN"/>
        </w:rPr>
      </w:pPr>
      <w:bookmarkStart w:id="342" w:name="_Toc18903"/>
      <w:bookmarkStart w:id="343" w:name="_Toc234832924"/>
      <w:bookmarkStart w:id="344" w:name="_Toc22135"/>
      <w:bookmarkStart w:id="345" w:name="_Toc5209"/>
      <w:r>
        <w:rPr>
          <w:rFonts w:hint="default" w:ascii="Times New Roman" w:hAnsi="Times New Roman" w:cs="Times New Roman"/>
          <w:b w:val="0"/>
          <w:color w:val="auto"/>
          <w:sz w:val="28"/>
          <w:szCs w:val="28"/>
          <w:highlight w:val="none"/>
          <w:lang w:val="en-US" w:eastAsia="zh-CN"/>
        </w:rPr>
        <w:t>9</w:t>
      </w:r>
      <w:r>
        <w:rPr>
          <w:rFonts w:hint="default" w:ascii="Times New Roman" w:hAnsi="Times New Roman" w:eastAsia="黑体" w:cs="Times New Roman"/>
          <w:b w:val="0"/>
          <w:color w:val="auto"/>
          <w:sz w:val="28"/>
          <w:szCs w:val="28"/>
          <w:highlight w:val="none"/>
        </w:rPr>
        <w:t>.</w:t>
      </w:r>
      <w:r>
        <w:rPr>
          <w:rFonts w:hint="default" w:ascii="Times New Roman" w:hAnsi="Times New Roman" w:eastAsia="黑体" w:cs="Times New Roman"/>
          <w:b w:val="0"/>
          <w:color w:val="auto"/>
          <w:sz w:val="28"/>
          <w:szCs w:val="28"/>
          <w:highlight w:val="none"/>
          <w:lang w:eastAsia="zh-CN"/>
        </w:rPr>
        <w:t xml:space="preserve"> </w:t>
      </w:r>
      <w:r>
        <w:rPr>
          <w:rFonts w:hint="default" w:ascii="Times New Roman" w:hAnsi="Times New Roman" w:eastAsia="黑体" w:cs="Times New Roman"/>
          <w:b w:val="0"/>
          <w:color w:val="auto"/>
          <w:sz w:val="28"/>
          <w:szCs w:val="28"/>
          <w:highlight w:val="none"/>
        </w:rPr>
        <w:t>需要补充的其他内容</w:t>
      </w:r>
      <w:bookmarkEnd w:id="342"/>
      <w:bookmarkEnd w:id="343"/>
      <w:bookmarkEnd w:id="344"/>
      <w:bookmarkEnd w:id="345"/>
    </w:p>
    <w:p w14:paraId="3C7EB1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需要补充的其他内容：见投标人须知前附表。</w:t>
      </w:r>
    </w:p>
    <w:p w14:paraId="0160E7F0">
      <w:pPr>
        <w:pStyle w:val="2"/>
        <w:wordWrap w:val="0"/>
        <w:spacing w:before="0" w:after="100" w:afterAutospacing="1"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隶书" w:cs="Times New Roman"/>
          <w:color w:val="auto"/>
          <w:sz w:val="24"/>
          <w:highlight w:val="none"/>
        </w:rPr>
        <w:br w:type="page"/>
      </w:r>
      <w:bookmarkStart w:id="346" w:name="_Toc234832925"/>
      <w:bookmarkStart w:id="347" w:name="_Toc19391"/>
      <w:bookmarkStart w:id="348" w:name="_Toc12892"/>
      <w:bookmarkStart w:id="349" w:name="_Toc31950"/>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一</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 xml:space="preserve">开标记录表 </w:t>
      </w:r>
      <w:r>
        <w:rPr>
          <w:rStyle w:val="47"/>
          <w:rFonts w:hint="default" w:ascii="Times New Roman" w:hAnsi="Times New Roman" w:eastAsia="黑体" w:cs="Times New Roman"/>
          <w:b w:val="0"/>
          <w:color w:val="auto"/>
          <w:sz w:val="28"/>
          <w:szCs w:val="28"/>
          <w:highlight w:val="none"/>
        </w:rPr>
        <w:footnoteReference w:id="31"/>
      </w:r>
      <w:bookmarkEnd w:id="346"/>
      <w:bookmarkEnd w:id="347"/>
      <w:bookmarkEnd w:id="348"/>
      <w:bookmarkEnd w:id="349"/>
    </w:p>
    <w:p w14:paraId="53580B08">
      <w:pPr>
        <w:wordWrap w:val="0"/>
        <w:spacing w:before="0" w:after="100" w:afterAutospacing="1" w:line="240" w:lineRule="atLeast"/>
        <w:outlineLvl w:val="9"/>
        <w:rPr>
          <w:rFonts w:hint="default" w:ascii="Times New Roman" w:hAnsi="Times New Roman" w:eastAsia="黑体" w:cs="Times New Roman"/>
          <w:b w:val="0"/>
          <w:color w:val="auto"/>
          <w:sz w:val="24"/>
          <w:szCs w:val="24"/>
          <w:highlight w:val="none"/>
        </w:rPr>
      </w:pPr>
      <w:bookmarkStart w:id="350" w:name="_Toc16381"/>
      <w:bookmarkStart w:id="351" w:name="_Toc2455"/>
      <w:bookmarkStart w:id="352" w:name="_Toc20922"/>
      <w:bookmarkStart w:id="353" w:name="_Toc8817"/>
      <w:r>
        <w:rPr>
          <w:rFonts w:hint="eastAsia" w:ascii="宋体" w:hAnsi="宋体" w:eastAsia="宋体" w:cs="宋体"/>
          <w:color w:val="auto"/>
          <w:sz w:val="24"/>
          <w:szCs w:val="24"/>
          <w:highlight w:val="none"/>
          <w:u w:val="none"/>
          <w:lang w:val="en-US" w:eastAsia="zh-CN"/>
        </w:rPr>
        <w:t>以电子交易平台生成格式为准。</w:t>
      </w:r>
      <w:bookmarkEnd w:id="350"/>
      <w:bookmarkEnd w:id="351"/>
      <w:bookmarkEnd w:id="352"/>
      <w:bookmarkEnd w:id="353"/>
    </w:p>
    <w:p w14:paraId="18AEAA88">
      <w:pPr>
        <w:keepNext/>
        <w:keepLines/>
        <w:pageBreakBefore w:val="0"/>
        <w:widowControl w:val="0"/>
        <w:kinsoku/>
        <w:wordWrap/>
        <w:overflowPunct/>
        <w:topLinePunct w:val="0"/>
        <w:autoSpaceDE/>
        <w:autoSpaceDN/>
        <w:bidi w:val="0"/>
        <w:adjustRightInd/>
        <w:snapToGrid/>
        <w:spacing w:after="100" w:afterAutospacing="1" w:line="240" w:lineRule="atLeast"/>
        <w:jc w:val="left"/>
        <w:textAlignment w:val="auto"/>
        <w:outlineLvl w:val="9"/>
        <w:rPr>
          <w:rFonts w:hint="default" w:ascii="Times New Roman" w:hAnsi="Times New Roman" w:cs="Times New Roman"/>
          <w:color w:val="auto"/>
          <w:szCs w:val="21"/>
          <w:highlight w:val="none"/>
        </w:rPr>
      </w:pPr>
      <w:bookmarkStart w:id="354" w:name="_Toc24468"/>
      <w:r>
        <w:rPr>
          <w:rFonts w:hint="eastAsia" w:eastAsia="黑体" w:cs="Times New Roman"/>
          <w:color w:val="auto"/>
          <w:sz w:val="24"/>
          <w:szCs w:val="24"/>
          <w:highlight w:val="none"/>
          <w:u w:val="none"/>
          <w:lang w:val="en-US" w:eastAsia="zh-CN"/>
        </w:rPr>
        <w:t xml:space="preserve"> </w:t>
      </w:r>
      <w:r>
        <w:rPr>
          <w:rFonts w:hint="default" w:ascii="Times New Roman" w:hAnsi="Times New Roman" w:cs="Times New Roman"/>
          <w:color w:val="auto"/>
          <w:szCs w:val="24"/>
          <w:highlight w:val="none"/>
        </w:rPr>
        <w:br w:type="page"/>
      </w:r>
      <w:bookmarkEnd w:id="354"/>
    </w:p>
    <w:p w14:paraId="5ED86EB3">
      <w:pPr>
        <w:pageBreakBefore w:val="0"/>
        <w:kinsoku/>
        <w:wordWrap w:val="0"/>
        <w:bidi w:val="0"/>
        <w:spacing w:line="620" w:lineRule="exact"/>
        <w:ind w:right="630"/>
        <w:jc w:val="center"/>
        <w:rPr>
          <w:rFonts w:hint="default" w:ascii="Times New Roman" w:hAnsi="Times New Roman" w:cs="Times New Roman"/>
          <w:color w:val="auto"/>
          <w:szCs w:val="21"/>
          <w:highlight w:val="none"/>
        </w:rPr>
        <w:sectPr>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2809B6D6">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355" w:name="_Toc18880"/>
      <w:bookmarkStart w:id="356" w:name="_Toc234832926"/>
      <w:bookmarkStart w:id="357" w:name="_Toc25086"/>
      <w:bookmarkStart w:id="358" w:name="_Toc3403"/>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二</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问题澄清通知</w:t>
      </w:r>
      <w:bookmarkEnd w:id="355"/>
      <w:bookmarkEnd w:id="356"/>
      <w:bookmarkEnd w:id="357"/>
      <w:bookmarkEnd w:id="358"/>
    </w:p>
    <w:p w14:paraId="2BD05387">
      <w:pPr>
        <w:pageBreakBefore w:val="0"/>
        <w:kinsoku/>
        <w:wordWrap w:val="0"/>
        <w:bidi w:val="0"/>
        <w:spacing w:line="440" w:lineRule="exact"/>
        <w:jc w:val="center"/>
        <w:rPr>
          <w:rFonts w:hint="default" w:ascii="Times New Roman" w:hAnsi="Times New Roman" w:cs="Times New Roman"/>
          <w:color w:val="auto"/>
          <w:sz w:val="28"/>
          <w:szCs w:val="28"/>
          <w:highlight w:val="none"/>
        </w:rPr>
      </w:pPr>
    </w:p>
    <w:p w14:paraId="28B15D45">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问题澄清通知</w:t>
      </w:r>
    </w:p>
    <w:p w14:paraId="4D241592">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15E665B6">
      <w:pPr>
        <w:pageBreakBefore w:val="0"/>
        <w:kinsoku/>
        <w:wordWrap w:val="0"/>
        <w:bidi w:val="0"/>
        <w:spacing w:line="440" w:lineRule="exact"/>
        <w:rPr>
          <w:rFonts w:hint="default" w:ascii="Times New Roman" w:hAnsi="Times New Roman" w:cs="Times New Roman"/>
          <w:color w:val="auto"/>
          <w:sz w:val="24"/>
          <w:highlight w:val="none"/>
        </w:rPr>
      </w:pPr>
    </w:p>
    <w:p w14:paraId="446A90A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w:t>
      </w:r>
    </w:p>
    <w:p w14:paraId="322DE86A">
      <w:pPr>
        <w:pageBreakBefore w:val="0"/>
        <w:kinsoku/>
        <w:wordWrap w:val="0"/>
        <w:bidi w:val="0"/>
        <w:spacing w:line="440" w:lineRule="exact"/>
        <w:rPr>
          <w:rFonts w:hint="default" w:ascii="Times New Roman" w:hAnsi="Times New Roman" w:cs="Times New Roman"/>
          <w:color w:val="auto"/>
          <w:sz w:val="24"/>
          <w:highlight w:val="none"/>
        </w:rPr>
      </w:pPr>
    </w:p>
    <w:p w14:paraId="301EE28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标段施工招标的评标委员会，对你方的投标文件进行了仔细的审查，现需你方对下列问题以书面形式予以澄清或说明：</w:t>
      </w:r>
    </w:p>
    <w:p w14:paraId="19E4B465">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03614795">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w:t>
      </w:r>
    </w:p>
    <w:p w14:paraId="4E7B48AB">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w:t>
      </w:r>
    </w:p>
    <w:p w14:paraId="0691657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   </w:t>
      </w:r>
    </w:p>
    <w:p w14:paraId="5BF73BF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4AE1E7F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请将上述问题的澄清或说明于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分前通过</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lang w:eastAsia="zh-CN"/>
        </w:rPr>
        <w:t>”</w:t>
      </w:r>
      <w:r>
        <w:rPr>
          <w:rFonts w:hint="default" w:ascii="Times New Roman" w:hAnsi="Times New Roman" w:cs="Times New Roman"/>
          <w:color w:val="auto"/>
          <w:sz w:val="24"/>
          <w:highlight w:val="none"/>
        </w:rPr>
        <w:t>上传。</w:t>
      </w:r>
    </w:p>
    <w:p w14:paraId="1B073435">
      <w:pPr>
        <w:pageBreakBefore w:val="0"/>
        <w:kinsoku/>
        <w:wordWrap w:val="0"/>
        <w:bidi w:val="0"/>
        <w:spacing w:line="440" w:lineRule="exact"/>
        <w:rPr>
          <w:rFonts w:hint="default" w:ascii="Times New Roman" w:hAnsi="Times New Roman" w:cs="Times New Roman"/>
          <w:color w:val="auto"/>
          <w:sz w:val="24"/>
          <w:highlight w:val="none"/>
        </w:rPr>
      </w:pPr>
    </w:p>
    <w:p w14:paraId="44933FCC">
      <w:pPr>
        <w:pageBreakBefore w:val="0"/>
        <w:kinsoku/>
        <w:wordWrap w:val="0"/>
        <w:bidi w:val="0"/>
        <w:spacing w:line="440" w:lineRule="exact"/>
        <w:rPr>
          <w:rFonts w:hint="default" w:ascii="Times New Roman" w:hAnsi="Times New Roman" w:cs="Times New Roman"/>
          <w:color w:val="auto"/>
          <w:sz w:val="24"/>
          <w:highlight w:val="none"/>
        </w:rPr>
      </w:pPr>
    </w:p>
    <w:p w14:paraId="4B4CA9BD">
      <w:pPr>
        <w:pageBreakBefore w:val="0"/>
        <w:kinsoku/>
        <w:wordWrap w:val="0"/>
        <w:bidi w:val="0"/>
        <w:spacing w:line="440" w:lineRule="exact"/>
        <w:jc w:val="righ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评标委员会授权的招标人或招标代理机构：</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（签字或盖单位章）</w:t>
      </w:r>
    </w:p>
    <w:p w14:paraId="179BDB2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477631E5">
      <w:pPr>
        <w:pageBreakBefore w:val="0"/>
        <w:kinsoku/>
        <w:wordWrap w:val="0"/>
        <w:bidi w:val="0"/>
        <w:spacing w:line="440" w:lineRule="exact"/>
        <w:ind w:right="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2DB3BD27">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359" w:name="_Toc31852"/>
      <w:bookmarkStart w:id="360" w:name="_Toc234832927"/>
      <w:bookmarkStart w:id="361" w:name="_Toc6756"/>
      <w:bookmarkStart w:id="362" w:name="_Toc23171"/>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三</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问题的澄清</w:t>
      </w:r>
      <w:bookmarkEnd w:id="359"/>
      <w:bookmarkEnd w:id="360"/>
      <w:bookmarkEnd w:id="361"/>
      <w:bookmarkEnd w:id="362"/>
    </w:p>
    <w:p w14:paraId="19D978A5">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问题的澄清</w:t>
      </w:r>
    </w:p>
    <w:p w14:paraId="26AE2A58">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5BED66D9">
      <w:pPr>
        <w:pageBreakBefore w:val="0"/>
        <w:kinsoku/>
        <w:wordWrap w:val="0"/>
        <w:bidi w:val="0"/>
        <w:spacing w:line="440" w:lineRule="exact"/>
        <w:rPr>
          <w:rFonts w:hint="default" w:ascii="Times New Roman" w:hAnsi="Times New Roman" w:cs="Times New Roman"/>
          <w:color w:val="auto"/>
          <w:sz w:val="24"/>
          <w:highlight w:val="none"/>
        </w:rPr>
      </w:pPr>
    </w:p>
    <w:p w14:paraId="455AB70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标段施工招标评标委员会：</w:t>
      </w:r>
    </w:p>
    <w:p w14:paraId="2EAE90D4">
      <w:pPr>
        <w:pageBreakBefore w:val="0"/>
        <w:kinsoku/>
        <w:wordWrap w:val="0"/>
        <w:bidi w:val="0"/>
        <w:spacing w:line="440" w:lineRule="exact"/>
        <w:rPr>
          <w:rFonts w:hint="default" w:ascii="Times New Roman" w:hAnsi="Times New Roman" w:cs="Times New Roman"/>
          <w:color w:val="auto"/>
          <w:sz w:val="24"/>
          <w:highlight w:val="none"/>
        </w:rPr>
      </w:pPr>
    </w:p>
    <w:p w14:paraId="10B48768">
      <w:pPr>
        <w:pageBreakBefore w:val="0"/>
        <w:kinsoku/>
        <w:wordWrap w:val="0"/>
        <w:bidi w:val="0"/>
        <w:spacing w:line="440" w:lineRule="exact"/>
        <w:rPr>
          <w:rFonts w:hint="default" w:ascii="Times New Roman" w:hAnsi="Times New Roman" w:cs="Times New Roman"/>
          <w:color w:val="auto"/>
          <w:sz w:val="24"/>
          <w:highlight w:val="none"/>
        </w:rPr>
      </w:pPr>
    </w:p>
    <w:p w14:paraId="33C721F3">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问题澄清通知（编号：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）已收悉，现澄清、说明如下：</w:t>
      </w:r>
    </w:p>
    <w:p w14:paraId="2B28D0B9">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w:t>
      </w:r>
    </w:p>
    <w:p w14:paraId="198D722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w:t>
      </w:r>
    </w:p>
    <w:p w14:paraId="0F91214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0DF011A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50CD503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1EDD544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68E92985">
      <w:pPr>
        <w:pageBreakBefore w:val="0"/>
        <w:kinsoku/>
        <w:wordWrap w:val="0"/>
        <w:bidi w:val="0"/>
        <w:spacing w:line="440" w:lineRule="exact"/>
        <w:rPr>
          <w:rFonts w:hint="default" w:ascii="Times New Roman" w:hAnsi="Times New Roman" w:cs="Times New Roman"/>
          <w:color w:val="auto"/>
          <w:sz w:val="24"/>
          <w:highlight w:val="none"/>
        </w:rPr>
      </w:pPr>
    </w:p>
    <w:p w14:paraId="5A6583D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上述问题澄清或说明，不改变我方投标文件的实质性内容，构成我方投标文件的组成部分。</w:t>
      </w:r>
    </w:p>
    <w:p w14:paraId="7CE0A311">
      <w:pPr>
        <w:pageBreakBefore w:val="0"/>
        <w:kinsoku/>
        <w:wordWrap w:val="0"/>
        <w:bidi w:val="0"/>
        <w:spacing w:line="440" w:lineRule="exact"/>
        <w:rPr>
          <w:rFonts w:hint="default" w:ascii="Times New Roman" w:hAnsi="Times New Roman" w:cs="Times New Roman"/>
          <w:color w:val="auto"/>
          <w:sz w:val="24"/>
          <w:highlight w:val="none"/>
        </w:rPr>
      </w:pPr>
    </w:p>
    <w:p w14:paraId="0AE95B5C">
      <w:pPr>
        <w:pageBreakBefore w:val="0"/>
        <w:kinsoku/>
        <w:wordWrap w:val="0"/>
        <w:bidi w:val="0"/>
        <w:spacing w:line="440" w:lineRule="exact"/>
        <w:rPr>
          <w:rFonts w:hint="default" w:ascii="Times New Roman" w:hAnsi="Times New Roman" w:cs="Times New Roman"/>
          <w:color w:val="auto"/>
          <w:sz w:val="24"/>
          <w:highlight w:val="none"/>
        </w:rPr>
      </w:pPr>
    </w:p>
    <w:p w14:paraId="17F3D01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vertAlign w:val="superscript"/>
        </w:rPr>
        <w:footnoteReference w:id="32"/>
      </w:r>
    </w:p>
    <w:p w14:paraId="4840A9E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45CE1CF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1B42DD0">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0"/>
          <w:szCs w:val="20"/>
          <w:highlight w:val="none"/>
        </w:rPr>
        <w:br w:type="page"/>
      </w:r>
      <w:bookmarkStart w:id="363" w:name="_Toc15693"/>
      <w:bookmarkStart w:id="364" w:name="_Toc234832928"/>
      <w:bookmarkStart w:id="365" w:name="_Toc22225"/>
      <w:bookmarkStart w:id="366" w:name="_Toc10765"/>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四</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中标通知书</w:t>
      </w:r>
      <w:bookmarkEnd w:id="363"/>
      <w:bookmarkEnd w:id="364"/>
      <w:bookmarkEnd w:id="365"/>
      <w:bookmarkEnd w:id="366"/>
    </w:p>
    <w:p w14:paraId="774D9AAD">
      <w:pPr>
        <w:pageBreakBefore w:val="0"/>
        <w:kinsoku/>
        <w:wordWrap w:val="0"/>
        <w:bidi w:val="0"/>
        <w:spacing w:line="440" w:lineRule="exact"/>
        <w:ind w:firstLine="3640" w:firstLineChars="1300"/>
        <w:rPr>
          <w:rFonts w:hint="default" w:ascii="Times New Roman" w:hAnsi="Times New Roman" w:eastAsia="黑体" w:cs="Times New Roman"/>
          <w:color w:val="auto"/>
          <w:sz w:val="28"/>
          <w:szCs w:val="28"/>
          <w:highlight w:val="none"/>
        </w:rPr>
      </w:pPr>
    </w:p>
    <w:p w14:paraId="4BA1BB56">
      <w:pPr>
        <w:pageBreakBefore w:val="0"/>
        <w:kinsoku/>
        <w:wordWrap w:val="0"/>
        <w:bidi w:val="0"/>
        <w:spacing w:line="600" w:lineRule="exact"/>
        <w:ind w:firstLine="0" w:firstLineChars="0"/>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u w:val="none"/>
          <w:lang w:val="en-US" w:eastAsia="zh-CN"/>
        </w:rPr>
        <w:t>以</w:t>
      </w:r>
      <w:r>
        <w:rPr>
          <w:rFonts w:hint="eastAsia" w:cs="Times New Roman"/>
          <w:color w:val="auto"/>
          <w:sz w:val="24"/>
          <w:szCs w:val="24"/>
          <w:highlight w:val="none"/>
          <w:u w:val="none"/>
          <w:lang w:val="en-US" w:eastAsia="zh-CN"/>
        </w:rPr>
        <w:t>辽宁省招标投标监管网</w:t>
      </w:r>
      <w:r>
        <w:rPr>
          <w:rFonts w:hint="default" w:cs="Times New Roman"/>
          <w:color w:val="auto"/>
          <w:sz w:val="24"/>
          <w:szCs w:val="24"/>
          <w:highlight w:val="none"/>
          <w:u w:val="none"/>
          <w:lang w:val="en-US" w:eastAsia="zh-CN"/>
        </w:rPr>
        <w:t>生成格式为准</w:t>
      </w:r>
      <w:r>
        <w:rPr>
          <w:rFonts w:hint="eastAsia" w:cs="Times New Roman"/>
          <w:color w:val="auto"/>
          <w:sz w:val="24"/>
          <w:szCs w:val="24"/>
          <w:highlight w:val="none"/>
          <w:u w:val="none"/>
          <w:lang w:val="en-US" w:eastAsia="zh-CN"/>
        </w:rPr>
        <w:t>（如有）</w:t>
      </w:r>
      <w:r>
        <w:rPr>
          <w:rFonts w:hint="default" w:cs="Times New Roman"/>
          <w:color w:val="auto"/>
          <w:sz w:val="24"/>
          <w:szCs w:val="24"/>
          <w:highlight w:val="none"/>
          <w:u w:val="none"/>
          <w:lang w:val="en-US" w:eastAsia="zh-CN"/>
        </w:rPr>
        <w:t>。</w:t>
      </w:r>
    </w:p>
    <w:p w14:paraId="0C674B26">
      <w:pPr>
        <w:pageBreakBefore w:val="0"/>
        <w:kinsoku/>
        <w:wordWrap w:val="0"/>
        <w:bidi w:val="0"/>
        <w:spacing w:line="440" w:lineRule="exact"/>
        <w:rPr>
          <w:rFonts w:hint="default" w:ascii="Times New Roman" w:hAnsi="Times New Roman" w:eastAsia="黑体" w:cs="Times New Roman"/>
          <w:color w:val="auto"/>
          <w:sz w:val="24"/>
          <w:highlight w:val="none"/>
        </w:rPr>
      </w:pPr>
    </w:p>
    <w:p w14:paraId="23209AFD">
      <w:pPr>
        <w:pageBreakBefore w:val="0"/>
        <w:kinsoku/>
        <w:wordWrap w:val="0"/>
        <w:bidi w:val="0"/>
        <w:spacing w:line="440" w:lineRule="exact"/>
        <w:rPr>
          <w:rFonts w:hint="default" w:ascii="Times New Roman" w:hAnsi="Times New Roman" w:cs="Times New Roman"/>
          <w:color w:val="auto"/>
          <w:sz w:val="20"/>
          <w:szCs w:val="20"/>
          <w:highlight w:val="none"/>
        </w:rPr>
      </w:pPr>
    </w:p>
    <w:p w14:paraId="27CB33D9">
      <w:pPr>
        <w:pageBreakBefore w:val="0"/>
        <w:kinsoku/>
        <w:wordWrap w:val="0"/>
        <w:bidi w:val="0"/>
        <w:spacing w:line="440" w:lineRule="exact"/>
        <w:rPr>
          <w:rFonts w:hint="default" w:ascii="Times New Roman" w:hAnsi="Times New Roman" w:cs="Times New Roman"/>
          <w:color w:val="auto"/>
          <w:sz w:val="20"/>
          <w:szCs w:val="20"/>
          <w:highlight w:val="none"/>
        </w:rPr>
      </w:pPr>
    </w:p>
    <w:p w14:paraId="3B4FE281">
      <w:pPr>
        <w:pageBreakBefore w:val="0"/>
        <w:kinsoku/>
        <w:wordWrap w:val="0"/>
        <w:bidi w:val="0"/>
        <w:spacing w:line="440" w:lineRule="exact"/>
        <w:rPr>
          <w:rFonts w:hint="default" w:ascii="Times New Roman" w:hAnsi="Times New Roman" w:cs="Times New Roman"/>
          <w:color w:val="auto"/>
          <w:sz w:val="20"/>
          <w:szCs w:val="20"/>
          <w:highlight w:val="none"/>
        </w:rPr>
      </w:pPr>
    </w:p>
    <w:p w14:paraId="0B6F8760">
      <w:pPr>
        <w:pageBreakBefore w:val="0"/>
        <w:kinsoku/>
        <w:wordWrap w:val="0"/>
        <w:bidi w:val="0"/>
        <w:spacing w:line="440" w:lineRule="exact"/>
        <w:rPr>
          <w:rFonts w:hint="default" w:ascii="Times New Roman" w:hAnsi="Times New Roman" w:cs="Times New Roman"/>
          <w:color w:val="auto"/>
          <w:sz w:val="20"/>
          <w:szCs w:val="20"/>
          <w:highlight w:val="none"/>
        </w:rPr>
      </w:pPr>
    </w:p>
    <w:p w14:paraId="172F304A">
      <w:pPr>
        <w:pageBreakBefore w:val="0"/>
        <w:kinsoku/>
        <w:wordWrap w:val="0"/>
        <w:bidi w:val="0"/>
        <w:spacing w:line="440" w:lineRule="exact"/>
        <w:rPr>
          <w:rFonts w:hint="default" w:ascii="Times New Roman" w:hAnsi="Times New Roman" w:cs="Times New Roman"/>
          <w:color w:val="auto"/>
          <w:sz w:val="20"/>
          <w:szCs w:val="20"/>
          <w:highlight w:val="none"/>
        </w:rPr>
      </w:pPr>
    </w:p>
    <w:p w14:paraId="57C73C54">
      <w:pPr>
        <w:pageBreakBefore w:val="0"/>
        <w:kinsoku/>
        <w:wordWrap w:val="0"/>
        <w:bidi w:val="0"/>
        <w:spacing w:line="440" w:lineRule="exact"/>
        <w:rPr>
          <w:rFonts w:hint="default" w:ascii="Times New Roman" w:hAnsi="Times New Roman" w:cs="Times New Roman"/>
          <w:color w:val="auto"/>
          <w:sz w:val="20"/>
          <w:szCs w:val="20"/>
          <w:highlight w:val="none"/>
        </w:rPr>
      </w:pPr>
    </w:p>
    <w:p w14:paraId="14874330">
      <w:pPr>
        <w:pageBreakBefore w:val="0"/>
        <w:kinsoku/>
        <w:wordWrap w:val="0"/>
        <w:bidi w:val="0"/>
        <w:spacing w:line="440" w:lineRule="exact"/>
        <w:rPr>
          <w:rFonts w:hint="default" w:ascii="Times New Roman" w:hAnsi="Times New Roman" w:cs="Times New Roman"/>
          <w:color w:val="auto"/>
          <w:sz w:val="20"/>
          <w:szCs w:val="20"/>
          <w:highlight w:val="none"/>
        </w:rPr>
      </w:pPr>
    </w:p>
    <w:p w14:paraId="1A5EFF28">
      <w:pPr>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367" w:name="_Toc234832929"/>
      <w:r>
        <w:rPr>
          <w:rFonts w:hint="default" w:ascii="Times New Roman" w:hAnsi="Times New Roman" w:eastAsia="黑体" w:cs="Times New Roman"/>
          <w:b w:val="0"/>
          <w:color w:val="auto"/>
          <w:sz w:val="24"/>
          <w:szCs w:val="24"/>
          <w:highlight w:val="none"/>
        </w:rPr>
        <w:br w:type="page"/>
      </w:r>
    </w:p>
    <w:bookmarkEnd w:id="367"/>
    <w:p w14:paraId="5671389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41302D7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3B41DCA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2704DE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06523F3">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1E46367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DB641B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73926E4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2A54366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BBCA9F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325B1AF3">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36"/>
          <w:szCs w:val="36"/>
          <w:highlight w:val="none"/>
        </w:rPr>
        <w:sectPr>
          <w:headerReference r:id="rId27" w:type="default"/>
          <w:footerReference r:id="rId29" w:type="default"/>
          <w:headerReference r:id="rId28" w:type="even"/>
          <w:footerReference r:id="rId30"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eastAsia="黑体" w:cs="Times New Roman"/>
          <w:color w:val="auto"/>
          <w:sz w:val="56"/>
          <w:szCs w:val="56"/>
          <w:highlight w:val="none"/>
        </w:rPr>
        <w:t>第三章  评标办法</w:t>
      </w:r>
    </w:p>
    <w:p w14:paraId="500C3D81">
      <w:pPr>
        <w:spacing w:line="400" w:lineRule="atLeast"/>
        <w:rPr>
          <w:rFonts w:hint="default" w:ascii="Times New Roman" w:hAnsi="Times New Roman" w:eastAsia="宋体" w:cs="Times New Roman"/>
          <w:color w:val="auto"/>
          <w:sz w:val="24"/>
          <w:highlight w:val="none"/>
        </w:rPr>
      </w:pPr>
      <w:bookmarkStart w:id="368" w:name="_Toc234832931"/>
    </w:p>
    <w:p w14:paraId="27E7FD13">
      <w:pPr>
        <w:pStyle w:val="2"/>
        <w:pageBreakBefore w:val="0"/>
        <w:kinsoku/>
        <w:wordWrap w:val="0"/>
        <w:bidi w:val="0"/>
        <w:spacing w:before="0" w:after="120" w:afterLines="50" w:line="240" w:lineRule="atLeast"/>
        <w:jc w:val="center"/>
        <w:rPr>
          <w:rFonts w:hint="default" w:ascii="Times New Roman" w:hAnsi="Times New Roman" w:eastAsia="黑体" w:cs="Times New Roman"/>
          <w:b w:val="0"/>
          <w:color w:val="auto"/>
          <w:sz w:val="42"/>
          <w:szCs w:val="42"/>
          <w:highlight w:val="none"/>
        </w:rPr>
      </w:pPr>
      <w:bookmarkStart w:id="369" w:name="_Toc14682"/>
      <w:bookmarkStart w:id="370" w:name="_Toc10728"/>
      <w:bookmarkStart w:id="371" w:name="_Toc26505"/>
      <w:r>
        <w:rPr>
          <w:rFonts w:hint="default" w:ascii="Times New Roman" w:hAnsi="Times New Roman" w:eastAsia="黑体" w:cs="Times New Roman"/>
          <w:b w:val="0"/>
          <w:color w:val="auto"/>
          <w:sz w:val="42"/>
          <w:szCs w:val="42"/>
          <w:highlight w:val="none"/>
        </w:rPr>
        <w:t>第三章  评标办法（合理低价法）</w:t>
      </w:r>
      <w:r>
        <w:rPr>
          <w:rStyle w:val="47"/>
          <w:rFonts w:hint="default" w:ascii="Times New Roman" w:hAnsi="Times New Roman" w:eastAsia="黑体" w:cs="Times New Roman"/>
          <w:color w:val="auto"/>
          <w:sz w:val="42"/>
          <w:szCs w:val="42"/>
          <w:highlight w:val="none"/>
        </w:rPr>
        <w:footnoteReference w:id="33"/>
      </w:r>
      <w:bookmarkEnd w:id="368"/>
      <w:bookmarkEnd w:id="369"/>
      <w:bookmarkEnd w:id="370"/>
      <w:bookmarkEnd w:id="371"/>
    </w:p>
    <w:p w14:paraId="2D2DF495">
      <w:pPr>
        <w:pageBreakBefore w:val="0"/>
        <w:kinsoku/>
        <w:wordWrap w:val="0"/>
        <w:bidi w:val="0"/>
        <w:spacing w:line="420" w:lineRule="atLeast"/>
        <w:rPr>
          <w:rFonts w:hint="default" w:ascii="Times New Roman" w:hAnsi="Times New Roman" w:eastAsia="黑体" w:cs="Times New Roman"/>
          <w:color w:val="auto"/>
          <w:sz w:val="20"/>
          <w:szCs w:val="20"/>
          <w:highlight w:val="none"/>
        </w:rPr>
      </w:pPr>
    </w:p>
    <w:p w14:paraId="07BBF582">
      <w:pPr>
        <w:pStyle w:val="2"/>
        <w:pageBreakBefore w:val="0"/>
        <w:kinsoku/>
        <w:wordWrap w:val="0"/>
        <w:bidi w:val="0"/>
        <w:spacing w:before="0" w:after="0" w:line="240" w:lineRule="atLeast"/>
        <w:outlineLvl w:val="1"/>
        <w:rPr>
          <w:rFonts w:hint="default" w:ascii="Times New Roman" w:hAnsi="Times New Roman" w:eastAsia="黑体" w:cs="Times New Roman"/>
          <w:b w:val="0"/>
          <w:color w:val="auto"/>
          <w:sz w:val="28"/>
          <w:szCs w:val="28"/>
          <w:highlight w:val="none"/>
        </w:rPr>
      </w:pPr>
      <w:bookmarkStart w:id="372" w:name="_Toc8233"/>
      <w:bookmarkStart w:id="373" w:name="_Toc11316"/>
      <w:bookmarkStart w:id="374" w:name="_Toc17606"/>
      <w:bookmarkStart w:id="375" w:name="_Toc234832932"/>
      <w:r>
        <w:rPr>
          <w:rFonts w:hint="default" w:ascii="Times New Roman" w:hAnsi="Times New Roman" w:eastAsia="黑体" w:cs="Times New Roman"/>
          <w:b w:val="0"/>
          <w:color w:val="auto"/>
          <w:sz w:val="24"/>
          <w:szCs w:val="24"/>
          <w:highlight w:val="none"/>
        </w:rPr>
        <w:t>评标办法前附表</w:t>
      </w:r>
      <w:r>
        <w:rPr>
          <w:rFonts w:hint="default" w:ascii="Times New Roman" w:hAnsi="Times New Roman" w:eastAsia="黑体" w:cs="Times New Roman"/>
          <w:b w:val="0"/>
          <w:color w:val="auto"/>
          <w:sz w:val="28"/>
          <w:szCs w:val="28"/>
          <w:highlight w:val="none"/>
        </w:rPr>
        <w:t xml:space="preserve"> </w:t>
      </w:r>
      <w:r>
        <w:rPr>
          <w:rStyle w:val="47"/>
          <w:rFonts w:hint="default" w:ascii="Times New Roman" w:hAnsi="Times New Roman" w:cs="Times New Roman"/>
          <w:color w:val="auto"/>
          <w:sz w:val="28"/>
          <w:szCs w:val="28"/>
          <w:highlight w:val="none"/>
        </w:rPr>
        <w:footnoteReference w:id="34"/>
      </w:r>
      <w:bookmarkEnd w:id="372"/>
      <w:bookmarkEnd w:id="373"/>
      <w:bookmarkEnd w:id="374"/>
      <w:bookmarkEnd w:id="375"/>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2"/>
        <w:gridCol w:w="1505"/>
        <w:gridCol w:w="5099"/>
      </w:tblGrid>
      <w:tr w14:paraId="192AB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380BC821">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6616" w:type="dxa"/>
            <w:gridSpan w:val="3"/>
            <w:tcBorders>
              <w:top w:val="single" w:color="auto" w:sz="4" w:space="0"/>
              <w:left w:val="single" w:color="auto" w:sz="4" w:space="0"/>
              <w:bottom w:val="single" w:color="auto" w:sz="4" w:space="0"/>
              <w:right w:val="single" w:color="auto" w:sz="4" w:space="0"/>
            </w:tcBorders>
            <w:noWrap w:val="0"/>
            <w:vAlign w:val="center"/>
          </w:tcPr>
          <w:p w14:paraId="74ECB37F">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评审因素与评审标准</w:t>
            </w:r>
          </w:p>
        </w:tc>
      </w:tr>
      <w:tr w14:paraId="25F66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04084D0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6AE7997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评标方法</w:t>
            </w:r>
          </w:p>
        </w:tc>
        <w:tc>
          <w:tcPr>
            <w:tcW w:w="6616" w:type="dxa"/>
            <w:gridSpan w:val="3"/>
            <w:tcBorders>
              <w:top w:val="single" w:color="auto" w:sz="4" w:space="0"/>
              <w:left w:val="single" w:color="auto" w:sz="4" w:space="0"/>
              <w:right w:val="single" w:color="auto" w:sz="4" w:space="0"/>
            </w:tcBorders>
            <w:noWrap w:val="0"/>
            <w:vAlign w:val="center"/>
          </w:tcPr>
          <w:p w14:paraId="4E9EBB54">
            <w:pPr>
              <w:spacing w:before="154" w:line="369" w:lineRule="auto"/>
              <w:ind w:left="103" w:right="96" w:firstLine="437"/>
              <w:rPr>
                <w:rFonts w:ascii="宋体" w:hAnsi="宋体" w:eastAsia="宋体" w:cs="宋体"/>
                <w:color w:val="auto"/>
                <w:spacing w:val="6"/>
                <w:sz w:val="21"/>
                <w:szCs w:val="21"/>
                <w:highlight w:val="none"/>
              </w:rPr>
            </w:pPr>
            <w:r>
              <w:rPr>
                <w:rFonts w:ascii="Times New Roman" w:hAnsi="Times New Roman" w:eastAsia="Times New Roman" w:cs="Times New Roman"/>
                <w:color w:val="auto"/>
                <w:spacing w:val="6"/>
                <w:sz w:val="21"/>
                <w:szCs w:val="21"/>
                <w:highlight w:val="none"/>
              </w:rPr>
              <w:t xml:space="preserve">1. 1 </w:t>
            </w:r>
            <w:r>
              <w:rPr>
                <w:rFonts w:ascii="宋体" w:hAnsi="宋体" w:eastAsia="宋体" w:cs="宋体"/>
                <w:color w:val="auto"/>
                <w:spacing w:val="6"/>
                <w:sz w:val="21"/>
                <w:szCs w:val="21"/>
                <w:highlight w:val="none"/>
              </w:rPr>
              <w:t>本次评标采用双信封形式合理低价法，评标委员会首先对投标文件第一个信封 (商</w:t>
            </w:r>
            <w:r>
              <w:rPr>
                <w:rFonts w:ascii="宋体" w:hAnsi="宋体" w:eastAsia="宋体" w:cs="宋体"/>
                <w:color w:val="auto"/>
                <w:spacing w:val="3"/>
                <w:sz w:val="21"/>
                <w:szCs w:val="21"/>
                <w:highlight w:val="none"/>
              </w:rPr>
              <w:t>务</w:t>
            </w:r>
            <w:r>
              <w:rPr>
                <w:rFonts w:ascii="宋体" w:hAnsi="宋体" w:eastAsia="宋体" w:cs="宋体"/>
                <w:color w:val="auto"/>
                <w:sz w:val="21"/>
                <w:szCs w:val="21"/>
                <w:highlight w:val="none"/>
              </w:rPr>
              <w:t xml:space="preserve">与 </w:t>
            </w:r>
            <w:r>
              <w:rPr>
                <w:rFonts w:ascii="宋体" w:hAnsi="宋体" w:eastAsia="宋体" w:cs="宋体"/>
                <w:color w:val="auto"/>
                <w:spacing w:val="12"/>
                <w:sz w:val="21"/>
                <w:szCs w:val="21"/>
                <w:highlight w:val="none"/>
              </w:rPr>
              <w:t>技</w:t>
            </w:r>
            <w:r>
              <w:rPr>
                <w:rFonts w:ascii="宋体" w:hAnsi="宋体" w:eastAsia="宋体" w:cs="宋体"/>
                <w:color w:val="auto"/>
                <w:spacing w:val="10"/>
                <w:sz w:val="21"/>
                <w:szCs w:val="21"/>
                <w:highlight w:val="none"/>
              </w:rPr>
              <w:t>术文件) 进行初步评审 (形式评审与响应性评审、资格评审) ，通过第一个信封初步评审后</w:t>
            </w:r>
            <w:r>
              <w:rPr>
                <w:rFonts w:ascii="宋体" w:hAnsi="宋体" w:eastAsia="宋体" w:cs="宋体"/>
                <w:color w:val="auto"/>
                <w:sz w:val="21"/>
                <w:szCs w:val="21"/>
                <w:highlight w:val="none"/>
              </w:rPr>
              <w:t xml:space="preserve"> </w:t>
            </w:r>
            <w:r>
              <w:rPr>
                <w:rFonts w:ascii="宋体" w:hAnsi="宋体" w:eastAsia="宋体" w:cs="宋体"/>
                <w:color w:val="auto"/>
                <w:spacing w:val="20"/>
                <w:sz w:val="21"/>
                <w:szCs w:val="21"/>
                <w:highlight w:val="none"/>
              </w:rPr>
              <w:t>的</w:t>
            </w:r>
            <w:r>
              <w:rPr>
                <w:rFonts w:ascii="宋体" w:hAnsi="宋体" w:eastAsia="宋体" w:cs="宋体"/>
                <w:color w:val="auto"/>
                <w:spacing w:val="12"/>
                <w:sz w:val="21"/>
                <w:szCs w:val="21"/>
                <w:highlight w:val="none"/>
              </w:rPr>
              <w:t>投</w:t>
            </w:r>
            <w:r>
              <w:rPr>
                <w:rFonts w:ascii="宋体" w:hAnsi="宋体" w:eastAsia="宋体" w:cs="宋体"/>
                <w:color w:val="auto"/>
                <w:spacing w:val="10"/>
                <w:sz w:val="21"/>
                <w:szCs w:val="21"/>
                <w:highlight w:val="none"/>
              </w:rPr>
              <w:t>标文件方可进入第二个信封 (报价文件) 的开标。第二个信封的开标在监督人的监督</w:t>
            </w:r>
            <w:r>
              <w:rPr>
                <w:rFonts w:ascii="宋体" w:hAnsi="宋体" w:eastAsia="宋体" w:cs="宋体"/>
                <w:color w:val="auto"/>
                <w:spacing w:val="6"/>
                <w:sz w:val="21"/>
                <w:szCs w:val="21"/>
                <w:highlight w:val="none"/>
              </w:rPr>
              <w:t>下进 行，未通过第一个信封初步评审投标人的第二个信封原封退回，不参与第二个信封的开标。评 标委员会对投标文件第二个信封进行形式和响应性评审，并按照本章第 2.2 款规定的评分标准 进行评分，然后按评标价得分由高到低顺序推荐中标候选人，但投标报价低于其成本的除外。</w:t>
            </w:r>
          </w:p>
          <w:p w14:paraId="02D2BB8A">
            <w:pPr>
              <w:spacing w:before="154" w:line="369" w:lineRule="auto"/>
              <w:ind w:left="103" w:right="96" w:firstLine="437"/>
              <w:rPr>
                <w:rFonts w:hint="eastAsia" w:ascii="宋体" w:hAnsi="宋体" w:eastAsia="宋体" w:cs="宋体"/>
                <w:color w:val="auto"/>
                <w:spacing w:val="6"/>
                <w:sz w:val="21"/>
                <w:szCs w:val="21"/>
                <w:highlight w:val="none"/>
              </w:rPr>
            </w:pPr>
            <w:r>
              <w:rPr>
                <w:rFonts w:ascii="宋体" w:hAnsi="宋体" w:eastAsia="宋体" w:cs="宋体"/>
                <w:color w:val="auto"/>
                <w:spacing w:val="6"/>
                <w:sz w:val="21"/>
                <w:szCs w:val="21"/>
                <w:highlight w:val="none"/>
              </w:rPr>
              <w:t xml:space="preserve">1.2 </w:t>
            </w:r>
            <w:r>
              <w:rPr>
                <w:rFonts w:hint="eastAsia" w:ascii="宋体" w:hAnsi="宋体" w:eastAsia="宋体" w:cs="宋体"/>
                <w:color w:val="auto"/>
                <w:spacing w:val="6"/>
                <w:sz w:val="21"/>
                <w:szCs w:val="21"/>
                <w:highlight w:val="none"/>
              </w:rPr>
              <w:t>当两家及以上投标人在标段中的评标价得分相等时，若评标价不相等，以评标价较低者 优先；当两家及以上投标人在标段中的评标价得分相等且评标价也相等时，若各投标人工程量 清单子目单价也相同时，视为串标，其投标均被否决。</w:t>
            </w:r>
          </w:p>
          <w:p w14:paraId="43E05067">
            <w:pPr>
              <w:spacing w:before="154" w:line="369" w:lineRule="auto"/>
              <w:ind w:left="103" w:right="96" w:firstLine="437"/>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当两家及以上投标人在标段中的评标价得分相等且评标价也相等时，若各投标人工程量清单子目单价不尽相同时，则由评标委员会根据施工组织设计的编制情况投票确定其推荐顺序。</w:t>
            </w:r>
          </w:p>
          <w:p w14:paraId="7D80FE74">
            <w:pPr>
              <w:spacing w:before="154" w:line="369" w:lineRule="auto"/>
              <w:ind w:left="103" w:right="96" w:firstLine="437"/>
              <w:rPr>
                <w:rFonts w:ascii="宋体" w:hAnsi="宋体" w:eastAsia="宋体" w:cs="宋体"/>
                <w:color w:val="auto"/>
                <w:spacing w:val="6"/>
                <w:sz w:val="21"/>
                <w:szCs w:val="21"/>
                <w:highlight w:val="none"/>
              </w:rPr>
            </w:pPr>
            <w:r>
              <w:rPr>
                <w:rFonts w:ascii="宋体" w:hAnsi="宋体" w:eastAsia="宋体" w:cs="宋体"/>
                <w:color w:val="auto"/>
                <w:spacing w:val="6"/>
                <w:sz w:val="21"/>
                <w:szCs w:val="21"/>
                <w:highlight w:val="none"/>
              </w:rPr>
              <w:t>1.3 评标委员会将按照确定的推荐次序推荐中标候选人。</w:t>
            </w:r>
          </w:p>
          <w:p w14:paraId="0E0726C9">
            <w:pPr>
              <w:spacing w:before="154" w:line="369" w:lineRule="auto"/>
              <w:ind w:left="103" w:right="96" w:firstLine="437"/>
              <w:rPr>
                <w:rFonts w:ascii="宋体" w:hAnsi="宋体" w:eastAsia="宋体" w:cs="宋体"/>
                <w:color w:val="auto"/>
                <w:spacing w:val="6"/>
                <w:sz w:val="21"/>
                <w:szCs w:val="21"/>
                <w:highlight w:val="none"/>
              </w:rPr>
            </w:pPr>
            <w:r>
              <w:rPr>
                <w:rFonts w:ascii="宋体" w:hAnsi="宋体" w:eastAsia="宋体" w:cs="宋体"/>
                <w:color w:val="auto"/>
                <w:spacing w:val="6"/>
                <w:sz w:val="21"/>
                <w:szCs w:val="21"/>
                <w:highlight w:val="none"/>
              </w:rPr>
              <w:t>1.4 某一标段通过第一个信封评审且参与第二个信封开标的投标人在 3 个及以上的，招标人 将按规定的程序进行第二个信封开标；在对第二个信封进行评审后，有效投标不足 3 个使得投 标明显缺乏竞争的，评标委员会可以否决这一标段的全部投标。评标委员会未否决全部投标的， 应当在评标报告中阐明理由并推荐这一标段中标候选人。</w:t>
            </w:r>
          </w:p>
          <w:p w14:paraId="6EC3801C">
            <w:pPr>
              <w:pageBreakBefore w:val="0"/>
              <w:kinsoku/>
              <w:wordWrap w:val="0"/>
              <w:bidi w:val="0"/>
              <w:spacing w:line="360" w:lineRule="atLeast"/>
              <w:ind w:firstLine="444" w:firstLineChars="200"/>
              <w:rPr>
                <w:rFonts w:hint="default" w:ascii="Times New Roman" w:hAnsi="Times New Roman" w:cs="Times New Roman"/>
                <w:color w:val="auto"/>
                <w:szCs w:val="21"/>
                <w:highlight w:val="none"/>
              </w:rPr>
            </w:pPr>
            <w:r>
              <w:rPr>
                <w:rFonts w:ascii="宋体" w:hAnsi="宋体" w:eastAsia="宋体" w:cs="宋体"/>
                <w:color w:val="auto"/>
                <w:spacing w:val="6"/>
                <w:sz w:val="21"/>
                <w:szCs w:val="21"/>
                <w:highlight w:val="none"/>
              </w:rPr>
              <w:t>某一标段通过第一个信封评审且参与第二个信封开标的投标人少于 3 个的，评标委员会可 以否决这一标段全部投标；未否决这一标段全部投标的，评标委员会应当在评标报告中阐明理 由，招标人将按规定的程序进行第二个信封开标，但评标委员会在进行第二个信封评审时仍有 权否决这一标段全部投标；评标委员会未在第二个信封评审时否决全部投标的，应当在评标报告中阐明理由并推荐这一标段中标候选人。</w:t>
            </w:r>
          </w:p>
        </w:tc>
      </w:tr>
      <w:tr w14:paraId="6EC99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5103578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p w14:paraId="7E50B25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331E0DC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形式评审与响应性评审标准</w:t>
            </w:r>
          </w:p>
        </w:tc>
        <w:tc>
          <w:tcPr>
            <w:tcW w:w="6616" w:type="dxa"/>
            <w:gridSpan w:val="3"/>
            <w:tcBorders>
              <w:top w:val="single" w:color="auto" w:sz="4" w:space="0"/>
              <w:left w:val="single" w:color="auto" w:sz="4" w:space="0"/>
              <w:right w:val="single" w:color="auto" w:sz="4" w:space="0"/>
            </w:tcBorders>
            <w:noWrap w:val="0"/>
            <w:vAlign w:val="center"/>
          </w:tcPr>
          <w:p w14:paraId="0D7EE96E">
            <w:pPr>
              <w:pageBreakBefore w:val="0"/>
              <w:kinsoku/>
              <w:wordWrap w:val="0"/>
              <w:bidi w:val="0"/>
              <w:spacing w:line="360" w:lineRule="atLeast"/>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第一个信封（商务及技术文件）评审标准：</w:t>
            </w:r>
          </w:p>
          <w:p w14:paraId="0CFA504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5E86422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a.投标函按招标文件规定填报了项目名称、标段号、补遗书编号（如有）、工期、工程质量要求及安全目标；</w:t>
            </w:r>
          </w:p>
          <w:p w14:paraId="4C64E27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b.投标函附录的所有数据均符合招标文件规定；</w:t>
            </w:r>
          </w:p>
          <w:p w14:paraId="4855EFF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60F69E5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53889E3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）投标人按照招标文件的规定提供了投标保证金：</w:t>
            </w:r>
          </w:p>
          <w:p w14:paraId="2F7B76F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a.投标保证金金额符合招标文件规定的金额，且投标保证金有效期不少于投标有效期；</w:t>
            </w:r>
          </w:p>
          <w:p w14:paraId="68E55D5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b.若投标保证金采用现金或支票形式提交，投标人应在递交投标文件截止时间之前，将投标保证金由投标人的基本账户转入招标人指定账户；</w:t>
            </w:r>
          </w:p>
          <w:p w14:paraId="760AD41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c.若投标保证金采用银行保函形式提交，银行保函的格式、开具保函的银行均满足招标文件要求。</w:t>
            </w:r>
          </w:p>
          <w:p w14:paraId="3D10B0E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d.若投标保证金采用电子保函形式提交，投标人应在投标文件中提供电子保函的原件扫描件、电子化保函验真渠道和从投标人基本账户支出的保函财务费用支付凭证。</w:t>
            </w:r>
          </w:p>
          <w:p w14:paraId="0A52EED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（4）投标人法定代表人授权委托代理人签署投标文件的，须提交授权委托书，且授权人和被授权人均在授权委托书上使用CA 数字证书加盖个人电子印章或</w:t>
            </w:r>
            <w:r>
              <w:rPr>
                <w:rFonts w:hint="eastAsia" w:cs="Times New Roman"/>
                <w:color w:val="auto"/>
                <w:szCs w:val="21"/>
                <w:highlight w:val="none"/>
                <w:lang w:eastAsia="zh-CN"/>
              </w:rPr>
              <w:t>电子签名</w:t>
            </w:r>
            <w:r>
              <w:rPr>
                <w:rFonts w:hint="default" w:ascii="Times New Roman" w:hAnsi="Times New Roman" w:cs="Times New Roman"/>
                <w:color w:val="auto"/>
                <w:szCs w:val="21"/>
                <w:highlight w:val="none"/>
              </w:rPr>
              <w:t>。</w:t>
            </w:r>
          </w:p>
          <w:p w14:paraId="2D9496C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（5）投标人法定代表人亲自签署投标文件的，提供了法定代表人身份证明，且法定代表人在法定代表人身份证明上使用CA 数字证书加盖个人电子印章或</w:t>
            </w:r>
            <w:r>
              <w:rPr>
                <w:rFonts w:hint="eastAsia" w:cs="Times New Roman"/>
                <w:color w:val="auto"/>
                <w:szCs w:val="21"/>
                <w:highlight w:val="none"/>
                <w:lang w:eastAsia="zh-CN"/>
              </w:rPr>
              <w:t>电子签名</w:t>
            </w:r>
            <w:r>
              <w:rPr>
                <w:rFonts w:hint="default" w:ascii="Times New Roman" w:hAnsi="Times New Roman" w:cs="Times New Roman"/>
                <w:color w:val="auto"/>
                <w:szCs w:val="21"/>
                <w:highlight w:val="none"/>
              </w:rPr>
              <w:t>。</w:t>
            </w:r>
          </w:p>
          <w:p w14:paraId="7929CF8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（6）投标人以联合体形式投标时，联合体满足招标文件的要求：投标人按照招标文件提供的格式签订了联合体协议书，明确各方承担连带责任，并明确了联合体牵头人。</w:t>
            </w:r>
          </w:p>
          <w:p w14:paraId="177508D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（7）投标人如有分包计划，符合招标文件第二章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第1.11款规定。</w:t>
            </w:r>
          </w:p>
          <w:p w14:paraId="70939EF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（8）同一投标人未提交两个以上不同的投标文件，但招标文件要求提交备选投标的除外。</w:t>
            </w:r>
          </w:p>
          <w:p w14:paraId="376DEC9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（9）投标文件中未出现有关投标报价的内容。</w:t>
            </w:r>
          </w:p>
          <w:p w14:paraId="5582410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（10）投标文件载明的招标项目完成期限未超过招标文件规定的时限。</w:t>
            </w:r>
          </w:p>
          <w:p w14:paraId="284B239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（11）投标文件对招标文件的实质性要求和条件作出响应。</w:t>
            </w:r>
          </w:p>
          <w:p w14:paraId="7C20892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（12）权利义务符合招标文件规定：</w:t>
            </w:r>
          </w:p>
          <w:p w14:paraId="55396D4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a.投标人应接受招标文件规定的风险划分原则，未提出新的风险划分办法；</w:t>
            </w:r>
          </w:p>
          <w:p w14:paraId="71EB58F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b.投标人未增加发包人的责任范围，或减少投标人义务；</w:t>
            </w:r>
          </w:p>
          <w:p w14:paraId="52689CE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c.投标人未提出不同的工程验收、计量、支付办法；</w:t>
            </w:r>
          </w:p>
          <w:p w14:paraId="4DBC091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d.投标人对合同纠纷、事故处理办法未提出异议；</w:t>
            </w:r>
          </w:p>
          <w:p w14:paraId="2103226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e.投标人在投标活动中无欺诈行为；</w:t>
            </w:r>
          </w:p>
          <w:p w14:paraId="4DD1215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f.投标人未对合同条款有重要保留。</w:t>
            </w:r>
          </w:p>
          <w:p w14:paraId="4397622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）投标人上传投标文件的标段数量满足第一章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招标公告</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第3.3款规定，投标函上填写的标段号与上传的对应项目标段号一致。</w:t>
            </w:r>
          </w:p>
          <w:p w14:paraId="70C0BA6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（14）未发现投标人与其他投标人存在使用同一不可篡改的唯一标识软硬件设备投标的（如：MAC地址、标书制作特征码、标书唯一特征码等）。</w:t>
            </w:r>
          </w:p>
          <w:p w14:paraId="1B2DDCB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1533DDD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p>
          <w:p w14:paraId="569E42F5">
            <w:pPr>
              <w:pageBreakBefore w:val="0"/>
              <w:kinsoku/>
              <w:wordWrap w:val="0"/>
              <w:bidi w:val="0"/>
              <w:spacing w:line="360" w:lineRule="atLeast"/>
              <w:ind w:firstLine="422" w:firstLineChars="200"/>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第二个信封（报价文件）评审标准：</w:t>
            </w:r>
          </w:p>
          <w:p w14:paraId="0C450CA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1FC8319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a.投标函按招标文件规定填报了项目名称、标段号、补遗书编号（如有）、投标价（包括大写金额和小写金额）；</w:t>
            </w:r>
          </w:p>
          <w:p w14:paraId="5894FB2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b.已标价工程量清单说明文字与招标文件规定一致，未进行实质性修改和删减；</w:t>
            </w:r>
          </w:p>
          <w:p w14:paraId="0EC1FDA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10CED00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5BA7405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（3）投标报价中的报价未超过招标文件设定的最高投标限价（如有）。</w:t>
            </w:r>
          </w:p>
          <w:p w14:paraId="004539A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（4）投标报价中报价的大写金额能够确定具体数值。</w:t>
            </w:r>
          </w:p>
          <w:p w14:paraId="0942326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（5）同一投标人未提交两个以上不同的投标报价，但招标文件要求提交备选投标的除外。</w:t>
            </w:r>
          </w:p>
          <w:p w14:paraId="0CED47A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）投标人若填写工程量固化清单，填写完毕的工程量固化清单未对工程量固化清单电子文件中的数据、格式和运算定义进行修改；工程量固化清单中的投标报价和投标函大写金额报价一致。</w:t>
            </w:r>
          </w:p>
          <w:p w14:paraId="3306D86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rPr>
              <w:t>）未发现投标人与其他投标人存在使用同一不可篡改的唯一标识软硬件设备投标的（如：MAC地址、标书制作特征码、标书唯一特征码等）。</w:t>
            </w:r>
          </w:p>
          <w:p w14:paraId="116FDF3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226C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59022FE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w:t>
            </w:r>
          </w:p>
        </w:tc>
        <w:tc>
          <w:tcPr>
            <w:tcW w:w="1136" w:type="dxa"/>
            <w:gridSpan w:val="2"/>
            <w:tcBorders>
              <w:top w:val="single" w:color="auto" w:sz="4" w:space="0"/>
              <w:right w:val="single" w:color="auto" w:sz="4" w:space="0"/>
            </w:tcBorders>
            <w:noWrap w:val="0"/>
            <w:vAlign w:val="center"/>
          </w:tcPr>
          <w:p w14:paraId="2082F72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145163E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（1）投标人的资质等级符合招标文件规定。</w:t>
            </w:r>
          </w:p>
          <w:p w14:paraId="13F7BCB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）投标人的财务状况符合招标文件规定。</w:t>
            </w:r>
          </w:p>
          <w:p w14:paraId="545DEFC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）投标人的类似项目业绩符合招标文件规定。</w:t>
            </w:r>
          </w:p>
          <w:p w14:paraId="2A97DA8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）投标人的信誉符合招标文件规定。</w:t>
            </w:r>
          </w:p>
          <w:p w14:paraId="2ED57CC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）投标人的项目经理和项目总工资格、在岗情况符合招标文件规定。</w:t>
            </w:r>
          </w:p>
          <w:p w14:paraId="78E059B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）投标人的其他要求符合招标文件规定。</w:t>
            </w:r>
            <w:r>
              <w:rPr>
                <w:rFonts w:hint="default" w:ascii="Times New Roman" w:hAnsi="Times New Roman" w:cs="Times New Roman"/>
                <w:color w:val="auto"/>
                <w:szCs w:val="21"/>
                <w:highlight w:val="none"/>
                <w:vertAlign w:val="superscript"/>
              </w:rPr>
              <w:footnoteReference w:id="35"/>
            </w:r>
          </w:p>
          <w:p w14:paraId="7112F48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）投标人不存在第二章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 xml:space="preserve">第1.4.3项或第1.4.4项规定的任何一种情形。 </w:t>
            </w:r>
          </w:p>
          <w:p w14:paraId="1FC88E5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）投标人符合第二章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第1.4.5项规定。</w:t>
            </w:r>
            <w:r>
              <w:rPr>
                <w:rStyle w:val="47"/>
                <w:rFonts w:hint="default" w:ascii="Times New Roman" w:hAnsi="Times New Roman" w:cs="Times New Roman"/>
                <w:color w:val="auto"/>
                <w:highlight w:val="none"/>
              </w:rPr>
              <w:footnoteReference w:id="36"/>
            </w:r>
          </w:p>
          <w:p w14:paraId="642F539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）以联合体形式参与投标的，联合体各方均未再以自己名义单独或参加其他联合体在同一标段中投标；独立参与投标的，投标人未同时参加联合体在同一标段中投标。</w:t>
            </w:r>
          </w:p>
          <w:p w14:paraId="3ED13E1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F070A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74BE190E">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B7C6F81">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73157880">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1E5022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bottom w:val="single" w:color="auto" w:sz="4" w:space="0"/>
              <w:right w:val="single" w:color="auto" w:sz="4" w:space="0"/>
            </w:tcBorders>
            <w:noWrap w:val="0"/>
            <w:vAlign w:val="center"/>
          </w:tcPr>
          <w:p w14:paraId="7D38D40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1F6BD3C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分值构成</w:t>
            </w:r>
          </w:p>
          <w:p w14:paraId="1AD139C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467C73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评标价：100分</w:t>
            </w:r>
          </w:p>
        </w:tc>
      </w:tr>
      <w:tr w14:paraId="674B1A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2036" w:type="dxa"/>
            <w:gridSpan w:val="3"/>
            <w:tcBorders>
              <w:top w:val="single" w:color="auto" w:sz="4" w:space="0"/>
              <w:right w:val="single" w:color="auto" w:sz="4" w:space="0"/>
            </w:tcBorders>
            <w:noWrap w:val="0"/>
            <w:vAlign w:val="center"/>
          </w:tcPr>
          <w:p w14:paraId="35DDD0C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08528752">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020EE46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在开标现场，招标人将当场计算并宣布各标段评标基准价。在评标过程中，评标委员会将对招标人计算的评标基准价进行复核，存在计算错误的应予以修正并在评标报告中作出说明。除此之外，评标基准价在整个评标期间保持不变，不随任何因素发生变化。</w:t>
            </w:r>
          </w:p>
          <w:p w14:paraId="133D59D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计算差错，仅限于以下两种情况：</w:t>
            </w:r>
            <w:r>
              <w:rPr>
                <w:rFonts w:hint="eastAsia" w:ascii="Times New Roman" w:hAnsi="Times New Roman" w:eastAsia="宋体" w:cs="Times New Roman"/>
                <w:color w:val="auto"/>
                <w:kern w:val="0"/>
                <w:szCs w:val="21"/>
                <w:highlight w:val="none"/>
                <w:lang w:bidi="ar"/>
              </w:rPr>
              <w:t>1、</w:t>
            </w:r>
            <w:r>
              <w:rPr>
                <w:rFonts w:ascii="Times New Roman" w:hAnsi="Times New Roman" w:eastAsia="宋体" w:cs="Times New Roman"/>
                <w:color w:val="auto"/>
                <w:kern w:val="0"/>
                <w:szCs w:val="21"/>
                <w:highlight w:val="none"/>
                <w:lang w:bidi="ar"/>
              </w:rPr>
              <w:t>纯算术性四则运算差错；</w:t>
            </w:r>
            <w:r>
              <w:rPr>
                <w:rFonts w:hint="eastAsia" w:ascii="Times New Roman" w:hAnsi="Times New Roman" w:eastAsia="宋体" w:cs="Times New Roman"/>
                <w:color w:val="auto"/>
                <w:kern w:val="0"/>
                <w:szCs w:val="21"/>
                <w:highlight w:val="none"/>
                <w:lang w:bidi="ar"/>
              </w:rPr>
              <w:t>2、</w:t>
            </w:r>
            <w:r>
              <w:rPr>
                <w:rFonts w:ascii="Times New Roman" w:hAnsi="Times New Roman" w:eastAsia="宋体" w:cs="Times New Roman"/>
                <w:color w:val="auto"/>
                <w:kern w:val="0"/>
                <w:szCs w:val="21"/>
                <w:highlight w:val="none"/>
                <w:lang w:bidi="ar"/>
              </w:rPr>
              <w:t>未按约定的</w:t>
            </w:r>
            <w:r>
              <w:rPr>
                <w:rFonts w:hint="eastAsia" w:ascii="Times New Roman" w:hAnsi="Times New Roman" w:eastAsia="宋体" w:cs="Times New Roman"/>
                <w:color w:val="auto"/>
                <w:kern w:val="0"/>
                <w:szCs w:val="21"/>
                <w:highlight w:val="none"/>
                <w:lang w:bidi="ar"/>
              </w:rPr>
              <w:t>规则</w:t>
            </w:r>
            <w:r>
              <w:rPr>
                <w:rFonts w:ascii="Times New Roman" w:hAnsi="Times New Roman" w:eastAsia="宋体" w:cs="Times New Roman"/>
                <w:color w:val="auto"/>
                <w:kern w:val="0"/>
                <w:szCs w:val="21"/>
                <w:highlight w:val="none"/>
                <w:lang w:bidi="ar"/>
              </w:rPr>
              <w:t>，多计或少计</w:t>
            </w:r>
            <w:r>
              <w:rPr>
                <w:rFonts w:hint="eastAsia" w:ascii="Times New Roman" w:hAnsi="Times New Roman" w:eastAsia="宋体" w:cs="Times New Roman"/>
                <w:color w:val="auto"/>
                <w:kern w:val="0"/>
                <w:szCs w:val="21"/>
                <w:highlight w:val="none"/>
                <w:lang w:bidi="ar"/>
              </w:rPr>
              <w:t>参加评标价平均值计算的评标价</w:t>
            </w:r>
            <w:r>
              <w:rPr>
                <w:rFonts w:ascii="Times New Roman" w:hAnsi="Times New Roman" w:eastAsia="宋体" w:cs="Times New Roman"/>
                <w:color w:val="auto"/>
                <w:kern w:val="0"/>
                <w:szCs w:val="21"/>
                <w:highlight w:val="none"/>
                <w:lang w:bidi="ar"/>
              </w:rPr>
              <w:t>。</w:t>
            </w:r>
          </w:p>
          <w:p w14:paraId="3D2739E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本次招标设定</w:t>
            </w:r>
            <w:r>
              <w:rPr>
                <w:rFonts w:ascii="Times New Roman" w:hAnsi="Times New Roman" w:eastAsia="宋体" w:cs="Times New Roman"/>
                <w:color w:val="auto"/>
                <w:highlight w:val="none"/>
              </w:rPr>
              <w:t>3</w:t>
            </w:r>
            <w:r>
              <w:rPr>
                <w:rFonts w:hint="eastAsia" w:ascii="Times New Roman" w:hAnsi="Times New Roman" w:eastAsia="宋体" w:cs="Times New Roman"/>
                <w:color w:val="auto"/>
                <w:highlight w:val="none"/>
              </w:rPr>
              <w:t>种评标价平均值（B）计算方法，在第二个信封（报价文件）开标现场，每个标段随机抽取其中1种作为该标段的评标价平均值计算方法。</w:t>
            </w:r>
          </w:p>
          <w:p w14:paraId="65DF36B9">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
              </w:rPr>
              <w:t>一、</w:t>
            </w:r>
            <w:r>
              <w:rPr>
                <w:rFonts w:ascii="Times New Roman" w:hAnsi="Times New Roman" w:eastAsia="宋体" w:cs="Times New Roman"/>
                <w:b/>
                <w:bCs/>
                <w:color w:val="auto"/>
                <w:kern w:val="0"/>
                <w:sz w:val="21"/>
                <w:szCs w:val="21"/>
                <w:highlight w:val="none"/>
                <w:lang w:val="en-US" w:eastAsia="zh-CN" w:bidi="ar"/>
              </w:rPr>
              <w:t>评标价</w:t>
            </w:r>
            <w:r>
              <w:rPr>
                <w:rFonts w:hint="eastAsia" w:ascii="Times New Roman" w:hAnsi="Times New Roman" w:eastAsia="宋体" w:cs="Times New Roman"/>
                <w:b/>
                <w:bCs/>
                <w:color w:val="auto"/>
                <w:kern w:val="0"/>
                <w:sz w:val="21"/>
                <w:szCs w:val="21"/>
                <w:highlight w:val="none"/>
                <w:lang w:val="en-US" w:eastAsia="zh-CN" w:bidi="ar"/>
              </w:rPr>
              <w:t>（A）</w:t>
            </w:r>
          </w:p>
          <w:p w14:paraId="3AFD878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ascii="Times New Roman" w:hAnsi="Times New Roman" w:eastAsia="宋体" w:cs="Times New Roman"/>
                <w:color w:val="auto"/>
                <w:kern w:val="0"/>
                <w:szCs w:val="21"/>
                <w:highlight w:val="none"/>
                <w:lang w:bidi="ar"/>
              </w:rPr>
              <w:t>评标价=投标函的文字报价</w:t>
            </w:r>
          </w:p>
          <w:p w14:paraId="00A44F9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如果投标文件出现以下1～5任一情况，不参加评标价平均值的计算：</w:t>
            </w:r>
          </w:p>
          <w:p w14:paraId="036139C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1、未按要求在投标函上填写投标总价；</w:t>
            </w:r>
          </w:p>
          <w:p w14:paraId="2F7CD53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黑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、投标报价超出招标人公布的最高投标限价，或低于招标人公布的最高投标限价的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cs="Times New Roman"/>
                <w:color w:val="auto"/>
                <w:kern w:val="0"/>
                <w:szCs w:val="21"/>
                <w:highlight w:val="none"/>
                <w:u w:val="single"/>
                <w:lang w:val="en-US" w:eastAsia="zh-CN" w:bidi="ar"/>
              </w:rPr>
              <w:t>90</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r>
              <w:rPr>
                <w:rFonts w:ascii="Times New Roman" w:hAnsi="Times New Roman" w:eastAsia="黑体" w:cs="Times New Roman"/>
                <w:color w:val="auto"/>
                <w:kern w:val="0"/>
                <w:szCs w:val="21"/>
                <w:highlight w:val="none"/>
                <w:lang w:bidi="ar"/>
              </w:rPr>
              <w:t>（注：由招标人在招标文件中约定低于投标最高限价一定范围值的投标报价不参与评标基准价的计算，G%原则上在85%～90%之间取值。）</w:t>
            </w:r>
          </w:p>
          <w:p w14:paraId="6840B9B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3</w:t>
            </w:r>
            <w:r>
              <w:rPr>
                <w:rFonts w:hint="eastAsia" w:ascii="Times New Roman" w:hAnsi="Times New Roman" w:eastAsia="宋体" w:cs="Times New Roman"/>
                <w:color w:val="auto"/>
                <w:kern w:val="0"/>
                <w:szCs w:val="21"/>
                <w:highlight w:val="none"/>
                <w:lang w:bidi="ar"/>
              </w:rPr>
              <w:t>、无法确定投标报价具体数值；</w:t>
            </w:r>
          </w:p>
          <w:p w14:paraId="1974BD6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4</w:t>
            </w:r>
            <w:r>
              <w:rPr>
                <w:rFonts w:hint="eastAsia" w:ascii="Times New Roman" w:hAnsi="Times New Roman" w:eastAsia="宋体" w:cs="Times New Roman"/>
                <w:color w:val="auto"/>
                <w:kern w:val="0"/>
                <w:szCs w:val="21"/>
                <w:highlight w:val="none"/>
                <w:lang w:bidi="ar"/>
              </w:rPr>
              <w:t>、投标函上填写的标段号与上传的对应项目标段号不一致（如分标段）；</w:t>
            </w:r>
          </w:p>
          <w:p w14:paraId="7FF8D22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5</w:t>
            </w:r>
            <w:r>
              <w:rPr>
                <w:rFonts w:hint="eastAsia" w:ascii="Times New Roman" w:hAnsi="Times New Roman" w:eastAsia="宋体" w:cs="Times New Roman"/>
                <w:color w:val="auto"/>
                <w:kern w:val="0"/>
                <w:szCs w:val="21"/>
                <w:highlight w:val="none"/>
                <w:lang w:bidi="ar"/>
              </w:rPr>
              <w:t>、投标函中的投标报价大写金额与投标文件工程量清单中的投标报价金额不一致。</w:t>
            </w:r>
          </w:p>
          <w:p w14:paraId="0F7B59D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kern w:val="0"/>
                <w:szCs w:val="21"/>
                <w:highlight w:val="none"/>
                <w:lang w:bidi="ar"/>
              </w:rPr>
              <w:t>投标文件存在以上1～5任一情况，但招标人在第二个信封（报价文件）开标现场未发现的，视为计算过程中基础数据取用错误，由评标委员会在评标过程中予以修正。投标文件未出现以上1～5情况的，均参加评标价平均值的计算。</w:t>
            </w:r>
          </w:p>
          <w:p w14:paraId="53483292">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二、评标价平均值（B）计算方法</w:t>
            </w:r>
          </w:p>
          <w:p w14:paraId="126B9EB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mc:AlternateContent>
                <mc:Choice Requires="wps">
                  <w:drawing>
                    <wp:anchor distT="0" distB="0" distL="114300" distR="114300" simplePos="0" relativeHeight="251669504" behindDoc="0" locked="0" layoutInCell="1" allowOverlap="1">
                      <wp:simplePos x="0" y="0"/>
                      <wp:positionH relativeFrom="page">
                        <wp:posOffset>303530</wp:posOffset>
                      </wp:positionH>
                      <wp:positionV relativeFrom="page">
                        <wp:posOffset>1289050</wp:posOffset>
                      </wp:positionV>
                      <wp:extent cx="59690" cy="1041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9690" cy="104140"/>
                              </a:xfrm>
                              <a:prstGeom prst="rect">
                                <a:avLst/>
                              </a:prstGeom>
                              <a:noFill/>
                              <a:ln>
                                <a:noFill/>
                              </a:ln>
                            </wps:spPr>
                            <wps:txbx>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wps:txbx>
                            <wps:bodyPr lIns="0" tIns="0" rIns="0" bIns="0" upright="1"/>
                          </wps:wsp>
                        </a:graphicData>
                      </a:graphic>
                    </wp:anchor>
                  </w:drawing>
                </mc:Choice>
                <mc:Fallback>
                  <w:pict>
                    <v:shape id="_x0000_s1026" o:spid="_x0000_s1026" o:spt="202" type="#_x0000_t202" style="position:absolute;left:0pt;margin-left:23.9pt;margin-top:101.5pt;height:8.2pt;width:4.7pt;mso-position-horizontal-relative:page;mso-position-vertical-relative:page;z-index:251669504;mso-width-relative:page;mso-height-relative:page;" filled="f" stroked="f" coordsize="21600,21600" o:gfxdata="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yvo22QAAAAkBAAAPAAAAAAAAAAEAIAAAACIAAABkcnMvZG93bnJldi54bWxQSwEC&#10;FAAUAAAACACHTuJAaTN1QLoBAAByAwAADgAAAAAAAAABACAAAAAoAQAAZHJzL2Uyb0RvYy54bWxQ&#10;SwUGAAAAAAYABgBZAQAAVAUAAAAA&#10;">
                      <v:fill on="f" focussize="0,0"/>
                      <v:stroke on="f"/>
                      <v:imagedata o:title=""/>
                      <o:lock v:ext="edit" aspectratio="f"/>
                      <v:textbox inset="0mm,0mm,0mm,0mm">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v:textbox>
                    </v:shape>
                  </w:pict>
                </mc:Fallback>
              </mc:AlternateContent>
            </w:r>
            <w:r>
              <w:rPr>
                <w:rFonts w:hint="eastAsia" w:ascii="Times New Roman" w:hAnsi="Times New Roman" w:eastAsia="宋体" w:cs="Times New Roman"/>
                <w:color w:val="auto"/>
                <w:kern w:val="0"/>
                <w:szCs w:val="21"/>
                <w:highlight w:val="none"/>
                <w:lang w:bidi="ar"/>
              </w:rPr>
              <w:t>评标价得分 (100 分) 按照下面规定计算：</w:t>
            </w:r>
          </w:p>
          <w:p w14:paraId="7AB01FE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当投标人的评标价等于 D 时得满分 (100 分) ，每高于 D 一个百分点 扣 2 分，每低于 D 一个百分点扣 1 分，中间值按比例内插。</w:t>
            </w:r>
          </w:p>
          <w:p w14:paraId="502D930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用公式表示如下：</w:t>
            </w:r>
          </w:p>
          <w:p w14:paraId="795ED05C">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auto"/>
                <w:kern w:val="0"/>
                <w:szCs w:val="21"/>
                <w:highlight w:val="none"/>
                <w:lang w:bidi="ar"/>
              </w:rPr>
            </w:pPr>
          </w:p>
          <w:p w14:paraId="50A07369">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auto"/>
                <w:kern w:val="0"/>
                <w:szCs w:val="21"/>
                <w:highlight w:val="none"/>
                <w:lang w:bidi="ar"/>
              </w:rPr>
            </w:pPr>
          </w:p>
          <w:p w14:paraId="0ABE299E">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auto"/>
                <w:kern w:val="0"/>
                <w:szCs w:val="21"/>
                <w:highlight w:val="none"/>
                <w:lang w:bidi="ar"/>
              </w:rPr>
            </w:pPr>
            <w:r>
              <w:rPr>
                <w:rFonts w:hint="eastAsia" w:ascii="Times New Roman" w:hAnsi="Times New Roman" w:eastAsia="宋体" w:cs="Times New Roman"/>
                <w:b/>
                <w:bCs/>
                <w:color w:val="auto"/>
                <w:kern w:val="0"/>
                <w:szCs w:val="21"/>
                <w:highlight w:val="none"/>
                <w:lang w:bidi="ar"/>
              </w:rPr>
              <w:drawing>
                <wp:anchor distT="0" distB="0" distL="114300" distR="114300" simplePos="0" relativeHeight="251670528" behindDoc="1" locked="0" layoutInCell="1" allowOverlap="1">
                  <wp:simplePos x="0" y="0"/>
                  <wp:positionH relativeFrom="column">
                    <wp:posOffset>257810</wp:posOffset>
                  </wp:positionH>
                  <wp:positionV relativeFrom="paragraph">
                    <wp:posOffset>-217170</wp:posOffset>
                  </wp:positionV>
                  <wp:extent cx="2817495" cy="625475"/>
                  <wp:effectExtent l="0" t="0" r="1905" b="3175"/>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2"/>
                          <a:stretch>
                            <a:fillRect/>
                          </a:stretch>
                        </pic:blipFill>
                        <pic:spPr>
                          <a:xfrm>
                            <a:off x="0" y="0"/>
                            <a:ext cx="2817495" cy="625475"/>
                          </a:xfrm>
                          <a:prstGeom prst="rect">
                            <a:avLst/>
                          </a:prstGeom>
                          <a:noFill/>
                          <a:ln>
                            <a:noFill/>
                          </a:ln>
                        </pic:spPr>
                      </pic:pic>
                    </a:graphicData>
                  </a:graphic>
                </wp:anchor>
              </w:drawing>
            </w:r>
          </w:p>
          <w:p w14:paraId="441246D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p>
          <w:p w14:paraId="5889A9C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式中：D＝评标基准价 (精确到人民币元)</w:t>
            </w:r>
          </w:p>
          <w:p w14:paraId="3DD1CA8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D1 ＝投标人的评标价</w:t>
            </w:r>
          </w:p>
          <w:p w14:paraId="667FBD0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F= 100</w:t>
            </w:r>
          </w:p>
          <w:p w14:paraId="50F2C93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F1 ＝评标价得分</w:t>
            </w:r>
          </w:p>
          <w:p w14:paraId="63CC7D3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若 D1 &gt; D ，则 E=2 ；若 D1 &lt; D ，则 E= 1。</w:t>
            </w:r>
          </w:p>
          <w:p w14:paraId="5950DD6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注 ：对于评标基准价、评标价的偏差率等计算评标价得分的过程值，均 不对其小数点后保留位数进行限制；在开标现场，评标基准价暂按四舍五 入后保留7 位小数进行记录；评标价得分四舍五入后保留的小数点后位数，</w:t>
            </w:r>
          </w:p>
          <w:p w14:paraId="7233303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bidi="ar"/>
              </w:rPr>
              <w:t>以能够区分出不同评标价的得分高低为准。</w:t>
            </w:r>
          </w:p>
        </w:tc>
      </w:tr>
      <w:tr w14:paraId="1EEE2F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2684266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4107D07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4728019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偏差率=100% ×（投标人评标价－评标基准价）/评标基准价</w:t>
            </w:r>
          </w:p>
          <w:p w14:paraId="4A6057F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偏差率保留</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2</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位小数</w:t>
            </w:r>
          </w:p>
        </w:tc>
      </w:tr>
      <w:tr w14:paraId="588E8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7876770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505B480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3893B8C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评分标准</w:t>
            </w:r>
          </w:p>
        </w:tc>
      </w:tr>
      <w:tr w14:paraId="62DF3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1854FE6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629902A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7E0E235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100分</w:t>
            </w:r>
          </w:p>
          <w:p w14:paraId="15431B8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评标价得分计算公式示例：</w:t>
            </w:r>
          </w:p>
          <w:p w14:paraId="044BF8F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（1）如果投标人的评标价&gt;评标基准价，则评标价得分＝100－偏差率×100×</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w:t>
            </w:r>
          </w:p>
          <w:p w14:paraId="3147E38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（2）如果投标人的评标价≤评标基准价，则评标价得分＝100＋偏差率×100×</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w:t>
            </w:r>
          </w:p>
        </w:tc>
      </w:tr>
      <w:tr w14:paraId="5E3BA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5"/>
            <w:tcBorders>
              <w:top w:val="single" w:color="auto" w:sz="4" w:space="0"/>
              <w:bottom w:val="single" w:color="auto" w:sz="4" w:space="0"/>
              <w:right w:val="single" w:color="auto" w:sz="4" w:space="0"/>
            </w:tcBorders>
            <w:noWrap w:val="0"/>
            <w:vAlign w:val="center"/>
          </w:tcPr>
          <w:p w14:paraId="3789C97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需要补充的其他内容：</w:t>
            </w:r>
          </w:p>
          <w:p w14:paraId="1F9435E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1.评标办法 </w:t>
            </w:r>
          </w:p>
          <w:p w14:paraId="4909D31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本条细化为： </w:t>
            </w:r>
          </w:p>
          <w:p w14:paraId="0FA327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1.1 采用双信封形式合理低价法。 </w:t>
            </w:r>
          </w:p>
          <w:p w14:paraId="2F9DD3D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1.1.1 评标委员会首先对第一个信封（商务及技术文件）进行初步评审（形式评审与响应 </w:t>
            </w:r>
          </w:p>
          <w:p w14:paraId="6FF24C7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性评审、资格评审），通过第一个信封初步评审的投标人，进入第二个信封（报价文件） </w:t>
            </w:r>
          </w:p>
          <w:p w14:paraId="2B02DDD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开标。第二个信封在监督机关的监督下进行开标，未通过第一个信封初步评审的投标人的 </w:t>
            </w:r>
          </w:p>
          <w:p w14:paraId="52BB291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投标文件将被否决投标，其第二个信封原封退回，不参与第二个信封的开标。 </w:t>
            </w:r>
          </w:p>
          <w:p w14:paraId="78DE3C8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1.1.2 评标委员会对投标文件第二个信封进行形式和响应性评审，未通过第二个信封形式 </w:t>
            </w:r>
          </w:p>
          <w:p w14:paraId="14DC8B9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和响应性评审的投标文件将被否决投标：若所有投标文件均未通过第二个信封的形式和响 </w:t>
            </w:r>
          </w:p>
          <w:p w14:paraId="6A24EBD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应性评审，招标人将重新招标。评标委员会对通过第二个信封形式和响应性评审的投标文 </w:t>
            </w:r>
          </w:p>
          <w:p w14:paraId="2A52148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件，按照本章第 2.2 款规定的评分标准进行评分，然后按评标价得分由高到低顺序推荐 </w:t>
            </w:r>
          </w:p>
          <w:p w14:paraId="35ADF5D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中标候选人，但投标报价低于其成本的除外。 </w:t>
            </w:r>
          </w:p>
          <w:p w14:paraId="2AE9536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1.1.3 综合评分相等时，评标委员会依次按照以下优先顺序推荐中标候选人或确定中标 </w:t>
            </w:r>
          </w:p>
          <w:p w14:paraId="5369699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人： </w:t>
            </w:r>
          </w:p>
          <w:p w14:paraId="7091209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（1）以评标价较低者优先； </w:t>
            </w:r>
          </w:p>
          <w:p w14:paraId="31BBC4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（2）被招标项目所在地省级交通运输主管部门评为较高信用等级的投标人优先； </w:t>
            </w:r>
          </w:p>
          <w:p w14:paraId="3761B4A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当两家及以上投标人的最终得分相等且投标价也相等时，则先对各投标人的工程量清单进 </w:t>
            </w:r>
          </w:p>
          <w:p w14:paraId="481C813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行复核，若各投标人工程量清单子目单价也相同时，视为串标，均以废标处理。若各投标</w:t>
            </w:r>
          </w:p>
          <w:p w14:paraId="0806B3C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人工程量清单子目单价不同时，由评标委员会根据施工组织设计的编制情况投票确定其推 </w:t>
            </w:r>
          </w:p>
          <w:p w14:paraId="0C70610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荐顺序。 </w:t>
            </w:r>
          </w:p>
          <w:p w14:paraId="6F7B4BB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1.1.4 通过第一个信封评审且参与第二个信封开标的投标人在 3 个及以上的，招标人将按 </w:t>
            </w:r>
          </w:p>
          <w:p w14:paraId="5F5C07F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规定的程序进行第二个信封开标：在对第二个信封进行评审后，有效投标不足 3 个使得投 </w:t>
            </w:r>
          </w:p>
          <w:p w14:paraId="6D2AB21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标明显缺乏竞争的，评标委员会可以否决全部投标。评标委员会未否决全部投标的，应当 </w:t>
            </w:r>
          </w:p>
          <w:p w14:paraId="0F3E957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在评标报告中阐明理由并推荐中标候选人。 </w:t>
            </w:r>
          </w:p>
          <w:p w14:paraId="0A53C48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1.1.5 通过第一个信封评审且参与第二个信封开标的投标人少于 3 个的，评标委员会可以 </w:t>
            </w:r>
          </w:p>
          <w:p w14:paraId="785B4FB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否决全部投标：未否决全部投标的，评标委员会应当在评标报告中阐明理由，招标人将按 </w:t>
            </w:r>
          </w:p>
          <w:p w14:paraId="6782FB2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规定的程序进行第二个信封开标，但评标委员会在进行第二个信封评审时仍有权否决全部 </w:t>
            </w:r>
          </w:p>
          <w:p w14:paraId="166FFD1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投标：评标委员会未在第二个信封评审时否决全部投标的，应当在评标报告中阐明理由并 </w:t>
            </w:r>
          </w:p>
          <w:p w14:paraId="5E02AB7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推荐中标候选人。 </w:t>
            </w:r>
          </w:p>
          <w:p w14:paraId="1510031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2.评标结果 </w:t>
            </w:r>
          </w:p>
          <w:p w14:paraId="6EBC5FF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2.1 评标委员会按照评标方法的规定推荐中标候选人。 </w:t>
            </w:r>
          </w:p>
          <w:p w14:paraId="2B7414A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2.2 评标委员会完成评标后，应当向招标人提交书面评标报告。评标报告由评标委员会全 </w:t>
            </w:r>
          </w:p>
          <w:p w14:paraId="6A63949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体成员签字。对评标结论持有异议的评标委员会成员可以书面方式阐述其不同意见和理 </w:t>
            </w:r>
          </w:p>
          <w:p w14:paraId="0F8F5BF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由。评标委员会成员拒绝在评标报告上签字且不陈述其不同意见和理由的，视为同意评标 </w:t>
            </w:r>
          </w:p>
          <w:p w14:paraId="67DFCB1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结论。</w:t>
            </w:r>
          </w:p>
          <w:p w14:paraId="0F376F2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3、偏差率保留小数点后两位，小数点后第三位“四舍五入”。</w:t>
            </w:r>
          </w:p>
          <w:p w14:paraId="002C8D9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4、本项目评标价的确定，按方法一。</w:t>
            </w:r>
          </w:p>
          <w:p w14:paraId="7E77DD8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5、本项目评标基准价的确定，按方法一。</w:t>
            </w:r>
          </w:p>
          <w:p w14:paraId="0211177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6、废标条款:</w:t>
            </w:r>
          </w:p>
          <w:p w14:paraId="315F893A">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(1)在形式评审与响应性评审、资格评审中，评标委员会认定投标人的投标不符合评标办法前附表中规定的任何一项评审标准的</w:t>
            </w:r>
            <w:r>
              <w:rPr>
                <w:rFonts w:hint="eastAsia" w:cs="Times New Roman"/>
                <w:color w:val="auto"/>
                <w:szCs w:val="21"/>
                <w:highlight w:val="none"/>
                <w:lang w:val="en-US" w:eastAsia="zh-CN"/>
              </w:rPr>
              <w:t>;</w:t>
            </w:r>
          </w:p>
          <w:p w14:paraId="32B91A3D">
            <w:pPr>
              <w:pageBreakBefore w:val="0"/>
              <w:kinsoku/>
              <w:wordWrap w:val="0"/>
              <w:bidi w:val="0"/>
              <w:spacing w:line="360" w:lineRule="atLeast"/>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(2)评标委员会认定投标人以低于成本报价竞标的</w:t>
            </w:r>
            <w:r>
              <w:rPr>
                <w:rFonts w:hint="eastAsia" w:cs="Times New Roman"/>
                <w:color w:val="auto"/>
                <w:szCs w:val="21"/>
                <w:highlight w:val="none"/>
                <w:lang w:val="en-US" w:eastAsia="zh-CN"/>
              </w:rPr>
              <w:t>;</w:t>
            </w:r>
          </w:p>
          <w:p w14:paraId="48A02FBD">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(3)与其他投标人的投标文件分部、分项报价错漏一致，且没有合理解释的</w:t>
            </w:r>
            <w:r>
              <w:rPr>
                <w:rFonts w:hint="eastAsia" w:cs="Times New Roman"/>
                <w:color w:val="auto"/>
                <w:szCs w:val="21"/>
                <w:highlight w:val="none"/>
                <w:lang w:val="en-US" w:eastAsia="zh-CN"/>
              </w:rPr>
              <w:t>;</w:t>
            </w:r>
          </w:p>
          <w:p w14:paraId="04A0B779">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(4)与其他投标人的投标文件载明的项目管理班子成员出现重复的</w:t>
            </w:r>
            <w:r>
              <w:rPr>
                <w:rFonts w:hint="eastAsia" w:cs="Times New Roman"/>
                <w:color w:val="auto"/>
                <w:szCs w:val="21"/>
                <w:highlight w:val="none"/>
                <w:lang w:val="en-US" w:eastAsia="zh-CN"/>
              </w:rPr>
              <w:t>;</w:t>
            </w:r>
          </w:p>
          <w:p w14:paraId="1DB7F88D">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(5)不同投标人使用同一个人或者同一企业资金交纳投标保证金的</w:t>
            </w:r>
            <w:r>
              <w:rPr>
                <w:rFonts w:hint="eastAsia" w:cs="Times New Roman"/>
                <w:color w:val="auto"/>
                <w:szCs w:val="21"/>
                <w:highlight w:val="none"/>
                <w:lang w:val="en-US" w:eastAsia="zh-CN"/>
              </w:rPr>
              <w:t>;</w:t>
            </w:r>
          </w:p>
          <w:p w14:paraId="72E2441F">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(6)不同投标人聘请同一人为其投标提供技术或者经济咨询服务的</w:t>
            </w:r>
            <w:r>
              <w:rPr>
                <w:rFonts w:hint="eastAsia" w:cs="Times New Roman"/>
                <w:color w:val="auto"/>
                <w:szCs w:val="21"/>
                <w:highlight w:val="none"/>
                <w:lang w:val="en-US" w:eastAsia="zh-CN"/>
              </w:rPr>
              <w:t>;</w:t>
            </w:r>
          </w:p>
          <w:p w14:paraId="32D08188">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(7)与其他投标人的投标文件存在不应有的雷同</w:t>
            </w:r>
            <w:r>
              <w:rPr>
                <w:rFonts w:hint="eastAsia" w:cs="Times New Roman"/>
                <w:color w:val="auto"/>
                <w:szCs w:val="21"/>
                <w:highlight w:val="none"/>
                <w:lang w:val="en-US" w:eastAsia="zh-CN"/>
              </w:rPr>
              <w:t>;</w:t>
            </w:r>
          </w:p>
          <w:p w14:paraId="6E985420">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(8)其他情况能够证明有陪标行为的</w:t>
            </w:r>
            <w:r>
              <w:rPr>
                <w:rFonts w:hint="eastAsia" w:cs="Times New Roman"/>
                <w:color w:val="auto"/>
                <w:szCs w:val="21"/>
                <w:highlight w:val="none"/>
                <w:lang w:val="en-US" w:eastAsia="zh-CN"/>
              </w:rPr>
              <w:t>;</w:t>
            </w:r>
          </w:p>
          <w:p w14:paraId="3CA04A1C">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(9)有串通投标或弄虚作假或有其他违法行为的</w:t>
            </w:r>
            <w:r>
              <w:rPr>
                <w:rFonts w:hint="eastAsia" w:cs="Times New Roman"/>
                <w:color w:val="auto"/>
                <w:szCs w:val="21"/>
                <w:highlight w:val="none"/>
                <w:lang w:val="en-US" w:eastAsia="zh-CN"/>
              </w:rPr>
              <w:t>;</w:t>
            </w:r>
          </w:p>
          <w:p w14:paraId="0890AB26">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(10)投标人不按评标委员会要求澄清、说明或补正的</w:t>
            </w:r>
            <w:r>
              <w:rPr>
                <w:rFonts w:hint="eastAsia" w:cs="Times New Roman"/>
                <w:color w:val="auto"/>
                <w:szCs w:val="21"/>
                <w:highlight w:val="none"/>
                <w:lang w:val="en-US" w:eastAsia="zh-CN"/>
              </w:rPr>
              <w:t>;</w:t>
            </w:r>
          </w:p>
          <w:p w14:paraId="1D605DC5">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(11)不同投标人的投标报价或者报价组成异常一致或者呈规律性变化的</w:t>
            </w:r>
            <w:r>
              <w:rPr>
                <w:rFonts w:hint="eastAsia" w:cs="Times New Roman"/>
                <w:color w:val="auto"/>
                <w:szCs w:val="21"/>
                <w:highlight w:val="none"/>
                <w:lang w:val="en-US" w:eastAsia="zh-CN"/>
              </w:rPr>
              <w:t>;</w:t>
            </w:r>
          </w:p>
          <w:p w14:paraId="2B5A348E">
            <w:pPr>
              <w:pageBreakBefore w:val="0"/>
              <w:kinsoku/>
              <w:wordWrap w:val="0"/>
              <w:bidi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(12)投标文件附有招标人不能接受的条件</w:t>
            </w:r>
            <w:r>
              <w:rPr>
                <w:rFonts w:hint="eastAsia" w:cs="Times New Roman"/>
                <w:color w:val="auto"/>
                <w:szCs w:val="21"/>
                <w:highlight w:val="none"/>
                <w:lang w:val="en-US" w:eastAsia="zh-CN"/>
              </w:rPr>
              <w:t>;</w:t>
            </w:r>
          </w:p>
          <w:p w14:paraId="6A13E04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(13)不符合招标文件中规定的其他实质性要求的。</w:t>
            </w:r>
          </w:p>
          <w:p w14:paraId="122B359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(14)不同投标人的投标文件存在“MAC 地址”、“文件创建标识码”、“文件制作机器码”等唯一性标识一致等情形。</w:t>
            </w:r>
          </w:p>
        </w:tc>
      </w:tr>
    </w:tbl>
    <w:p w14:paraId="46A5DAFE">
      <w:pPr>
        <w:pStyle w:val="2"/>
        <w:pageBreakBefore w:val="0"/>
        <w:kinsoku/>
        <w:wordWrap w:val="0"/>
        <w:bidi w:val="0"/>
        <w:spacing w:before="240" w:after="240" w:line="24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0"/>
          <w:szCs w:val="20"/>
          <w:highlight w:val="none"/>
        </w:rPr>
        <w:br w:type="page"/>
      </w:r>
      <w:bookmarkStart w:id="376" w:name="_Toc15748"/>
      <w:bookmarkStart w:id="377" w:name="_Toc12557"/>
      <w:bookmarkStart w:id="378" w:name="_Toc234832933"/>
      <w:bookmarkStart w:id="379" w:name="_Toc20703"/>
      <w:r>
        <w:rPr>
          <w:rFonts w:hint="default" w:ascii="Times New Roman" w:hAnsi="Times New Roman" w:eastAsia="黑体" w:cs="Times New Roman"/>
          <w:b w:val="0"/>
          <w:color w:val="auto"/>
          <w:sz w:val="28"/>
          <w:szCs w:val="28"/>
          <w:highlight w:val="none"/>
        </w:rPr>
        <w:t>1. 评标方法</w:t>
      </w:r>
      <w:bookmarkEnd w:id="376"/>
      <w:bookmarkEnd w:id="377"/>
      <w:bookmarkEnd w:id="378"/>
      <w:bookmarkEnd w:id="379"/>
    </w:p>
    <w:p w14:paraId="14BA9C9B">
      <w:pPr>
        <w:pageBreakBefore w:val="0"/>
        <w:kinsoku/>
        <w:wordWrap w:val="0"/>
        <w:bidi w:val="0"/>
        <w:spacing w:line="400" w:lineRule="atLeast"/>
        <w:ind w:firstLine="480" w:firstLineChars="200"/>
        <w:rPr>
          <w:rFonts w:hint="default" w:ascii="Times New Roman" w:hAnsi="Times New Roman" w:eastAsia="华文隶书" w:cs="Times New Roman"/>
          <w:color w:val="auto"/>
          <w:sz w:val="24"/>
          <w:highlight w:val="none"/>
        </w:rPr>
      </w:pPr>
      <w:r>
        <w:rPr>
          <w:rFonts w:hint="default" w:ascii="Times New Roman" w:hAnsi="Times New Roman" w:eastAsia="宋体" w:cs="Times New Roman"/>
          <w:color w:val="auto"/>
          <w:sz w:val="24"/>
          <w:highlight w:val="none"/>
        </w:rPr>
        <w:t>本次评标采用合理低价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007FE059">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80" w:name="_Toc27850"/>
      <w:bookmarkStart w:id="381" w:name="_Toc8070"/>
      <w:bookmarkStart w:id="382" w:name="_Toc31114"/>
      <w:bookmarkStart w:id="383" w:name="_Toc234832934"/>
      <w:r>
        <w:rPr>
          <w:rFonts w:hint="default" w:ascii="Times New Roman" w:hAnsi="Times New Roman" w:eastAsia="黑体" w:cs="Times New Roman"/>
          <w:b w:val="0"/>
          <w:color w:val="auto"/>
          <w:sz w:val="28"/>
          <w:szCs w:val="28"/>
          <w:highlight w:val="none"/>
        </w:rPr>
        <w:t>2. 评审标准</w:t>
      </w:r>
      <w:bookmarkEnd w:id="380"/>
      <w:bookmarkEnd w:id="381"/>
      <w:bookmarkEnd w:id="382"/>
      <w:bookmarkEnd w:id="383"/>
    </w:p>
    <w:p w14:paraId="3891977F">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84" w:name="_Toc234832935"/>
      <w:bookmarkStart w:id="385" w:name="_Toc12147"/>
      <w:bookmarkStart w:id="386" w:name="_Toc29160"/>
      <w:bookmarkStart w:id="387" w:name="_Toc23903"/>
      <w:r>
        <w:rPr>
          <w:rFonts w:hint="default" w:ascii="Times New Roman" w:hAnsi="Times New Roman" w:eastAsia="黑体" w:cs="Times New Roman"/>
          <w:b w:val="0"/>
          <w:color w:val="auto"/>
          <w:sz w:val="24"/>
          <w:szCs w:val="24"/>
          <w:highlight w:val="none"/>
        </w:rPr>
        <w:t>2.1 初步评审标准</w:t>
      </w:r>
      <w:bookmarkEnd w:id="384"/>
      <w:bookmarkEnd w:id="385"/>
      <w:bookmarkEnd w:id="386"/>
      <w:bookmarkEnd w:id="387"/>
    </w:p>
    <w:p w14:paraId="045AE09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 形式评审标准：见评标办法前附表。</w:t>
      </w:r>
    </w:p>
    <w:p w14:paraId="38694E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 资格评审标准：见评标办法前附表。</w:t>
      </w:r>
    </w:p>
    <w:p w14:paraId="68CB52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 响应性评审标准：见评标办法前附表。</w:t>
      </w:r>
    </w:p>
    <w:p w14:paraId="5BB4B959">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88" w:name="_Toc25127"/>
      <w:bookmarkStart w:id="389" w:name="_Toc28400"/>
      <w:bookmarkStart w:id="390" w:name="_Toc24185"/>
      <w:bookmarkStart w:id="391" w:name="_Toc234832936"/>
      <w:r>
        <w:rPr>
          <w:rFonts w:hint="default" w:ascii="Times New Roman" w:hAnsi="Times New Roman" w:eastAsia="黑体" w:cs="Times New Roman"/>
          <w:b w:val="0"/>
          <w:color w:val="auto"/>
          <w:sz w:val="24"/>
          <w:szCs w:val="24"/>
          <w:highlight w:val="none"/>
        </w:rPr>
        <w:t>2.2 分值构成与评分标准</w:t>
      </w:r>
      <w:bookmarkEnd w:id="388"/>
      <w:bookmarkEnd w:id="389"/>
      <w:bookmarkEnd w:id="390"/>
      <w:bookmarkEnd w:id="391"/>
    </w:p>
    <w:p w14:paraId="3F615613">
      <w:pPr>
        <w:pageBreakBefore w:val="0"/>
        <w:tabs>
          <w:tab w:val="left" w:pos="36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分值构成</w:t>
      </w:r>
    </w:p>
    <w:p w14:paraId="60A58E8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评标价：见评标办法前附表。</w:t>
      </w:r>
    </w:p>
    <w:p w14:paraId="66140E8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评标基准价计算</w:t>
      </w:r>
    </w:p>
    <w:p w14:paraId="06A8E1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评标基准价计算方法：见评标办法前附表。</w:t>
      </w:r>
    </w:p>
    <w:p w14:paraId="615293F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 评标价的偏差率计算</w:t>
      </w:r>
    </w:p>
    <w:p w14:paraId="64A1121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评标价的偏差率计算公式：见评标办法前附表。</w:t>
      </w:r>
    </w:p>
    <w:p w14:paraId="35AB12F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 评分标准</w:t>
      </w:r>
    </w:p>
    <w:p w14:paraId="1E084CDA">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评标价评分标准：见评标办法前附表。</w:t>
      </w:r>
    </w:p>
    <w:p w14:paraId="7131FEE4">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92" w:name="_Toc234832937"/>
      <w:bookmarkStart w:id="393" w:name="_Toc26597"/>
      <w:bookmarkStart w:id="394" w:name="_Toc17186"/>
      <w:bookmarkStart w:id="395" w:name="_Toc24625"/>
      <w:r>
        <w:rPr>
          <w:rFonts w:hint="default" w:ascii="Times New Roman" w:hAnsi="Times New Roman" w:eastAsia="黑体" w:cs="Times New Roman"/>
          <w:b w:val="0"/>
          <w:color w:val="auto"/>
          <w:sz w:val="28"/>
          <w:szCs w:val="28"/>
          <w:highlight w:val="none"/>
        </w:rPr>
        <w:t>3. 评标程序</w:t>
      </w:r>
      <w:bookmarkEnd w:id="392"/>
      <w:bookmarkEnd w:id="393"/>
      <w:bookmarkEnd w:id="394"/>
      <w:bookmarkEnd w:id="395"/>
    </w:p>
    <w:p w14:paraId="098FE157">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96" w:name="_Toc21337"/>
      <w:bookmarkStart w:id="397" w:name="_Toc234832938"/>
      <w:bookmarkStart w:id="398" w:name="_Toc10579"/>
      <w:bookmarkStart w:id="399" w:name="_Toc12133"/>
      <w:r>
        <w:rPr>
          <w:rFonts w:hint="default" w:ascii="Times New Roman" w:hAnsi="Times New Roman" w:eastAsia="黑体" w:cs="Times New Roman"/>
          <w:b w:val="0"/>
          <w:color w:val="auto"/>
          <w:sz w:val="24"/>
          <w:szCs w:val="24"/>
          <w:highlight w:val="none"/>
        </w:rPr>
        <w:t>3.1</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第一个信封初步评审</w:t>
      </w:r>
      <w:bookmarkEnd w:id="396"/>
      <w:bookmarkEnd w:id="397"/>
      <w:bookmarkEnd w:id="398"/>
      <w:bookmarkEnd w:id="399"/>
    </w:p>
    <w:p w14:paraId="62F41D3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评标委员会依据本章第2.1款规定的评审标准对投标文件第一个信封（商务及技术文件）进行初步评审。有一项不符合评审标准的，评标委员会应否决其投标。</w:t>
      </w:r>
    </w:p>
    <w:p w14:paraId="1AB9E62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 投标文件的标的、质量标准、工期等实质性要求和条件不得出现（存在）不利于招标人的偏差，否则，评标委员会应否决其投标。</w:t>
      </w:r>
    </w:p>
    <w:p w14:paraId="2CB5B4D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 如果通过第一信封评审的有效投标不足3个，评标委员会应当对有效投标是否仍具有竞争性进行评审。评标委员会一致认为有效投标仍具有竞争性的，应当按规定的程序进行第二信封报价文件的评审，并在报告中予以说明。评标委员会对有效投标是否仍具备竞争性无法达成一致意见的，应当否决全部投标。</w:t>
      </w:r>
    </w:p>
    <w:p w14:paraId="0D15A45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p>
    <w:p w14:paraId="32833197">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0" w:name="_Toc5399"/>
      <w:bookmarkStart w:id="401" w:name="_Toc13086"/>
      <w:bookmarkStart w:id="402" w:name="_Toc20429"/>
      <w:r>
        <w:rPr>
          <w:rFonts w:hint="default" w:ascii="Times New Roman" w:hAnsi="Times New Roman" w:eastAsia="黑体" w:cs="Times New Roman"/>
          <w:b w:val="0"/>
          <w:color w:val="auto"/>
          <w:sz w:val="24"/>
          <w:szCs w:val="24"/>
          <w:highlight w:val="none"/>
        </w:rPr>
        <w:t>3.2</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第二个信封开标</w:t>
      </w:r>
      <w:bookmarkEnd w:id="400"/>
      <w:bookmarkEnd w:id="401"/>
      <w:bookmarkEnd w:id="402"/>
    </w:p>
    <w:p w14:paraId="0B114EC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第一个信封（商务及技术文件）评审结束后，招标人将按照第二章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第5.1款规定的时间和地点对通过投标文件第一个信封（商务及技术文件）评审的投标文件第二个信封（报价文件）进行开标。</w:t>
      </w:r>
    </w:p>
    <w:p w14:paraId="36B94B34">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3" w:name="_Toc25423"/>
      <w:bookmarkStart w:id="404" w:name="_Toc18266"/>
      <w:bookmarkStart w:id="405" w:name="_Toc6484"/>
      <w:r>
        <w:rPr>
          <w:rFonts w:hint="default" w:ascii="Times New Roman" w:hAnsi="Times New Roman" w:eastAsia="黑体" w:cs="Times New Roman"/>
          <w:b w:val="0"/>
          <w:color w:val="auto"/>
          <w:sz w:val="24"/>
          <w:szCs w:val="24"/>
          <w:highlight w:val="none"/>
        </w:rPr>
        <w:t>3.3</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第二个信封初步评审</w:t>
      </w:r>
      <w:bookmarkEnd w:id="403"/>
      <w:bookmarkEnd w:id="404"/>
      <w:bookmarkEnd w:id="405"/>
    </w:p>
    <w:p w14:paraId="7D104BB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评标委员会依据本章第2.1.1项、第2.1.3项规定的评审标准对投标文件第二个信封（报价文件）进行初步评审。有一项不符合评审标准的，评标委员会应否决其投标。</w:t>
      </w:r>
    </w:p>
    <w:p w14:paraId="544888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w:t>
      </w:r>
      <w:r>
        <w:rPr>
          <w:rFonts w:hint="default" w:ascii="Times New Roman" w:hAnsi="Times New Roman" w:eastAsia="宋体" w:cs="Times New Roman"/>
          <w:color w:val="auto"/>
          <w:highlight w:val="none"/>
          <w:vertAlign w:val="superscript"/>
        </w:rPr>
        <w:footnoteReference w:id="37"/>
      </w:r>
      <w:r>
        <w:rPr>
          <w:rFonts w:hint="default" w:ascii="Times New Roman" w:hAnsi="Times New Roman" w:eastAsia="宋体" w:cs="Times New Roman"/>
          <w:color w:val="auto"/>
          <w:sz w:val="24"/>
          <w:highlight w:val="none"/>
        </w:rPr>
        <w:t xml:space="preserve"> 投标报价有算术错误的，评标委员会按以下原则对投标报价进行修正，修正的价格经投标人书面确认后具有约束力。投标人不接受修正价格的，评标委员会应否决其投标。</w:t>
      </w:r>
    </w:p>
    <w:p w14:paraId="70AD7C9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（1）投标文件中的大写金额与小写金额不一致的，以大写金额为准；</w:t>
      </w:r>
    </w:p>
    <w:p w14:paraId="31C2B0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（2）总价金额与依据单价计算出的结果不一致的，以单价金额为准修正总价，但单价金额小数点有明显错误的除外；</w:t>
      </w:r>
    </w:p>
    <w:p w14:paraId="3B8F2B7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（3）当单价与数量相乘不等于合价时，以单价计算为准，如果单价有明显的小数点位置差错，应以标出的合价为准，同时对单价予以修正；</w:t>
      </w:r>
    </w:p>
    <w:p w14:paraId="3B46CC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（4）当各子目的合价累计不等于总价时，应以各子目合价累计数为准，修正总价。</w:t>
      </w:r>
    </w:p>
    <w:p w14:paraId="18D1E18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 工程量清单中的投标报价有其他错误的，评标委员会按以下原则对投标报价进行修正，修正的价格经投标人书面确认后具有约束力。投标人不接受修正价格的，评标委员会应否决其投标。</w:t>
      </w:r>
    </w:p>
    <w:p w14:paraId="5B178F8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5AB313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55EAA00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（3）当单价与数量的乘积与合价（金额）虽然一致，但投标人修改了该子目的工程数量，则其合价按招标人给定的工程数量乘以投标人所报单价予以修正。</w:t>
      </w:r>
    </w:p>
    <w:p w14:paraId="769B6AB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3.3.4 修正后的最终投标报价若超过最高投标限价（如有），评标委员会应否决其投标。</w:t>
      </w:r>
    </w:p>
    <w:p w14:paraId="4F300F6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3.3.5 修正后的最终投标报价仅作为签订合同的一个依据，不参与评标价得分的计算。</w:t>
      </w:r>
    </w:p>
    <w:p w14:paraId="72C853CA">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6" w:name="_Toc32333"/>
      <w:bookmarkStart w:id="407" w:name="_Toc21488"/>
      <w:bookmarkStart w:id="408" w:name="_Toc605"/>
      <w:bookmarkStart w:id="409" w:name="_Toc234832939"/>
      <w:r>
        <w:rPr>
          <w:rFonts w:hint="default" w:ascii="Times New Roman" w:hAnsi="Times New Roman" w:eastAsia="黑体" w:cs="Times New Roman"/>
          <w:b w:val="0"/>
          <w:color w:val="auto"/>
          <w:sz w:val="24"/>
          <w:szCs w:val="24"/>
          <w:highlight w:val="none"/>
        </w:rPr>
        <w:t>3.4</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第二个信封详细评审</w:t>
      </w:r>
      <w:bookmarkEnd w:id="406"/>
      <w:bookmarkEnd w:id="407"/>
      <w:bookmarkEnd w:id="408"/>
      <w:bookmarkEnd w:id="409"/>
    </w:p>
    <w:p w14:paraId="2CA0CE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 评标委员会按本章第2.2款规定的量化因素和分值进行打分，并计算出综合评估得分（即评标价得分）。</w:t>
      </w:r>
    </w:p>
    <w:p w14:paraId="1C8AE10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 投标人得分分值计算保留小数点后两位，小数点后第三位</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四舍五入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w:t>
      </w:r>
    </w:p>
    <w:p w14:paraId="2E865C51">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3.4.3 评标委员会发现投标人的报价明显低于其他投标报价，是有可能影响履约的异常低价，应按本章3.</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款的规定向投标人发出澄清，要求该投标人作出书面说明该报价的合理性并提供相应证明材料。当投标人不能合理说明并证明其报价的合理性的，评标委员会应以少数服从多数的原则否决其投标。</w:t>
      </w:r>
    </w:p>
    <w:p w14:paraId="4DC3085B">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10" w:name="_Toc29441"/>
      <w:bookmarkStart w:id="411" w:name="_Toc16625"/>
      <w:bookmarkStart w:id="412" w:name="_Toc20918"/>
      <w:r>
        <w:rPr>
          <w:rFonts w:hint="default" w:ascii="Times New Roman" w:hAnsi="Times New Roman" w:eastAsia="黑体" w:cs="Times New Roman"/>
          <w:b w:val="0"/>
          <w:color w:val="auto"/>
          <w:sz w:val="24"/>
          <w:szCs w:val="24"/>
          <w:highlight w:val="none"/>
        </w:rPr>
        <w:t>3.5</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投标文件相关信息的核查</w:t>
      </w:r>
      <w:bookmarkEnd w:id="410"/>
      <w:bookmarkEnd w:id="411"/>
      <w:bookmarkEnd w:id="412"/>
    </w:p>
    <w:p w14:paraId="12214F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 在评标过程中，评标委员会应查询交通运输主管部门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，对投标人的资质、业绩、主要人员资历和目前在岗情况、信用等级等信息进行核实。若投标文件载明的信息与交通运输主管部门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发布的信息不符，使得投标人的资格条件不符合招标文件规定的，评标委员会应否决其投标。</w:t>
      </w:r>
    </w:p>
    <w:p w14:paraId="35F837A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3.5.2 评标委员会应对在评标过程中发现的投标人与投标人之间、投标人与招标人之间存在的串通投标的情形进行评审和认定。投标人存在串通投标、弄虚作假、行贿等违法行为的，评标委员会应否决其投标。</w:t>
      </w:r>
    </w:p>
    <w:p w14:paraId="4F29E1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（1）有下列情形之一的，属于投标人相互串通投标：</w:t>
      </w:r>
    </w:p>
    <w:p w14:paraId="6F76E2D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a.投标人之间协商投标报价等投标文件的实质性内容；</w:t>
      </w:r>
    </w:p>
    <w:p w14:paraId="2ECCA4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b.投标人之间约定中标人；</w:t>
      </w:r>
    </w:p>
    <w:p w14:paraId="339F3B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c.投标人之间约定部分投标人放弃投标或中标；</w:t>
      </w:r>
    </w:p>
    <w:p w14:paraId="0C3C350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d.属于同一集团、协会、商会等组织成员的投标人按照该组织要求协同投标；</w:t>
      </w:r>
    </w:p>
    <w:p w14:paraId="7113970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e.投标人之间为谋取中标或排斥特定投标人而采取的其他联合行动。</w:t>
      </w:r>
    </w:p>
    <w:p w14:paraId="4BD710F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（2）有下列情形之一的，视为投标人相互串通投标：</w:t>
      </w:r>
    </w:p>
    <w:p w14:paraId="02297B7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a.不同投标人的投标文件由同一单位或个人编制；</w:t>
      </w:r>
    </w:p>
    <w:p w14:paraId="1B66164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b.不同投标人委托同一单位或个人办理投标事宜；</w:t>
      </w:r>
    </w:p>
    <w:p w14:paraId="0C9C4E1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c.不同投标人的投标文件载明的项目管理成员为同一人；</w:t>
      </w:r>
    </w:p>
    <w:p w14:paraId="422F3C2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d.不同投标人的投标文件异常一致或投标报价呈规律性差异；</w:t>
      </w:r>
    </w:p>
    <w:p w14:paraId="72DF1DA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e.不同投标人的投标文件相互混装；</w:t>
      </w:r>
    </w:p>
    <w:p w14:paraId="1ACDAE4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f.不同投标人的投标保证金从同一单位或个人的账户转出。</w:t>
      </w:r>
    </w:p>
    <w:p w14:paraId="4CB96FA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（3）有下列情形之一的，属于招标人与投标人串通投标：</w:t>
      </w:r>
    </w:p>
    <w:p w14:paraId="06AA49A2">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a.招标人在开标前开启投标文件并将有关信息泄露给其他投标人</w:t>
      </w:r>
      <w:r>
        <w:rPr>
          <w:rFonts w:hint="eastAsia" w:cs="Times New Roman"/>
          <w:color w:val="auto"/>
          <w:sz w:val="24"/>
          <w:highlight w:val="none"/>
          <w:lang w:eastAsia="zh-CN"/>
        </w:rPr>
        <w:t>；</w:t>
      </w:r>
    </w:p>
    <w:p w14:paraId="093D7E5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b.招标人直接或间接向投标人泄露标底、评标委员会成员等信息；</w:t>
      </w:r>
    </w:p>
    <w:p w14:paraId="0158E91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c.招标人明示或暗示投标人压低或抬高投标报价；</w:t>
      </w:r>
    </w:p>
    <w:p w14:paraId="2773E63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d.招标人授意投标人撤换、修改投标文件；</w:t>
      </w:r>
    </w:p>
    <w:p w14:paraId="4A3A74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e.招标人明示或暗示投标人为特定投标人中标提供方便；</w:t>
      </w:r>
    </w:p>
    <w:p w14:paraId="2734786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f.招标人与投标人为谋求特定投标人中标而采取的其他串通行为。</w:t>
      </w:r>
    </w:p>
    <w:p w14:paraId="33226F2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（4）投标人有下列情形之一的，属于弄虚作假的行为：</w:t>
      </w:r>
    </w:p>
    <w:p w14:paraId="40A0BC6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a.使用通过受让或租借等方式获取的资格、资质证书投标；</w:t>
      </w:r>
    </w:p>
    <w:p w14:paraId="1A0ABD3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b.使用伪造、变造的许可证件；</w:t>
      </w:r>
    </w:p>
    <w:p w14:paraId="098A11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c.提供虚假的财务状况或业绩；</w:t>
      </w:r>
    </w:p>
    <w:p w14:paraId="17E38B1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d.提供虚假的项目负责人或主要技术人员简历、劳动关系证明；</w:t>
      </w:r>
    </w:p>
    <w:p w14:paraId="5763A65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e.提供虚假的信用状况；</w:t>
      </w:r>
    </w:p>
    <w:p w14:paraId="1E2B773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f.其他弄虚作假的行为。</w:t>
      </w:r>
    </w:p>
    <w:p w14:paraId="5B589FAE">
      <w:pPr>
        <w:pStyle w:val="2"/>
        <w:pageBreakBefore w:val="0"/>
        <w:kinsoku/>
        <w:wordWrap w:val="0"/>
        <w:bidi w:val="0"/>
        <w:spacing w:before="240" w:after="240" w:line="400" w:lineRule="atLeast"/>
        <w:outlineLvl w:val="2"/>
        <w:rPr>
          <w:rFonts w:hint="default" w:ascii="Times New Roman" w:hAnsi="Times New Roman" w:eastAsia="黑体" w:cs="Times New Roman"/>
          <w:b w:val="0"/>
          <w:color w:val="auto"/>
          <w:sz w:val="24"/>
          <w:szCs w:val="24"/>
          <w:highlight w:val="none"/>
        </w:rPr>
      </w:pPr>
      <w:bookmarkStart w:id="413" w:name="_Toc29213"/>
      <w:bookmarkStart w:id="414" w:name="_Toc31365"/>
      <w:bookmarkStart w:id="415" w:name="_Toc15234"/>
      <w:bookmarkStart w:id="416" w:name="_Toc234832940"/>
      <w:r>
        <w:rPr>
          <w:rFonts w:hint="default" w:ascii="Times New Roman" w:hAnsi="Times New Roman" w:eastAsia="黑体" w:cs="Times New Roman"/>
          <w:b w:val="0"/>
          <w:color w:val="auto"/>
          <w:sz w:val="24"/>
          <w:szCs w:val="24"/>
          <w:highlight w:val="none"/>
        </w:rPr>
        <w:t>3.6 投标文件的澄清和说明</w:t>
      </w:r>
      <w:bookmarkEnd w:id="413"/>
      <w:bookmarkEnd w:id="414"/>
      <w:bookmarkEnd w:id="415"/>
    </w:p>
    <w:p w14:paraId="6BF1F52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01C62A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 澄清和说明不得超出投标文件的范围或改变投标文件的实质性内容（算术性错误的修正除外）。投标人的书面澄清、说明属于投标文件的组成部分。</w:t>
      </w:r>
    </w:p>
    <w:p w14:paraId="106AB99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 评标委员会不得暗示或诱导投标人作出澄清、说明，对投标人提交的澄清、说明有疑问的，可以要求投标人进一步澄清或说明，直至满足评标委员会的要求。</w:t>
      </w:r>
      <w:bookmarkEnd w:id="416"/>
    </w:p>
    <w:p w14:paraId="399F71F7">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3.6.4 凡超出招标文件规定的或给发包人带来未曾要求的利益的变化、偏差或其他因素在评标时不予考虑。</w:t>
      </w:r>
    </w:p>
    <w:p w14:paraId="4E64FD55">
      <w:pPr>
        <w:pStyle w:val="2"/>
        <w:pageBreakBefore w:val="0"/>
        <w:kinsoku/>
        <w:wordWrap w:val="0"/>
        <w:bidi w:val="0"/>
        <w:spacing w:before="240" w:after="240" w:line="400" w:lineRule="atLeast"/>
        <w:outlineLvl w:val="2"/>
        <w:rPr>
          <w:rFonts w:hint="default" w:ascii="Times New Roman" w:hAnsi="Times New Roman" w:eastAsia="黑体" w:cs="Times New Roman"/>
          <w:b w:val="0"/>
          <w:color w:val="auto"/>
          <w:sz w:val="24"/>
          <w:szCs w:val="24"/>
          <w:highlight w:val="none"/>
        </w:rPr>
      </w:pPr>
      <w:bookmarkStart w:id="417" w:name="_Toc18964"/>
      <w:bookmarkStart w:id="418" w:name="_Toc7796"/>
      <w:bookmarkStart w:id="419" w:name="_Toc23618"/>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w:t>
      </w:r>
      <w:r>
        <w:rPr>
          <w:rFonts w:hint="default" w:ascii="Times New Roman" w:hAnsi="Times New Roman" w:eastAsia="黑体" w:cs="Times New Roman"/>
          <w:b w:val="0"/>
          <w:color w:val="auto"/>
          <w:sz w:val="24"/>
          <w:szCs w:val="24"/>
          <w:highlight w:val="none"/>
        </w:rPr>
        <w:t>7 不得否决投标的情形</w:t>
      </w:r>
      <w:bookmarkEnd w:id="417"/>
      <w:bookmarkEnd w:id="418"/>
      <w:bookmarkEnd w:id="419"/>
    </w:p>
    <w:p w14:paraId="7FD1F7B9">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投标文件存在第二章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第1.12.3项所列情形的，均视为细微偏差，评标委员会不得否决投标人的投标，应按照第二章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第1.12.4项规定的原则处理。</w:t>
      </w:r>
    </w:p>
    <w:p w14:paraId="3A02E208">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20" w:name="_Toc10539"/>
      <w:bookmarkStart w:id="421" w:name="_Toc6874"/>
      <w:bookmarkStart w:id="422" w:name="_Toc234832941"/>
      <w:bookmarkStart w:id="423" w:name="_Toc28490"/>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 xml:space="preserve"> 评标结果</w:t>
      </w:r>
      <w:bookmarkEnd w:id="420"/>
      <w:bookmarkEnd w:id="421"/>
      <w:bookmarkEnd w:id="422"/>
      <w:bookmarkEnd w:id="423"/>
    </w:p>
    <w:p w14:paraId="1C94EB1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3.8.1 除第二章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前附表授权直接确定中标人外，评标委员会按照得分由高到低的顺序推荐中标候选人，并标明排序。</w:t>
      </w:r>
    </w:p>
    <w:p w14:paraId="404E9C2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3.8.2 评标委员会完成评标后，应向招标人提交评标报告。</w:t>
      </w:r>
    </w:p>
    <w:p w14:paraId="09A203AC">
      <w:pPr>
        <w:pStyle w:val="23"/>
        <w:pageBreakBefore w:val="0"/>
        <w:kinsoku/>
        <w:wordWrap w:val="0"/>
        <w:bidi w:val="0"/>
        <w:spacing w:line="360" w:lineRule="atLeast"/>
        <w:ind w:firstLine="480"/>
        <w:rPr>
          <w:rFonts w:hint="default" w:ascii="Times New Roman" w:hAnsi="Times New Roman" w:eastAsia="隶书" w:cs="Times New Roman"/>
          <w:color w:val="auto"/>
          <w:sz w:val="24"/>
          <w:szCs w:val="24"/>
          <w:highlight w:val="none"/>
        </w:rPr>
        <w:sectPr>
          <w:headerReference r:id="rId31" w:type="default"/>
          <w:footerReference r:id="rId32"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054208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E88A7C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A1332A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665EF9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704F7D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80266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2EA8A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CEA2F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124F8F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967485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A6D09D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0E0A307">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56"/>
          <w:szCs w:val="56"/>
          <w:highlight w:val="none"/>
        </w:rPr>
      </w:pPr>
      <w:bookmarkStart w:id="424" w:name="_Toc11119"/>
      <w:bookmarkStart w:id="425" w:name="_Toc27019"/>
      <w:bookmarkStart w:id="426" w:name="_Toc234832964"/>
      <w:bookmarkStart w:id="427" w:name="_Toc16169"/>
      <w:r>
        <w:rPr>
          <w:rFonts w:hint="default" w:ascii="Times New Roman" w:hAnsi="Times New Roman" w:eastAsia="黑体" w:cs="Times New Roman"/>
          <w:b w:val="0"/>
          <w:color w:val="auto"/>
          <w:sz w:val="56"/>
          <w:szCs w:val="56"/>
          <w:highlight w:val="none"/>
        </w:rPr>
        <w:t>第四章  合同条款及格式</w:t>
      </w:r>
      <w:bookmarkEnd w:id="424"/>
      <w:bookmarkEnd w:id="425"/>
      <w:bookmarkEnd w:id="426"/>
      <w:r>
        <w:rPr>
          <w:rStyle w:val="47"/>
          <w:rFonts w:hint="default" w:ascii="Times New Roman" w:hAnsi="Times New Roman" w:eastAsia="黑体" w:cs="Times New Roman"/>
          <w:b w:val="0"/>
          <w:color w:val="auto"/>
          <w:sz w:val="56"/>
          <w:szCs w:val="56"/>
          <w:highlight w:val="none"/>
        </w:rPr>
        <w:footnoteReference w:id="38"/>
      </w:r>
      <w:bookmarkEnd w:id="427"/>
    </w:p>
    <w:p w14:paraId="4BEDB55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9B6B3F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A169AD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A0E94E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cs="Times New Roman"/>
          <w:color w:val="auto"/>
          <w:sz w:val="20"/>
          <w:szCs w:val="20"/>
          <w:highlight w:val="none"/>
        </w:rPr>
        <w:br w:type="page"/>
      </w:r>
      <w:bookmarkStart w:id="428" w:name="_Toc234832965"/>
    </w:p>
    <w:p w14:paraId="0020234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543AA3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CC537E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F8F52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66B636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3A05B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1B56A2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80FE70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03352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6B946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7600BA">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429" w:name="_Toc18651"/>
      <w:bookmarkStart w:id="430" w:name="_Toc8515"/>
      <w:bookmarkStart w:id="431" w:name="_Toc22989"/>
      <w:r>
        <w:rPr>
          <w:rFonts w:hint="default" w:ascii="Times New Roman" w:hAnsi="Times New Roman" w:eastAsia="黑体" w:cs="Times New Roman"/>
          <w:b w:val="0"/>
          <w:color w:val="auto"/>
          <w:sz w:val="42"/>
          <w:szCs w:val="42"/>
          <w:highlight w:val="none"/>
        </w:rPr>
        <w:t>第一节  通用合同条款</w:t>
      </w:r>
      <w:bookmarkEnd w:id="428"/>
      <w:r>
        <w:rPr>
          <w:rStyle w:val="47"/>
          <w:rFonts w:hint="default" w:ascii="Times New Roman" w:hAnsi="Times New Roman" w:eastAsia="黑体" w:cs="Times New Roman"/>
          <w:b w:val="0"/>
          <w:color w:val="auto"/>
          <w:sz w:val="32"/>
          <w:szCs w:val="32"/>
          <w:highlight w:val="none"/>
        </w:rPr>
        <w:footnoteReference w:id="39"/>
      </w:r>
      <w:bookmarkEnd w:id="429"/>
      <w:bookmarkEnd w:id="430"/>
      <w:bookmarkEnd w:id="431"/>
    </w:p>
    <w:p w14:paraId="5ADD53AB">
      <w:pPr>
        <w:pStyle w:val="2"/>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432" w:name="_Toc32556"/>
      <w:bookmarkStart w:id="433" w:name="_Toc14452"/>
      <w:bookmarkStart w:id="434" w:name="_Toc1065"/>
      <w:bookmarkStart w:id="435" w:name="_Toc234832966"/>
      <w:bookmarkStart w:id="436" w:name="_Toc3137"/>
      <w:r>
        <w:rPr>
          <w:rFonts w:hint="default" w:ascii="Times New Roman" w:hAnsi="Times New Roman" w:eastAsia="黑体" w:cs="Times New Roman"/>
          <w:b w:val="0"/>
          <w:color w:val="auto"/>
          <w:sz w:val="32"/>
          <w:szCs w:val="32"/>
          <w:highlight w:val="none"/>
        </w:rPr>
        <w:t>通用合同条款</w:t>
      </w:r>
      <w:bookmarkEnd w:id="432"/>
      <w:bookmarkEnd w:id="433"/>
      <w:bookmarkEnd w:id="434"/>
      <w:bookmarkEnd w:id="435"/>
      <w:bookmarkEnd w:id="436"/>
    </w:p>
    <w:p w14:paraId="6AA6B8CB">
      <w:pPr>
        <w:pStyle w:val="2"/>
        <w:pageBreakBefore w:val="0"/>
        <w:kinsoku/>
        <w:wordWrap w:val="0"/>
        <w:bidi w:val="0"/>
        <w:spacing w:before="360" w:after="240" w:line="380" w:lineRule="atLeast"/>
        <w:outlineLvl w:val="2"/>
        <w:rPr>
          <w:rFonts w:hint="default" w:ascii="Times New Roman" w:hAnsi="Times New Roman" w:eastAsia="黑体" w:cs="Times New Roman"/>
          <w:b w:val="0"/>
          <w:color w:val="auto"/>
          <w:sz w:val="28"/>
          <w:szCs w:val="28"/>
          <w:highlight w:val="none"/>
        </w:rPr>
      </w:pPr>
      <w:bookmarkStart w:id="437" w:name="_Toc24661"/>
      <w:bookmarkStart w:id="438" w:name="_Toc234832967"/>
      <w:bookmarkStart w:id="439" w:name="_Toc28721"/>
      <w:bookmarkStart w:id="440" w:name="_Toc19605"/>
      <w:bookmarkStart w:id="441" w:name="_Toc30881"/>
      <w:r>
        <w:rPr>
          <w:rFonts w:hint="default" w:ascii="Times New Roman" w:hAnsi="Times New Roman" w:eastAsia="黑体" w:cs="Times New Roman"/>
          <w:b w:val="0"/>
          <w:color w:val="auto"/>
          <w:sz w:val="28"/>
          <w:szCs w:val="28"/>
          <w:highlight w:val="none"/>
        </w:rPr>
        <w:t>1. 一般约定</w:t>
      </w:r>
      <w:bookmarkEnd w:id="437"/>
      <w:bookmarkEnd w:id="438"/>
      <w:bookmarkEnd w:id="439"/>
      <w:bookmarkEnd w:id="440"/>
      <w:bookmarkEnd w:id="441"/>
      <w:r>
        <w:rPr>
          <w:rFonts w:hint="default" w:ascii="Times New Roman" w:hAnsi="Times New Roman" w:eastAsia="黑体" w:cs="Times New Roman"/>
          <w:b w:val="0"/>
          <w:color w:val="auto"/>
          <w:sz w:val="28"/>
          <w:szCs w:val="28"/>
          <w:highlight w:val="none"/>
        </w:rPr>
        <w:tab/>
      </w:r>
    </w:p>
    <w:p w14:paraId="1E4F540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42" w:name="_Toc10064"/>
      <w:bookmarkStart w:id="443" w:name="_Toc5421"/>
      <w:bookmarkStart w:id="444" w:name="_Toc234832968"/>
      <w:bookmarkStart w:id="445" w:name="_Toc24826"/>
      <w:bookmarkStart w:id="446" w:name="_Toc10273"/>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442"/>
      <w:bookmarkEnd w:id="443"/>
      <w:bookmarkEnd w:id="444"/>
      <w:bookmarkEnd w:id="445"/>
      <w:bookmarkEnd w:id="446"/>
    </w:p>
    <w:p w14:paraId="4AB4D23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通用合同条款、专用合同条款中的下列词语应具有本款所赋予的含义。</w:t>
      </w:r>
    </w:p>
    <w:p w14:paraId="4E36DA8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1.1.1 </w:t>
      </w:r>
      <w:r>
        <w:rPr>
          <w:rFonts w:hint="default" w:ascii="Times New Roman" w:hAnsi="Times New Roman" w:eastAsia="黑体" w:cs="Times New Roman"/>
          <w:color w:val="auto"/>
          <w:sz w:val="24"/>
          <w:highlight w:val="none"/>
        </w:rPr>
        <w:t>合同</w:t>
      </w:r>
    </w:p>
    <w:p w14:paraId="1507979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 合同文件（或称合同）：指合同协议书、中标通知书、投标函及投标函附录、专用合同条款、通用合同条款、技术标准和要求、图纸、已标价工程量清单，以及其他合同文件。</w:t>
      </w:r>
    </w:p>
    <w:p w14:paraId="714FCB8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合同协议书：指第1.5款所指的合同协议书。</w:t>
      </w:r>
    </w:p>
    <w:p w14:paraId="74F76FE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 中标通知书：指发包人通知承包人中标的函件。</w:t>
      </w:r>
    </w:p>
    <w:p w14:paraId="55A5B6B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1.1.1.4 投标函：指构成合同文件组成部分的由承包人填写并签署的投标函。</w:t>
      </w:r>
    </w:p>
    <w:p w14:paraId="01606A1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1.1.1.5 投标函附录：指附在投标函后构成合同文件的投标函附录。</w:t>
      </w:r>
    </w:p>
    <w:p w14:paraId="43BC1FD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1.1.1.6 技术标准和要求：指构成合同文件组成部分的名为技术标准和要求的文件，包括合同双方当事人约定对其所作的修改或补充。</w:t>
      </w:r>
    </w:p>
    <w:p w14:paraId="6364E11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1.1.1.7 图纸：指包含在合同中的工程图纸，以及由发包人按合同约定提供的任何补充和修改的图纸，包括配套的说明。</w:t>
      </w:r>
    </w:p>
    <w:p w14:paraId="7C01300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1.1.1.8 已标价工程量清单：指构成合同文件组成部分的由承包人按照规定的格式和要求填写并标明价格的工程量清单。</w:t>
      </w:r>
    </w:p>
    <w:p w14:paraId="1EB1B42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1.1.1.9 其他合同文件：指经合同双方当事人确认构成合同文件的其他文件。</w:t>
      </w:r>
    </w:p>
    <w:p w14:paraId="05353B57">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1.1.2 </w:t>
      </w:r>
      <w:r>
        <w:rPr>
          <w:rFonts w:hint="default" w:ascii="Times New Roman" w:hAnsi="Times New Roman" w:eastAsia="黑体" w:cs="Times New Roman"/>
          <w:color w:val="auto"/>
          <w:sz w:val="24"/>
          <w:highlight w:val="none"/>
        </w:rPr>
        <w:t>合同当事人和人员</w:t>
      </w:r>
    </w:p>
    <w:p w14:paraId="541CD46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 合同当事人：指发包人和（或）承包人。</w:t>
      </w:r>
    </w:p>
    <w:p w14:paraId="125731F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 发包人：指专用合同条款中指明并与承包人在合同协议书中签字的当事人。</w:t>
      </w:r>
    </w:p>
    <w:p w14:paraId="72ADAD7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1.1.2.3承包人：指与发包人签订合同协议书的当事人。</w:t>
      </w:r>
    </w:p>
    <w:p w14:paraId="6A4F9F9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1.1.2.4承包人项目经理：指承包人派驻施工场地的全权负责人。</w:t>
      </w:r>
    </w:p>
    <w:p w14:paraId="02F8042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1.1.2.5分包人：指从承包人处分包合同中某一部分工程，并与其签订分包合同的分包人。</w:t>
      </w:r>
    </w:p>
    <w:p w14:paraId="60BC9C5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1.1.2.6监理人：指在专用合同条款中指明的，受发包人委托对合同履行实施管理的法人或其他组织。</w:t>
      </w:r>
    </w:p>
    <w:p w14:paraId="7A20878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1.1.2.7总监理工程师（总监）：指由监理人委派常驻施工场地对合同履行实施管理的全权负责人。</w:t>
      </w:r>
    </w:p>
    <w:p w14:paraId="6434D3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1.1.3 </w:t>
      </w:r>
      <w:r>
        <w:rPr>
          <w:rFonts w:hint="default" w:ascii="Times New Roman" w:hAnsi="Times New Roman" w:eastAsia="黑体" w:cs="Times New Roman"/>
          <w:color w:val="auto"/>
          <w:sz w:val="24"/>
          <w:highlight w:val="none"/>
        </w:rPr>
        <w:t>工程和设备</w:t>
      </w:r>
    </w:p>
    <w:p w14:paraId="552D5B8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 工程：指永久工程和（或）临时工程。</w:t>
      </w:r>
    </w:p>
    <w:p w14:paraId="4A5BE04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1.1.3.2 永久工程：指按合同约定建造并移交给发包人的工程，包括工程设备。</w:t>
      </w:r>
    </w:p>
    <w:p w14:paraId="5E0F645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1.1.3.3 临时工程：指为完成合同约定的永久工程所修建的各类临时性工程，不包括施工设备。</w:t>
      </w:r>
    </w:p>
    <w:p w14:paraId="0805895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1.1.3.4 单位工程：指专用合同条款中指明特定范围的永久工程。</w:t>
      </w:r>
    </w:p>
    <w:p w14:paraId="6DF0D15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1.1.3.5 工程设备：指构成或计划构成永久工程一部分的机电设备、金属结构设备、仪器装置及其他类似的设备和装置。</w:t>
      </w:r>
    </w:p>
    <w:p w14:paraId="05A4875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1.1.3.6 施工设备：指为完成合同约定的各项工作所需的设备、器具和其他物品，不包括临时工程和材料。</w:t>
      </w:r>
    </w:p>
    <w:p w14:paraId="75619B8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1.1.3.7临时设施：指为完成合同约定的各项工作所服务的临时性生产和生活设施。</w:t>
      </w:r>
    </w:p>
    <w:p w14:paraId="2F80E39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1.1.3.8 承包人设备：指承包人自带的施工设备。</w:t>
      </w:r>
    </w:p>
    <w:p w14:paraId="2C82208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1.1.3.9 施工场地（或称工地、现场）：指用于合同工程施工的场所，以及在合同中指定作为施工场地组成部分的其他场所，包括永久占地和临时占地。</w:t>
      </w:r>
    </w:p>
    <w:p w14:paraId="273CB94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1.1.3.10 永久占地：指专用合同条款中指明为实施合同工程需永久占用的土地。</w:t>
      </w:r>
    </w:p>
    <w:p w14:paraId="30F0B0C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1.1.3.11 临时占地：指专用合同条款中指明为实施合同工程需临时占用的土地。</w:t>
      </w:r>
    </w:p>
    <w:p w14:paraId="12B27DFC">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1.1.4 </w:t>
      </w:r>
      <w:r>
        <w:rPr>
          <w:rFonts w:hint="default" w:ascii="Times New Roman" w:hAnsi="Times New Roman" w:eastAsia="黑体" w:cs="Times New Roman"/>
          <w:color w:val="auto"/>
          <w:sz w:val="24"/>
          <w:highlight w:val="none"/>
        </w:rPr>
        <w:t>日期</w:t>
      </w:r>
    </w:p>
    <w:p w14:paraId="632FF0C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1.1.4.1 开工通知：指监理人按第11.1款通知承包人开工的函件。</w:t>
      </w:r>
    </w:p>
    <w:p w14:paraId="6620A41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1.1.4.2 开工日期：指监理人按第11.1款发出的开工通知中写明的开工日期。</w:t>
      </w:r>
    </w:p>
    <w:p w14:paraId="14F45D7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1.1.4.3 工期：指承包人在投标函中承诺的完成合同工程所需的期限，包括按第11.3款、第11.4款和第11.6款约定所作的变更。</w:t>
      </w:r>
    </w:p>
    <w:p w14:paraId="349C8B6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1.1.4.4 竣工日期：指第1.1.4.3目约定工期届满时的日期。实际竣工日期以工程接收证书中写明的日期为准。</w:t>
      </w:r>
    </w:p>
    <w:p w14:paraId="4D39768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1.1.4.5 缺陷责任期：指履行第19.2款约定的缺陷责任的期限，具体期限由专用合同条款约定，包括根据第19.3款约定所作的延长。</w:t>
      </w:r>
    </w:p>
    <w:p w14:paraId="4A3EC0C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1.1.4.6 基准日期：指投标截止时间前28天的日期。</w:t>
      </w:r>
    </w:p>
    <w:p w14:paraId="4C97DE9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1.1.4.7 天：除特别指明外，指日历天。合同中按天计算时间的，开始当天不计入，从次日开始计算。期限最后一天的截止时间为当天24:00。</w:t>
      </w:r>
    </w:p>
    <w:p w14:paraId="391272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1.1.5 </w:t>
      </w:r>
      <w:r>
        <w:rPr>
          <w:rFonts w:hint="default" w:ascii="Times New Roman" w:hAnsi="Times New Roman" w:eastAsia="黑体" w:cs="Times New Roman"/>
          <w:color w:val="auto"/>
          <w:sz w:val="24"/>
          <w:highlight w:val="none"/>
        </w:rPr>
        <w:t>合同价格和费用</w:t>
      </w:r>
    </w:p>
    <w:p w14:paraId="32321F1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1.1.5.1 签约合同价：指签订合同时合同协议书中写明的，包括了暂列金额、暂估价的合同总金额。</w:t>
      </w:r>
    </w:p>
    <w:p w14:paraId="6C27816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1.1.5.2 合同价格：指承包人按合同约定完成了包括缺陷责任期内的全部承包工作后，发包人应付给承包人的金额，包括在履行合同过程中按合同约定进行的变更和调整。</w:t>
      </w:r>
    </w:p>
    <w:p w14:paraId="2E925B2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1.1.5.3 费用：指为履行合同所发生的或将要发生的所有合理开支，包括管理费和应分摊的其他费用，但不包括利润。</w:t>
      </w:r>
    </w:p>
    <w:p w14:paraId="1988638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1.1.5.4 暂列金额：指已标价工程量清单中所列的暂列金额，用于在签订协议书时尚未确定或不可预见变更的施工及其所需材料、工程设备、服务等的金额，包括以计日工方式支付的金额。</w:t>
      </w:r>
    </w:p>
    <w:p w14:paraId="6507C33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1.1.5.5暂估价：指发包人在工程量清单中给定的用于支付必然发生但暂时不能确定价格的材料、工程设备以及专业工程的金额。</w:t>
      </w:r>
    </w:p>
    <w:p w14:paraId="5398EB3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1.1.5.6 计日工：指对零星工作采取的一种计价方式，按合同中的计日工子目及其单价计价付款。</w:t>
      </w:r>
    </w:p>
    <w:p w14:paraId="14330D1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1.1.5.7 质量保证金（或称保留金）：指按第17.4.1项约定用于保证在缺陷责任期内履行缺陷修复义务的金额。</w:t>
      </w:r>
    </w:p>
    <w:p w14:paraId="6EFC036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1.1.6 </w:t>
      </w:r>
      <w:r>
        <w:rPr>
          <w:rFonts w:hint="default" w:ascii="Times New Roman" w:hAnsi="Times New Roman" w:eastAsia="黑体" w:cs="Times New Roman"/>
          <w:color w:val="auto"/>
          <w:sz w:val="24"/>
          <w:highlight w:val="none"/>
        </w:rPr>
        <w:t>其他</w:t>
      </w:r>
    </w:p>
    <w:p w14:paraId="30DA39D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1.1.6.1 书面形式：指合同文件、信函、电报、传真等可以有形地表现所载内容的形式。</w:t>
      </w:r>
    </w:p>
    <w:p w14:paraId="6A2C30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47" w:name="_Toc27354"/>
      <w:bookmarkStart w:id="448" w:name="_Toc234832969"/>
      <w:bookmarkStart w:id="449" w:name="_Toc22350"/>
      <w:bookmarkStart w:id="450" w:name="_Toc25135"/>
      <w:bookmarkStart w:id="451" w:name="_Toc7828"/>
      <w:r>
        <w:rPr>
          <w:rFonts w:hint="default" w:ascii="Times New Roman" w:hAnsi="Times New Roman" w:eastAsia="黑体" w:cs="Times New Roman"/>
          <w:b w:val="0"/>
          <w:color w:val="auto"/>
          <w:sz w:val="24"/>
          <w:szCs w:val="24"/>
          <w:highlight w:val="none"/>
        </w:rPr>
        <w:t>1.2 语言文字</w:t>
      </w:r>
      <w:bookmarkEnd w:id="447"/>
      <w:bookmarkEnd w:id="448"/>
      <w:bookmarkEnd w:id="449"/>
      <w:bookmarkEnd w:id="450"/>
      <w:bookmarkEnd w:id="451"/>
    </w:p>
    <w:p w14:paraId="4BF196F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除专用术语外，合同使用的语言文字为中文。必要时专用术语应附有中文注释。</w:t>
      </w:r>
    </w:p>
    <w:p w14:paraId="3BEE524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52" w:name="_Toc17380"/>
      <w:bookmarkStart w:id="453" w:name="_Toc234832970"/>
      <w:bookmarkStart w:id="454" w:name="_Toc8637"/>
      <w:bookmarkStart w:id="455" w:name="_Toc317"/>
      <w:bookmarkStart w:id="456" w:name="_Toc13856"/>
      <w:r>
        <w:rPr>
          <w:rFonts w:hint="default" w:ascii="Times New Roman" w:hAnsi="Times New Roman" w:eastAsia="黑体" w:cs="Times New Roman"/>
          <w:b w:val="0"/>
          <w:color w:val="auto"/>
          <w:sz w:val="24"/>
          <w:szCs w:val="24"/>
          <w:highlight w:val="none"/>
        </w:rPr>
        <w:t>1.3 法律</w:t>
      </w:r>
      <w:bookmarkEnd w:id="452"/>
      <w:bookmarkEnd w:id="453"/>
      <w:bookmarkEnd w:id="454"/>
      <w:bookmarkEnd w:id="455"/>
      <w:bookmarkEnd w:id="456"/>
    </w:p>
    <w:p w14:paraId="22852B62">
      <w:pPr>
        <w:pageBreakBefore w:val="0"/>
        <w:tabs>
          <w:tab w:val="left" w:pos="7020"/>
        </w:tabs>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适用于合同的法律包括中华人民共和国法律、行政法规、部门规章，以及工程所在地的地方法规、自治条例、单行条例和地方政府规章。</w:t>
      </w:r>
    </w:p>
    <w:p w14:paraId="0527A54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57" w:name="_Toc3631"/>
      <w:bookmarkStart w:id="458" w:name="_Toc9336"/>
      <w:bookmarkStart w:id="459" w:name="_Toc8196"/>
      <w:bookmarkStart w:id="460" w:name="_Toc234832971"/>
      <w:bookmarkStart w:id="461" w:name="_Toc23484"/>
      <w:r>
        <w:rPr>
          <w:rFonts w:hint="default" w:ascii="Times New Roman" w:hAnsi="Times New Roman" w:eastAsia="黑体" w:cs="Times New Roman"/>
          <w:b w:val="0"/>
          <w:color w:val="auto"/>
          <w:sz w:val="24"/>
          <w:szCs w:val="24"/>
          <w:highlight w:val="none"/>
        </w:rPr>
        <w:t>1.4 合同文件的优先顺序</w:t>
      </w:r>
      <w:bookmarkEnd w:id="457"/>
      <w:bookmarkEnd w:id="458"/>
      <w:bookmarkEnd w:id="459"/>
      <w:bookmarkEnd w:id="460"/>
      <w:bookmarkEnd w:id="461"/>
    </w:p>
    <w:p w14:paraId="79B1260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组成合同的各项文件应互相解释，互为说明。除专用合同条款另有约定外，解释合同文件的优先顺序如下：</w:t>
      </w:r>
    </w:p>
    <w:p w14:paraId="6686AEB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w:t>
      </w:r>
    </w:p>
    <w:p w14:paraId="295A703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63F70AF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2A97E10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（4）专用合同条款；</w:t>
      </w:r>
    </w:p>
    <w:p w14:paraId="02B907F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（5）通用合同条款；</w:t>
      </w:r>
    </w:p>
    <w:p w14:paraId="525C3E0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（6）技术标准和要求；</w:t>
      </w:r>
    </w:p>
    <w:p w14:paraId="1CF87D2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（7）图纸；</w:t>
      </w:r>
    </w:p>
    <w:p w14:paraId="443D33F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（8）已标价工程量清单；</w:t>
      </w:r>
    </w:p>
    <w:p w14:paraId="5F51ABA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（9）其他合同文件。     </w:t>
      </w:r>
    </w:p>
    <w:p w14:paraId="4921D5C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2" w:name="_Toc29563"/>
      <w:bookmarkStart w:id="463" w:name="_Toc234832972"/>
      <w:bookmarkStart w:id="464" w:name="_Toc17423"/>
      <w:bookmarkStart w:id="465" w:name="_Toc7240"/>
      <w:bookmarkStart w:id="466" w:name="_Toc1591"/>
      <w:r>
        <w:rPr>
          <w:rFonts w:hint="default" w:ascii="Times New Roman" w:hAnsi="Times New Roman" w:eastAsia="黑体" w:cs="Times New Roman"/>
          <w:b w:val="0"/>
          <w:color w:val="auto"/>
          <w:sz w:val="24"/>
          <w:szCs w:val="24"/>
          <w:highlight w:val="none"/>
        </w:rPr>
        <w:t>1.5 合同协议书</w:t>
      </w:r>
      <w:bookmarkEnd w:id="462"/>
      <w:bookmarkEnd w:id="463"/>
      <w:bookmarkEnd w:id="464"/>
      <w:bookmarkEnd w:id="465"/>
      <w:bookmarkEnd w:id="466"/>
    </w:p>
    <w:p w14:paraId="2A40A1B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承包人按中标通知书规定的时间与发包人签订合同协议书。除法律另有规定或合同另有约定外，发包人和承包人的法定代表人或其委托代理人在合同协议书上签字并盖单位章后，合同生效。</w:t>
      </w:r>
    </w:p>
    <w:p w14:paraId="2A4E98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7" w:name="_Toc18684"/>
      <w:bookmarkStart w:id="468" w:name="_Toc30819"/>
      <w:bookmarkStart w:id="469" w:name="_Toc234832973"/>
      <w:bookmarkStart w:id="470" w:name="_Toc20779"/>
      <w:bookmarkStart w:id="471" w:name="_Toc24591"/>
      <w:r>
        <w:rPr>
          <w:rFonts w:hint="default" w:ascii="Times New Roman" w:hAnsi="Times New Roman" w:eastAsia="黑体" w:cs="Times New Roman"/>
          <w:b w:val="0"/>
          <w:color w:val="auto"/>
          <w:sz w:val="24"/>
          <w:szCs w:val="24"/>
          <w:highlight w:val="none"/>
        </w:rPr>
        <w:t>1.6 图纸和承包人文件</w:t>
      </w:r>
      <w:bookmarkEnd w:id="467"/>
      <w:bookmarkEnd w:id="468"/>
      <w:bookmarkEnd w:id="469"/>
      <w:bookmarkEnd w:id="470"/>
      <w:bookmarkEnd w:id="471"/>
    </w:p>
    <w:p w14:paraId="595E47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1.6.1 </w:t>
      </w:r>
      <w:r>
        <w:rPr>
          <w:rFonts w:hint="default" w:ascii="Times New Roman" w:hAnsi="Times New Roman" w:eastAsia="黑体" w:cs="Times New Roman"/>
          <w:color w:val="auto"/>
          <w:sz w:val="24"/>
          <w:highlight w:val="none"/>
        </w:rPr>
        <w:t>图纸的提供</w:t>
      </w:r>
    </w:p>
    <w:p w14:paraId="53D8B2A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除专用合同条款另有约定外，图纸应在合理的期限内按照合同约定的数量提供给承包人。由于发包人未按时提供图纸造成工期延误的，按第11.3款的约定办理。</w:t>
      </w:r>
    </w:p>
    <w:p w14:paraId="15E1C57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 xml:space="preserve"> 承包人提供的文件</w:t>
      </w:r>
    </w:p>
    <w:p w14:paraId="7D67D35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按专用合同条款约定由承包人提供的文件，包括部分工程的大样图、加工图等，承包人应按约定的数量和期限报送监理人。监理人应在专用合同条款约定的期限内批复。</w:t>
      </w:r>
    </w:p>
    <w:p w14:paraId="61BBD7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1.6.3 </w:t>
      </w:r>
      <w:r>
        <w:rPr>
          <w:rFonts w:hint="default" w:ascii="Times New Roman" w:hAnsi="Times New Roman" w:eastAsia="黑体" w:cs="Times New Roman"/>
          <w:color w:val="auto"/>
          <w:sz w:val="24"/>
          <w:highlight w:val="none"/>
        </w:rPr>
        <w:t>图纸的修改</w:t>
      </w:r>
    </w:p>
    <w:p w14:paraId="06B1EC9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图纸需要修改和补充的，应由监理人取得发包人同意后，在该工程或工程相应部位施工前的合理期限内签发图纸修改图给承包人，具体签发期限在专用合同条款中约定。承包人应按修改后的图纸施工。</w:t>
      </w:r>
    </w:p>
    <w:p w14:paraId="5F91633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1.6.4 </w:t>
      </w:r>
      <w:r>
        <w:rPr>
          <w:rFonts w:hint="default" w:ascii="Times New Roman" w:hAnsi="Times New Roman" w:eastAsia="黑体" w:cs="Times New Roman"/>
          <w:color w:val="auto"/>
          <w:sz w:val="24"/>
          <w:highlight w:val="none"/>
        </w:rPr>
        <w:t>图纸的错误</w:t>
      </w:r>
    </w:p>
    <w:p w14:paraId="7DD2616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承包人发现发包人提供的图纸存在明显错误或疏忽，应及时通知监理人。</w:t>
      </w:r>
    </w:p>
    <w:p w14:paraId="4A76F24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1.6.5</w:t>
      </w:r>
      <w:r>
        <w:rPr>
          <w:rFonts w:hint="default" w:ascii="Times New Roman" w:hAnsi="Times New Roman" w:eastAsia="黑体" w:cs="Times New Roman"/>
          <w:color w:val="auto"/>
          <w:sz w:val="24"/>
          <w:highlight w:val="none"/>
        </w:rPr>
        <w:t xml:space="preserve"> 图纸和承包人文件的保管</w:t>
      </w:r>
    </w:p>
    <w:p w14:paraId="422F6EE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监理人和承包人均应在施工场地各保存一套完整的包含第1.6.1项、第1.6.2项、第1.6.3项约定内容的图纸和承包人文件。</w:t>
      </w:r>
    </w:p>
    <w:p w14:paraId="2B0690A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72" w:name="_Toc3785"/>
      <w:bookmarkStart w:id="473" w:name="_Toc3784"/>
      <w:bookmarkStart w:id="474" w:name="_Toc25686"/>
      <w:bookmarkStart w:id="475" w:name="_Toc28959"/>
      <w:bookmarkStart w:id="476" w:name="_Toc234832974"/>
      <w:r>
        <w:rPr>
          <w:rFonts w:hint="default" w:ascii="Times New Roman" w:hAnsi="Times New Roman" w:eastAsia="黑体" w:cs="Times New Roman"/>
          <w:b w:val="0"/>
          <w:color w:val="auto"/>
          <w:sz w:val="24"/>
          <w:szCs w:val="24"/>
          <w:highlight w:val="none"/>
        </w:rPr>
        <w:t>1.7 联络</w:t>
      </w:r>
      <w:bookmarkEnd w:id="472"/>
      <w:bookmarkEnd w:id="473"/>
      <w:bookmarkEnd w:id="474"/>
      <w:bookmarkEnd w:id="475"/>
      <w:bookmarkEnd w:id="476"/>
    </w:p>
    <w:p w14:paraId="52118E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 与合同有关的通知、批准、证明、证书、指示、要求、请求、同意、意见、确定和决定等，均应采用书面形式。</w:t>
      </w:r>
    </w:p>
    <w:p w14:paraId="43D3E69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 第1.7.1项中的通知、批准、证明、证书、指示、要求、请求、同意、意见、确定和决定等来往函件，均应在合同约定的期限内送达指定地点和接收人，并办理签收手续。</w:t>
      </w:r>
    </w:p>
    <w:p w14:paraId="12F4050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77" w:name="_Toc8917"/>
      <w:bookmarkStart w:id="478" w:name="_Toc5598"/>
      <w:bookmarkStart w:id="479" w:name="_Toc162"/>
      <w:bookmarkStart w:id="480" w:name="_Toc234832975"/>
      <w:bookmarkStart w:id="481" w:name="_Toc13094"/>
      <w:r>
        <w:rPr>
          <w:rFonts w:hint="default" w:ascii="Times New Roman" w:hAnsi="Times New Roman" w:eastAsia="黑体" w:cs="Times New Roman"/>
          <w:b w:val="0"/>
          <w:color w:val="auto"/>
          <w:sz w:val="24"/>
          <w:szCs w:val="24"/>
          <w:highlight w:val="none"/>
        </w:rPr>
        <w:t>1.8 转让</w:t>
      </w:r>
      <w:bookmarkEnd w:id="477"/>
      <w:bookmarkEnd w:id="478"/>
      <w:bookmarkEnd w:id="479"/>
      <w:bookmarkEnd w:id="480"/>
      <w:bookmarkEnd w:id="481"/>
    </w:p>
    <w:p w14:paraId="5810E1F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除合同另有约定外，未经对方当事人同意，一方当事人不得将合同权利全部或部分转让给第三人，也不得全部或部分转移合同义务。</w:t>
      </w:r>
    </w:p>
    <w:p w14:paraId="03390F6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2" w:name="_Toc6228"/>
      <w:bookmarkStart w:id="483" w:name="_Toc31967"/>
      <w:bookmarkStart w:id="484" w:name="_Toc24262"/>
      <w:bookmarkStart w:id="485" w:name="_Toc234832976"/>
      <w:bookmarkStart w:id="486" w:name="_Toc23791"/>
      <w:r>
        <w:rPr>
          <w:rFonts w:hint="default" w:ascii="Times New Roman" w:hAnsi="Times New Roman" w:eastAsia="黑体" w:cs="Times New Roman"/>
          <w:b w:val="0"/>
          <w:color w:val="auto"/>
          <w:sz w:val="24"/>
          <w:szCs w:val="24"/>
          <w:highlight w:val="none"/>
        </w:rPr>
        <w:t>1.9 严禁贿赂</w:t>
      </w:r>
      <w:bookmarkEnd w:id="482"/>
      <w:bookmarkEnd w:id="483"/>
      <w:bookmarkEnd w:id="484"/>
      <w:bookmarkEnd w:id="485"/>
      <w:bookmarkEnd w:id="486"/>
    </w:p>
    <w:p w14:paraId="50B5E60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合同双方当事人不得以贿赂或变相贿赂的方式，谋取不当利益或损害对方权益。因贿赂造成对方损失的，行为人应赔偿损失，并承担相应的法律责任。</w:t>
      </w:r>
    </w:p>
    <w:p w14:paraId="1F1A2E3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7" w:name="_Toc24319"/>
      <w:bookmarkStart w:id="488" w:name="_Toc28929"/>
      <w:bookmarkStart w:id="489" w:name="_Toc234832977"/>
      <w:bookmarkStart w:id="490" w:name="_Toc1823"/>
      <w:bookmarkStart w:id="491" w:name="_Toc5924"/>
      <w:r>
        <w:rPr>
          <w:rFonts w:hint="default" w:ascii="Times New Roman" w:hAnsi="Times New Roman" w:eastAsia="黑体" w:cs="Times New Roman"/>
          <w:b w:val="0"/>
          <w:color w:val="auto"/>
          <w:sz w:val="24"/>
          <w:szCs w:val="24"/>
          <w:highlight w:val="none"/>
        </w:rPr>
        <w:t>1.10 化石、文物</w:t>
      </w:r>
      <w:bookmarkEnd w:id="487"/>
      <w:bookmarkEnd w:id="488"/>
      <w:bookmarkEnd w:id="489"/>
      <w:bookmarkEnd w:id="490"/>
      <w:bookmarkEnd w:id="491"/>
    </w:p>
    <w:p w14:paraId="1720EFB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1FC4A6D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1.10.2 承包人发现文物后不及时报告或隐瞒不报，致使文物丢失或损坏的，应赔偿损失，并承担相应的法律责任。</w:t>
      </w:r>
    </w:p>
    <w:p w14:paraId="6856879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92" w:name="_Toc24599"/>
      <w:bookmarkStart w:id="493" w:name="_Toc27784"/>
      <w:bookmarkStart w:id="494" w:name="_Toc13641"/>
      <w:bookmarkStart w:id="495" w:name="_Toc7504"/>
      <w:bookmarkStart w:id="496" w:name="_Toc234832978"/>
      <w:r>
        <w:rPr>
          <w:rFonts w:hint="default" w:ascii="Times New Roman" w:hAnsi="Times New Roman" w:eastAsia="黑体" w:cs="Times New Roman"/>
          <w:b w:val="0"/>
          <w:color w:val="auto"/>
          <w:sz w:val="24"/>
          <w:szCs w:val="24"/>
          <w:highlight w:val="none"/>
        </w:rPr>
        <w:t>1.11 专利技术</w:t>
      </w:r>
      <w:bookmarkEnd w:id="492"/>
      <w:bookmarkEnd w:id="493"/>
      <w:bookmarkEnd w:id="494"/>
      <w:bookmarkEnd w:id="495"/>
      <w:bookmarkEnd w:id="496"/>
    </w:p>
    <w:p w14:paraId="3A86707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1.11.1 承包人在使用任何材料、承包人设备、工程设备或采用施工工艺时，因侵犯专利权或其他知识产权所引起的责任，由承包人承担，但由于遵照发包人提供的设计或技术标准和要求引起的除外。</w:t>
      </w:r>
    </w:p>
    <w:p w14:paraId="38ACE0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承包人在投标文件中采用专利技术的，专利技术的使用费包含在投标报价内。</w:t>
      </w:r>
    </w:p>
    <w:p w14:paraId="2168DBD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 承包人的技术秘密和声明需要保密的资料和信息，发包人和监理人不得为合同以外的目的泄露给他人。</w:t>
      </w:r>
    </w:p>
    <w:p w14:paraId="78ACD53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97" w:name="_Toc16391"/>
      <w:bookmarkStart w:id="498" w:name="_Toc963"/>
      <w:bookmarkStart w:id="499" w:name="_Toc234832979"/>
      <w:bookmarkStart w:id="500" w:name="_Toc29843"/>
      <w:bookmarkStart w:id="501" w:name="_Toc2063"/>
      <w:r>
        <w:rPr>
          <w:rFonts w:hint="default" w:ascii="Times New Roman" w:hAnsi="Times New Roman" w:eastAsia="黑体" w:cs="Times New Roman"/>
          <w:b w:val="0"/>
          <w:color w:val="auto"/>
          <w:sz w:val="24"/>
          <w:szCs w:val="24"/>
          <w:highlight w:val="none"/>
        </w:rPr>
        <w:t>1.12 图纸和文件的保密</w:t>
      </w:r>
      <w:bookmarkEnd w:id="497"/>
      <w:bookmarkEnd w:id="498"/>
      <w:bookmarkEnd w:id="499"/>
      <w:bookmarkEnd w:id="500"/>
      <w:bookmarkEnd w:id="501"/>
    </w:p>
    <w:p w14:paraId="6DECE5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 发包人提供的图纸和文件，未经发包人同意，承包人不得为合同以外的目的泄露给他人或公开发表与引用。</w:t>
      </w:r>
    </w:p>
    <w:p w14:paraId="2E2B1A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 承包人提供的文件，未经承包人同意，发包人和监理人不得为合同以外的目的泄露给他人或公开发表与引用。</w:t>
      </w:r>
    </w:p>
    <w:p w14:paraId="7626824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02" w:name="_Toc234832980"/>
      <w:bookmarkStart w:id="503" w:name="_Toc28964"/>
      <w:bookmarkStart w:id="504" w:name="_Toc2725"/>
      <w:bookmarkStart w:id="505" w:name="_Toc1422"/>
      <w:bookmarkStart w:id="506" w:name="_Toc11044"/>
      <w:r>
        <w:rPr>
          <w:rFonts w:hint="default" w:ascii="Times New Roman" w:hAnsi="Times New Roman" w:eastAsia="黑体" w:cs="Times New Roman"/>
          <w:b w:val="0"/>
          <w:color w:val="auto"/>
          <w:sz w:val="28"/>
          <w:szCs w:val="28"/>
          <w:highlight w:val="none"/>
        </w:rPr>
        <w:t>2. 发包人义务</w:t>
      </w:r>
      <w:bookmarkEnd w:id="502"/>
      <w:bookmarkEnd w:id="503"/>
      <w:bookmarkEnd w:id="504"/>
      <w:bookmarkEnd w:id="505"/>
      <w:bookmarkEnd w:id="506"/>
    </w:p>
    <w:p w14:paraId="3BFEE29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07" w:name="_Toc21730"/>
      <w:bookmarkStart w:id="508" w:name="_Toc5651"/>
      <w:bookmarkStart w:id="509" w:name="_Toc25606"/>
      <w:bookmarkStart w:id="510" w:name="_Toc234832981"/>
      <w:bookmarkStart w:id="511" w:name="_Toc9101"/>
      <w:r>
        <w:rPr>
          <w:rFonts w:hint="default" w:ascii="Times New Roman" w:hAnsi="Times New Roman" w:eastAsia="黑体" w:cs="Times New Roman"/>
          <w:b w:val="0"/>
          <w:color w:val="auto"/>
          <w:sz w:val="24"/>
          <w:szCs w:val="24"/>
          <w:highlight w:val="none"/>
        </w:rPr>
        <w:t>2.1 遵守法律</w:t>
      </w:r>
      <w:bookmarkEnd w:id="507"/>
      <w:bookmarkEnd w:id="508"/>
      <w:bookmarkEnd w:id="509"/>
      <w:bookmarkEnd w:id="510"/>
      <w:bookmarkEnd w:id="511"/>
    </w:p>
    <w:p w14:paraId="0466AB7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发包人在履行合同过程中应遵守法律，并保证承包人免于承担因发包人违反法律而引起的任何责任。</w:t>
      </w:r>
    </w:p>
    <w:p w14:paraId="3305A62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12" w:name="_Toc234832982"/>
      <w:bookmarkStart w:id="513" w:name="_Toc31024"/>
      <w:bookmarkStart w:id="514" w:name="_Toc19902"/>
      <w:bookmarkStart w:id="515" w:name="_Toc31599"/>
      <w:bookmarkStart w:id="516" w:name="_Toc21405"/>
      <w:r>
        <w:rPr>
          <w:rFonts w:hint="default" w:ascii="Times New Roman" w:hAnsi="Times New Roman" w:eastAsia="黑体" w:cs="Times New Roman"/>
          <w:b w:val="0"/>
          <w:color w:val="auto"/>
          <w:sz w:val="24"/>
          <w:szCs w:val="24"/>
          <w:highlight w:val="none"/>
        </w:rPr>
        <w:t>2.2 发出开工通知</w:t>
      </w:r>
      <w:bookmarkEnd w:id="512"/>
      <w:bookmarkEnd w:id="513"/>
      <w:bookmarkEnd w:id="514"/>
      <w:bookmarkEnd w:id="515"/>
      <w:bookmarkEnd w:id="516"/>
    </w:p>
    <w:p w14:paraId="6D516D7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发包人应委托监理人按第11.1款的约定向承包人发出开工通知。</w:t>
      </w:r>
    </w:p>
    <w:p w14:paraId="1093D38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17" w:name="_Toc27640"/>
      <w:bookmarkStart w:id="518" w:name="_Toc12076"/>
      <w:bookmarkStart w:id="519" w:name="_Toc234832983"/>
      <w:bookmarkStart w:id="520" w:name="_Toc12327"/>
      <w:bookmarkStart w:id="521" w:name="_Toc17104"/>
      <w:r>
        <w:rPr>
          <w:rFonts w:hint="default" w:ascii="Times New Roman" w:hAnsi="Times New Roman" w:eastAsia="黑体" w:cs="Times New Roman"/>
          <w:b w:val="0"/>
          <w:color w:val="auto"/>
          <w:sz w:val="24"/>
          <w:szCs w:val="24"/>
          <w:highlight w:val="none"/>
        </w:rPr>
        <w:t>2.3 提供施工场地</w:t>
      </w:r>
      <w:bookmarkEnd w:id="517"/>
      <w:bookmarkEnd w:id="518"/>
      <w:bookmarkEnd w:id="519"/>
      <w:bookmarkEnd w:id="520"/>
      <w:bookmarkEnd w:id="521"/>
    </w:p>
    <w:p w14:paraId="04300EF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发包人应按专用合同条款约定向承包人提供施工场地，以及施工场地内地下管线和地下设施等有关资料，并保证资料的真实、准确、完整。</w:t>
      </w:r>
    </w:p>
    <w:p w14:paraId="24262F4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2" w:name="_Toc15886"/>
      <w:bookmarkStart w:id="523" w:name="_Toc12372"/>
      <w:bookmarkStart w:id="524" w:name="_Toc12536"/>
      <w:bookmarkStart w:id="525" w:name="_Toc5430"/>
      <w:bookmarkStart w:id="526" w:name="_Toc234832984"/>
      <w:r>
        <w:rPr>
          <w:rFonts w:hint="default" w:ascii="Times New Roman" w:hAnsi="Times New Roman" w:eastAsia="黑体" w:cs="Times New Roman"/>
          <w:b w:val="0"/>
          <w:color w:val="auto"/>
          <w:sz w:val="24"/>
          <w:szCs w:val="24"/>
          <w:highlight w:val="none"/>
        </w:rPr>
        <w:t>2.4 协助承包人办理证件和批件</w:t>
      </w:r>
      <w:bookmarkEnd w:id="522"/>
      <w:bookmarkEnd w:id="523"/>
      <w:bookmarkEnd w:id="524"/>
      <w:bookmarkEnd w:id="525"/>
      <w:bookmarkEnd w:id="526"/>
    </w:p>
    <w:p w14:paraId="2CF61F4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发包人应协助承包人办理法律规定的有关施工证件和批件。</w:t>
      </w:r>
    </w:p>
    <w:p w14:paraId="0DAD9F6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7" w:name="_Toc234832985"/>
      <w:bookmarkStart w:id="528" w:name="_Toc6781"/>
      <w:bookmarkStart w:id="529" w:name="_Toc22937"/>
      <w:bookmarkStart w:id="530" w:name="_Toc29377"/>
      <w:bookmarkStart w:id="531" w:name="_Toc2840"/>
      <w:r>
        <w:rPr>
          <w:rFonts w:hint="default" w:ascii="Times New Roman" w:hAnsi="Times New Roman" w:eastAsia="黑体" w:cs="Times New Roman"/>
          <w:b w:val="0"/>
          <w:color w:val="auto"/>
          <w:sz w:val="24"/>
          <w:szCs w:val="24"/>
          <w:highlight w:val="none"/>
        </w:rPr>
        <w:t>2.5 组织设计交底</w:t>
      </w:r>
      <w:bookmarkEnd w:id="527"/>
      <w:bookmarkEnd w:id="528"/>
      <w:bookmarkEnd w:id="529"/>
      <w:bookmarkEnd w:id="530"/>
      <w:bookmarkEnd w:id="531"/>
    </w:p>
    <w:p w14:paraId="1264241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发包人应根据合同进度计划，组织设计单位向承包人进行设计交底。</w:t>
      </w:r>
    </w:p>
    <w:p w14:paraId="70C45C3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32" w:name="_Toc15709"/>
      <w:bookmarkStart w:id="533" w:name="_Toc234832986"/>
      <w:bookmarkStart w:id="534" w:name="_Toc32192"/>
      <w:bookmarkStart w:id="535" w:name="_Toc18904"/>
      <w:bookmarkStart w:id="536" w:name="_Toc2788"/>
      <w:r>
        <w:rPr>
          <w:rFonts w:hint="default" w:ascii="Times New Roman" w:hAnsi="Times New Roman" w:eastAsia="黑体" w:cs="Times New Roman"/>
          <w:b w:val="0"/>
          <w:color w:val="auto"/>
          <w:sz w:val="24"/>
          <w:szCs w:val="24"/>
          <w:highlight w:val="none"/>
        </w:rPr>
        <w:t>2.6 支付合同价款</w:t>
      </w:r>
      <w:bookmarkEnd w:id="532"/>
      <w:bookmarkEnd w:id="533"/>
      <w:bookmarkEnd w:id="534"/>
      <w:bookmarkEnd w:id="535"/>
      <w:bookmarkEnd w:id="536"/>
    </w:p>
    <w:p w14:paraId="5AE08D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发包人应按合同约定向承包人及时支付合同价款。</w:t>
      </w:r>
    </w:p>
    <w:p w14:paraId="03EB274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37" w:name="_Toc12390"/>
      <w:bookmarkStart w:id="538" w:name="_Toc9105"/>
      <w:bookmarkStart w:id="539" w:name="_Toc234832987"/>
      <w:bookmarkStart w:id="540" w:name="_Toc8246"/>
      <w:bookmarkStart w:id="541" w:name="_Toc1813"/>
      <w:r>
        <w:rPr>
          <w:rFonts w:hint="default" w:ascii="Times New Roman" w:hAnsi="Times New Roman" w:eastAsia="黑体" w:cs="Times New Roman"/>
          <w:b w:val="0"/>
          <w:color w:val="auto"/>
          <w:sz w:val="24"/>
          <w:szCs w:val="24"/>
          <w:highlight w:val="none"/>
        </w:rPr>
        <w:t>2.7 组织竣工验收</w:t>
      </w:r>
      <w:bookmarkEnd w:id="537"/>
      <w:bookmarkEnd w:id="538"/>
      <w:bookmarkEnd w:id="539"/>
      <w:bookmarkEnd w:id="540"/>
      <w:bookmarkEnd w:id="541"/>
    </w:p>
    <w:p w14:paraId="69B32CE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发包人应按合同约定及时组织竣工验收。</w:t>
      </w:r>
    </w:p>
    <w:p w14:paraId="3DC950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42" w:name="_Toc234832988"/>
      <w:bookmarkStart w:id="543" w:name="_Toc13771"/>
      <w:bookmarkStart w:id="544" w:name="_Toc16971"/>
      <w:bookmarkStart w:id="545" w:name="_Toc4891"/>
      <w:bookmarkStart w:id="546" w:name="_Toc2212"/>
      <w:r>
        <w:rPr>
          <w:rFonts w:hint="default" w:ascii="Times New Roman" w:hAnsi="Times New Roman" w:eastAsia="黑体" w:cs="Times New Roman"/>
          <w:b w:val="0"/>
          <w:color w:val="auto"/>
          <w:sz w:val="24"/>
          <w:szCs w:val="24"/>
          <w:highlight w:val="none"/>
        </w:rPr>
        <w:t>2.8 其他义务</w:t>
      </w:r>
      <w:bookmarkEnd w:id="542"/>
      <w:bookmarkEnd w:id="543"/>
      <w:bookmarkEnd w:id="544"/>
      <w:bookmarkEnd w:id="545"/>
      <w:bookmarkEnd w:id="546"/>
    </w:p>
    <w:p w14:paraId="112CE1B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发包人应履行合同约定的其他义务。</w:t>
      </w:r>
    </w:p>
    <w:p w14:paraId="6306B28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47" w:name="_Toc11915"/>
      <w:bookmarkStart w:id="548" w:name="_Toc22971"/>
      <w:bookmarkStart w:id="549" w:name="_Toc234832989"/>
      <w:bookmarkStart w:id="550" w:name="_Toc5384"/>
      <w:bookmarkStart w:id="551" w:name="_Toc7583"/>
      <w:r>
        <w:rPr>
          <w:rFonts w:hint="default" w:ascii="Times New Roman" w:hAnsi="Times New Roman" w:eastAsia="黑体" w:cs="Times New Roman"/>
          <w:b w:val="0"/>
          <w:color w:val="auto"/>
          <w:sz w:val="28"/>
          <w:szCs w:val="28"/>
          <w:highlight w:val="none"/>
        </w:rPr>
        <w:t>3. 监理人</w:t>
      </w:r>
      <w:bookmarkEnd w:id="547"/>
      <w:bookmarkEnd w:id="548"/>
      <w:bookmarkEnd w:id="549"/>
      <w:bookmarkEnd w:id="550"/>
      <w:bookmarkEnd w:id="551"/>
    </w:p>
    <w:p w14:paraId="2334274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52" w:name="_Toc234832990"/>
      <w:bookmarkStart w:id="553" w:name="_Toc6610"/>
      <w:bookmarkStart w:id="554" w:name="_Toc21643"/>
      <w:bookmarkStart w:id="555" w:name="_Toc16801"/>
      <w:bookmarkStart w:id="556" w:name="_Toc16242"/>
      <w:r>
        <w:rPr>
          <w:rFonts w:hint="default" w:ascii="Times New Roman" w:hAnsi="Times New Roman" w:eastAsia="黑体" w:cs="Times New Roman"/>
          <w:b w:val="0"/>
          <w:color w:val="auto"/>
          <w:sz w:val="24"/>
          <w:szCs w:val="24"/>
          <w:highlight w:val="none"/>
        </w:rPr>
        <w:t>3.1 监理人的职责和权力</w:t>
      </w:r>
      <w:bookmarkEnd w:id="552"/>
      <w:bookmarkEnd w:id="553"/>
      <w:bookmarkEnd w:id="554"/>
      <w:bookmarkEnd w:id="555"/>
      <w:bookmarkEnd w:id="556"/>
      <w:r>
        <w:rPr>
          <w:rFonts w:hint="default" w:ascii="Times New Roman" w:hAnsi="Times New Roman" w:eastAsia="黑体" w:cs="Times New Roman"/>
          <w:b w:val="0"/>
          <w:color w:val="auto"/>
          <w:sz w:val="24"/>
          <w:szCs w:val="24"/>
          <w:highlight w:val="none"/>
        </w:rPr>
        <w:t xml:space="preserve"> </w:t>
      </w:r>
    </w:p>
    <w:p w14:paraId="3BB5A3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3.1.1 监理人受发包人委托，享有合同约定的权力。监理人在行使某项权力前需要经发包人事先批准而通用合同条款没有指明的，应在专用合同条款中指明。</w:t>
      </w:r>
    </w:p>
    <w:p w14:paraId="7F6373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3.1.2 监理人发出的任何指示应视为已得到发包人的批准，但监理人无权免除或变更合同约定的发包人和承包人的权利、义务和责任。</w:t>
      </w:r>
    </w:p>
    <w:p w14:paraId="117C6C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3.1.3 合同约定应由承包人承担的义务和责任，不因监理人对承包人提交文件的审查或批准，对工程、材料和设备的检查和检验，以及为实施监理作出的指示等职务行为而减轻或解除。</w:t>
      </w:r>
    </w:p>
    <w:p w14:paraId="5ABC9F6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57" w:name="_Toc4457"/>
      <w:bookmarkStart w:id="558" w:name="_Toc8512"/>
      <w:bookmarkStart w:id="559" w:name="_Toc2593"/>
      <w:bookmarkStart w:id="560" w:name="_Toc8960"/>
      <w:bookmarkStart w:id="561" w:name="_Toc234832991"/>
      <w:r>
        <w:rPr>
          <w:rFonts w:hint="default" w:ascii="Times New Roman" w:hAnsi="Times New Roman" w:eastAsia="黑体" w:cs="Times New Roman"/>
          <w:b w:val="0"/>
          <w:color w:val="auto"/>
          <w:sz w:val="24"/>
          <w:szCs w:val="24"/>
          <w:highlight w:val="none"/>
        </w:rPr>
        <w:t>3.2 总监理工程师</w:t>
      </w:r>
      <w:bookmarkEnd w:id="557"/>
      <w:bookmarkEnd w:id="558"/>
      <w:bookmarkEnd w:id="559"/>
      <w:bookmarkEnd w:id="560"/>
      <w:bookmarkEnd w:id="561"/>
    </w:p>
    <w:p w14:paraId="0AF1B38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3282010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62" w:name="_Toc234832992"/>
      <w:bookmarkStart w:id="563" w:name="_Toc26577"/>
      <w:bookmarkStart w:id="564" w:name="_Toc25149"/>
      <w:bookmarkStart w:id="565" w:name="_Toc28836"/>
      <w:bookmarkStart w:id="566" w:name="_Toc2208"/>
      <w:r>
        <w:rPr>
          <w:rFonts w:hint="default" w:ascii="Times New Roman" w:hAnsi="Times New Roman" w:eastAsia="黑体" w:cs="Times New Roman"/>
          <w:b w:val="0"/>
          <w:color w:val="auto"/>
          <w:sz w:val="24"/>
          <w:szCs w:val="24"/>
          <w:highlight w:val="none"/>
        </w:rPr>
        <w:t>3.3 监理人员</w:t>
      </w:r>
      <w:bookmarkEnd w:id="562"/>
      <w:bookmarkEnd w:id="563"/>
      <w:bookmarkEnd w:id="564"/>
      <w:bookmarkEnd w:id="565"/>
      <w:bookmarkEnd w:id="566"/>
    </w:p>
    <w:p w14:paraId="03F316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590228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6E9C3EC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3.3.3 承包人对总监理工程师授权的监理人员发出的指示有疑问的，可向总监理工程师提出书面异议，总监理工程师应在48小时内对该指示予以确认、更改或撤销。</w:t>
      </w:r>
    </w:p>
    <w:p w14:paraId="1A3F7B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3.3.4 除专用合同条款另有约定外，总监理工程师不应将第3.5款约定应由总监理工程师作出确定的权力授权或委托给其他监理人员。</w:t>
      </w:r>
    </w:p>
    <w:p w14:paraId="4881757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67" w:name="_Toc12482"/>
      <w:bookmarkStart w:id="568" w:name="_Toc1056"/>
      <w:bookmarkStart w:id="569" w:name="_Toc12190"/>
      <w:bookmarkStart w:id="570" w:name="_Toc234832993"/>
      <w:bookmarkStart w:id="571" w:name="_Toc31668"/>
      <w:r>
        <w:rPr>
          <w:rFonts w:hint="default" w:ascii="Times New Roman" w:hAnsi="Times New Roman" w:eastAsia="黑体" w:cs="Times New Roman"/>
          <w:b w:val="0"/>
          <w:color w:val="auto"/>
          <w:sz w:val="24"/>
          <w:szCs w:val="24"/>
          <w:highlight w:val="none"/>
        </w:rPr>
        <w:t>3.4 监理人的指示</w:t>
      </w:r>
      <w:bookmarkEnd w:id="567"/>
      <w:bookmarkEnd w:id="568"/>
      <w:bookmarkEnd w:id="569"/>
      <w:bookmarkEnd w:id="570"/>
      <w:bookmarkEnd w:id="571"/>
    </w:p>
    <w:p w14:paraId="79DA2DC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3.4.1 监理人应按第3.1款的约定向承包人发出指示，监理人的指示应盖有监理人授权的施工场地机构章，并由总监理工程师或总监理工程师按第3.3.1项约定授权的监理人员签字。</w:t>
      </w:r>
    </w:p>
    <w:p w14:paraId="6FECE6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3.4.2 承包人收到监理人按第3.4.1项作出的指示后应遵照执行。指示构成变更的，应按第15条处理。</w:t>
      </w:r>
    </w:p>
    <w:p w14:paraId="51A02C8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56F906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3.4.4 除合同另有约定外，承包人只从总监理工程师或按第3.3.1项被授权的监理人员处取得指示。</w:t>
      </w:r>
    </w:p>
    <w:p w14:paraId="73CE12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3.4.5 由于监理人未能按合同约定发出指示、指示延误或指示错误而导致承包人费用增加和（或）工期延误的，由发包人承担赔偿责任。 </w:t>
      </w:r>
    </w:p>
    <w:p w14:paraId="6761E72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72" w:name="_Toc9828"/>
      <w:bookmarkStart w:id="573" w:name="_Toc234832994"/>
      <w:bookmarkStart w:id="574" w:name="_Toc13069"/>
      <w:bookmarkStart w:id="575" w:name="_Toc3027"/>
      <w:bookmarkStart w:id="576" w:name="_Toc7716"/>
      <w:r>
        <w:rPr>
          <w:rFonts w:hint="default" w:ascii="Times New Roman" w:hAnsi="Times New Roman" w:eastAsia="黑体" w:cs="Times New Roman"/>
          <w:b w:val="0"/>
          <w:color w:val="auto"/>
          <w:sz w:val="24"/>
          <w:szCs w:val="24"/>
          <w:highlight w:val="none"/>
        </w:rPr>
        <w:t>3.5商定或确定</w:t>
      </w:r>
      <w:bookmarkEnd w:id="572"/>
      <w:bookmarkEnd w:id="573"/>
      <w:bookmarkEnd w:id="574"/>
      <w:bookmarkEnd w:id="575"/>
      <w:bookmarkEnd w:id="576"/>
    </w:p>
    <w:p w14:paraId="74192C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3.5.1合同约定总监理工程师应按照本款对任何事项进行商定或确定时，总监理工程师应与合同当事人协商，尽量达成一致。不能达成一致的，总监理工程师应认真研究后审慎确定。</w:t>
      </w:r>
    </w:p>
    <w:p w14:paraId="0FD722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3.5.2 总监理工程师应将商定或确定的事项通知合同当事人，并附详细依据。对总监理工程师的确定有异议的，</w:t>
      </w:r>
      <w:r>
        <w:rPr>
          <w:rFonts w:hint="default" w:ascii="Times New Roman" w:hAnsi="Times New Roman" w:cs="Times New Roman"/>
          <w:iCs/>
          <w:color w:val="auto"/>
          <w:sz w:val="24"/>
          <w:highlight w:val="none"/>
        </w:rPr>
        <w:t>构成争议，</w:t>
      </w:r>
      <w:r>
        <w:rPr>
          <w:rFonts w:hint="default" w:ascii="Times New Roman" w:hAnsi="Times New Roman" w:cs="Times New Roman"/>
          <w:color w:val="auto"/>
          <w:sz w:val="24"/>
          <w:highlight w:val="none"/>
        </w:rPr>
        <w:t>按照第24条的约定处理。在争议解决前，双方应暂按总监理工程师的确定执行，按照第24条的约定对总监理工程师的确定作出修改的，按修改后的结果执行。</w:t>
      </w:r>
    </w:p>
    <w:p w14:paraId="5855688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77" w:name="_Toc30028"/>
      <w:bookmarkStart w:id="578" w:name="_Toc1630"/>
      <w:bookmarkStart w:id="579" w:name="_Toc6619"/>
      <w:bookmarkStart w:id="580" w:name="_Toc234832995"/>
      <w:bookmarkStart w:id="581" w:name="_Toc9721"/>
      <w:r>
        <w:rPr>
          <w:rFonts w:hint="default" w:ascii="Times New Roman" w:hAnsi="Times New Roman" w:eastAsia="黑体" w:cs="Times New Roman"/>
          <w:b w:val="0"/>
          <w:color w:val="auto"/>
          <w:sz w:val="28"/>
          <w:szCs w:val="28"/>
          <w:highlight w:val="none"/>
        </w:rPr>
        <w:t>4. 承包人</w:t>
      </w:r>
      <w:bookmarkEnd w:id="577"/>
      <w:bookmarkEnd w:id="578"/>
      <w:bookmarkEnd w:id="579"/>
      <w:bookmarkEnd w:id="580"/>
      <w:bookmarkEnd w:id="581"/>
    </w:p>
    <w:p w14:paraId="279110A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82" w:name="_Toc21919"/>
      <w:bookmarkStart w:id="583" w:name="_Toc30908"/>
      <w:bookmarkStart w:id="584" w:name="_Toc25150"/>
      <w:bookmarkStart w:id="585" w:name="_Toc234832996"/>
      <w:bookmarkStart w:id="586" w:name="_Toc20434"/>
      <w:r>
        <w:rPr>
          <w:rFonts w:hint="default" w:ascii="Times New Roman" w:hAnsi="Times New Roman" w:eastAsia="黑体" w:cs="Times New Roman"/>
          <w:b w:val="0"/>
          <w:color w:val="auto"/>
          <w:sz w:val="24"/>
          <w:szCs w:val="24"/>
          <w:highlight w:val="none"/>
        </w:rPr>
        <w:t>4.1 承包人的一般义务</w:t>
      </w:r>
      <w:bookmarkEnd w:id="582"/>
      <w:bookmarkEnd w:id="583"/>
      <w:bookmarkEnd w:id="584"/>
      <w:bookmarkEnd w:id="585"/>
      <w:bookmarkEnd w:id="586"/>
    </w:p>
    <w:p w14:paraId="6F5EEE64">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4.1.1 </w:t>
      </w:r>
      <w:r>
        <w:rPr>
          <w:rFonts w:hint="default" w:ascii="Times New Roman" w:hAnsi="Times New Roman" w:eastAsia="黑体" w:cs="Times New Roman"/>
          <w:color w:val="auto"/>
          <w:sz w:val="24"/>
          <w:highlight w:val="none"/>
        </w:rPr>
        <w:t>遵守法律</w:t>
      </w:r>
    </w:p>
    <w:p w14:paraId="58206EE1">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承包人在履行合同过程中应遵守法律，并保证发包人免于承担因承包人违反法律而引起的任何责任。</w:t>
      </w:r>
    </w:p>
    <w:p w14:paraId="0391DD50">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4.1.2 </w:t>
      </w:r>
      <w:r>
        <w:rPr>
          <w:rFonts w:hint="default" w:ascii="Times New Roman" w:hAnsi="Times New Roman" w:eastAsia="黑体" w:cs="Times New Roman"/>
          <w:color w:val="auto"/>
          <w:sz w:val="24"/>
          <w:highlight w:val="none"/>
        </w:rPr>
        <w:t>依法纳税</w:t>
      </w:r>
    </w:p>
    <w:p w14:paraId="326E2FE9">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承包人应按有关法律规定纳税，应缴纳的税金包括在合同价格内。</w:t>
      </w:r>
    </w:p>
    <w:p w14:paraId="0A1762EB">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4.1.3 </w:t>
      </w:r>
      <w:r>
        <w:rPr>
          <w:rFonts w:hint="default" w:ascii="Times New Roman" w:hAnsi="Times New Roman" w:eastAsia="黑体" w:cs="Times New Roman"/>
          <w:color w:val="auto"/>
          <w:sz w:val="24"/>
          <w:highlight w:val="none"/>
        </w:rPr>
        <w:t>完成各项承包工作</w:t>
      </w:r>
    </w:p>
    <w:p w14:paraId="6B5DBDC1">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5C5BAA9A">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4.1.4 对施工作业和施工方法的完备性负责</w:t>
      </w:r>
    </w:p>
    <w:p w14:paraId="6C536C38">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承包人应按合同约定的工作内容和施工进度要求，编制施工组织设计和施工措施计划，并对所有施工作业和施工方法的完备性和安全可靠性负责。</w:t>
      </w:r>
    </w:p>
    <w:p w14:paraId="27A6BFF8">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4.1.5</w:t>
      </w:r>
      <w:r>
        <w:rPr>
          <w:rFonts w:hint="default" w:ascii="Times New Roman" w:hAnsi="Times New Roman" w:eastAsia="黑体" w:cs="Times New Roman"/>
          <w:color w:val="auto"/>
          <w:sz w:val="24"/>
          <w:highlight w:val="none"/>
        </w:rPr>
        <w:t xml:space="preserve"> 保证工程施工和人员的安全</w:t>
      </w:r>
    </w:p>
    <w:p w14:paraId="0F8BF416">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承包人应按第9.2款约定采取施工安全措施，确保工程及其人员、材料、设备和设施的安全，防止因工程施工造成的人身伤害和财产损失。</w:t>
      </w:r>
    </w:p>
    <w:p w14:paraId="6FF083E3">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4.1.6 </w:t>
      </w:r>
      <w:r>
        <w:rPr>
          <w:rFonts w:hint="default" w:ascii="Times New Roman" w:hAnsi="Times New Roman" w:eastAsia="黑体" w:cs="Times New Roman"/>
          <w:color w:val="auto"/>
          <w:sz w:val="24"/>
          <w:highlight w:val="none"/>
        </w:rPr>
        <w:t>负责施工场地及其周边环境与生态的保护工作</w:t>
      </w:r>
    </w:p>
    <w:p w14:paraId="2EDFCA3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承包人应按照第9.4款约定负责施工场地及其周边环境与生态的保护工作。</w:t>
      </w:r>
    </w:p>
    <w:p w14:paraId="1027A143">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4.1.7 </w:t>
      </w:r>
      <w:r>
        <w:rPr>
          <w:rFonts w:hint="default" w:ascii="Times New Roman" w:hAnsi="Times New Roman" w:eastAsia="黑体" w:cs="Times New Roman"/>
          <w:color w:val="auto"/>
          <w:sz w:val="24"/>
          <w:highlight w:val="none"/>
        </w:rPr>
        <w:t>避免施工对公众与他人的利益造成损害</w:t>
      </w:r>
    </w:p>
    <w:p w14:paraId="0806FF0A">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C87382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4.1.8 </w:t>
      </w:r>
      <w:r>
        <w:rPr>
          <w:rFonts w:hint="default" w:ascii="Times New Roman" w:hAnsi="Times New Roman" w:eastAsia="黑体" w:cs="Times New Roman"/>
          <w:color w:val="auto"/>
          <w:sz w:val="24"/>
          <w:highlight w:val="none"/>
        </w:rPr>
        <w:t>为他人提供方便</w:t>
      </w:r>
    </w:p>
    <w:p w14:paraId="03F8280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0DC2C911">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4.1.9 </w:t>
      </w:r>
      <w:r>
        <w:rPr>
          <w:rFonts w:hint="default" w:ascii="Times New Roman" w:hAnsi="Times New Roman" w:eastAsia="黑体" w:cs="Times New Roman"/>
          <w:color w:val="auto"/>
          <w:sz w:val="24"/>
          <w:highlight w:val="none"/>
        </w:rPr>
        <w:t>工程的维护和照管</w:t>
      </w:r>
    </w:p>
    <w:p w14:paraId="3FC8AE85">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工程接收证书颁发前，承包人应负责照管和维护工程。工程接收证书颁发时尚有部分未竣工工程的，承包人还应负责该未竣工工程的照管和维护工作，直至竣工后移交给发包人为止。</w:t>
      </w:r>
    </w:p>
    <w:p w14:paraId="726177C9">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352C1447">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承包人应履行合同约定的其他义务。</w:t>
      </w:r>
    </w:p>
    <w:p w14:paraId="361EC2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87" w:name="_Toc3711"/>
      <w:bookmarkStart w:id="588" w:name="_Toc234832997"/>
      <w:bookmarkStart w:id="589" w:name="_Toc30774"/>
      <w:bookmarkStart w:id="590" w:name="_Toc15934"/>
      <w:bookmarkStart w:id="591" w:name="_Toc11867"/>
      <w:r>
        <w:rPr>
          <w:rFonts w:hint="default" w:ascii="Times New Roman" w:hAnsi="Times New Roman" w:eastAsia="黑体" w:cs="Times New Roman"/>
          <w:b w:val="0"/>
          <w:color w:val="auto"/>
          <w:sz w:val="24"/>
          <w:szCs w:val="24"/>
          <w:highlight w:val="none"/>
        </w:rPr>
        <w:t>4.2 履约担保</w:t>
      </w:r>
      <w:bookmarkEnd w:id="587"/>
      <w:bookmarkEnd w:id="588"/>
      <w:bookmarkEnd w:id="589"/>
      <w:bookmarkEnd w:id="590"/>
      <w:bookmarkEnd w:id="591"/>
    </w:p>
    <w:p w14:paraId="34C613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承包人应保证其履约担保在发包人颁发工程接收证书前一直有效。发包人应在工程接收证书颁发后28天内把履约担保退还给承包人。</w:t>
      </w:r>
    </w:p>
    <w:p w14:paraId="68F231E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92" w:name="_Toc17914"/>
      <w:bookmarkStart w:id="593" w:name="_Toc234832998"/>
      <w:bookmarkStart w:id="594" w:name="_Toc24336"/>
      <w:bookmarkStart w:id="595" w:name="_Toc1459"/>
      <w:bookmarkStart w:id="596" w:name="_Toc3877"/>
      <w:r>
        <w:rPr>
          <w:rFonts w:hint="default" w:ascii="Times New Roman" w:hAnsi="Times New Roman" w:eastAsia="黑体" w:cs="Times New Roman"/>
          <w:b w:val="0"/>
          <w:color w:val="auto"/>
          <w:sz w:val="24"/>
          <w:szCs w:val="24"/>
          <w:highlight w:val="none"/>
        </w:rPr>
        <w:t>4.3 分包</w:t>
      </w:r>
      <w:bookmarkEnd w:id="592"/>
      <w:bookmarkEnd w:id="593"/>
      <w:bookmarkEnd w:id="594"/>
      <w:bookmarkEnd w:id="595"/>
      <w:bookmarkEnd w:id="596"/>
    </w:p>
    <w:p w14:paraId="14B33B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4.3.1 承包人不得将其承包的全部工程转包给第三人，或将其承包的全部工程肢解后以分包的名义转包给第三人。</w:t>
      </w:r>
    </w:p>
    <w:p w14:paraId="27071CF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 承包人不得将工程主体、关键性工作分包给第三人。除专用合同条款另有约定外，未经发包人同意，承包人不得将工程的其他部分或工作分包给第三人。</w:t>
      </w:r>
    </w:p>
    <w:p w14:paraId="0740145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4.3.3分包人的资格能力应与其分包工程的标准和规模相适应。</w:t>
      </w:r>
    </w:p>
    <w:p w14:paraId="13FA64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4.3.4按投标函附录约定分包工程的，承包人应向发包人和监理人提交分包合同副本。</w:t>
      </w:r>
    </w:p>
    <w:p w14:paraId="4160CD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4.3.5承包人应与分包人就分包工程向发包人承担连带责任。</w:t>
      </w:r>
    </w:p>
    <w:p w14:paraId="10C7191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97" w:name="_Toc4870"/>
      <w:bookmarkStart w:id="598" w:name="_Toc3204"/>
      <w:bookmarkStart w:id="599" w:name="_Toc234832999"/>
      <w:bookmarkStart w:id="600" w:name="_Toc32164"/>
      <w:bookmarkStart w:id="601" w:name="_Toc16004"/>
      <w:r>
        <w:rPr>
          <w:rFonts w:hint="default" w:ascii="Times New Roman" w:hAnsi="Times New Roman" w:eastAsia="黑体" w:cs="Times New Roman"/>
          <w:b w:val="0"/>
          <w:color w:val="auto"/>
          <w:sz w:val="24"/>
          <w:szCs w:val="24"/>
          <w:highlight w:val="none"/>
        </w:rPr>
        <w:t>4.4联合体</w:t>
      </w:r>
      <w:bookmarkEnd w:id="597"/>
      <w:bookmarkEnd w:id="598"/>
      <w:bookmarkEnd w:id="599"/>
      <w:bookmarkEnd w:id="600"/>
      <w:bookmarkEnd w:id="601"/>
    </w:p>
    <w:p w14:paraId="0BA3B4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4.4.1 联合体各方应共同与发包人签订合同协议书。联合体各方应为履行合同承担连带责任。</w:t>
      </w:r>
    </w:p>
    <w:p w14:paraId="63AD91D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4.4.2 </w:t>
      </w:r>
      <w:r>
        <w:rPr>
          <w:rFonts w:hint="default" w:ascii="Times New Roman" w:hAnsi="Times New Roman" w:cs="Times New Roman"/>
          <w:iCs/>
          <w:color w:val="auto"/>
          <w:sz w:val="24"/>
          <w:highlight w:val="none"/>
        </w:rPr>
        <w:t>联合体协议经发包人确认后作为合同附件。</w:t>
      </w:r>
      <w:r>
        <w:rPr>
          <w:rFonts w:hint="default" w:ascii="Times New Roman" w:hAnsi="Times New Roman" w:cs="Times New Roman"/>
          <w:color w:val="auto"/>
          <w:sz w:val="24"/>
          <w:highlight w:val="none"/>
        </w:rPr>
        <w:t>在履行合同过程中，未经发包人同意，不得修改联合体协议。</w:t>
      </w:r>
    </w:p>
    <w:p w14:paraId="4709DAD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4.4.3 联合体牵头人负责与发包人和监理人联系，并接受指示，负责组织联合体各成员全面履行合同。</w:t>
      </w:r>
    </w:p>
    <w:p w14:paraId="1555858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02" w:name="_Toc29702"/>
      <w:bookmarkStart w:id="603" w:name="_Toc30493"/>
      <w:bookmarkStart w:id="604" w:name="_Toc234833000"/>
      <w:bookmarkStart w:id="605" w:name="_Toc19688"/>
      <w:bookmarkStart w:id="606" w:name="_Toc25555"/>
      <w:r>
        <w:rPr>
          <w:rFonts w:hint="default" w:ascii="Times New Roman" w:hAnsi="Times New Roman" w:eastAsia="黑体" w:cs="Times New Roman"/>
          <w:b w:val="0"/>
          <w:color w:val="auto"/>
          <w:sz w:val="24"/>
          <w:szCs w:val="24"/>
          <w:highlight w:val="none"/>
        </w:rPr>
        <w:t>4.5 承包人项目经理</w:t>
      </w:r>
      <w:bookmarkEnd w:id="602"/>
      <w:bookmarkEnd w:id="603"/>
      <w:bookmarkEnd w:id="604"/>
      <w:bookmarkEnd w:id="605"/>
      <w:bookmarkEnd w:id="606"/>
    </w:p>
    <w:p w14:paraId="2A878DF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45FED7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30D55D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4.5.3承包人为履行合同发出的一切函件均应盖有承包人授权的施工场地管理机构章，并由承包人项目经理或其授权代表签字。</w:t>
      </w:r>
    </w:p>
    <w:p w14:paraId="1F1E586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4.5.4 承包人项目经理可以授权其下属人员履行其某项职责，但事先应将这些人员的姓名和授权范围通知监理人。</w:t>
      </w:r>
    </w:p>
    <w:p w14:paraId="68168DE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07" w:name="_Toc30705"/>
      <w:bookmarkStart w:id="608" w:name="_Toc1378"/>
      <w:bookmarkStart w:id="609" w:name="_Toc32486"/>
      <w:bookmarkStart w:id="610" w:name="_Toc234833001"/>
      <w:bookmarkStart w:id="611" w:name="_Toc23442"/>
      <w:r>
        <w:rPr>
          <w:rFonts w:hint="default" w:ascii="Times New Roman" w:hAnsi="Times New Roman" w:eastAsia="黑体" w:cs="Times New Roman"/>
          <w:b w:val="0"/>
          <w:color w:val="auto"/>
          <w:sz w:val="24"/>
          <w:szCs w:val="24"/>
          <w:highlight w:val="none"/>
        </w:rPr>
        <w:t>4.6 承包人人员的管理</w:t>
      </w:r>
      <w:bookmarkEnd w:id="607"/>
      <w:bookmarkEnd w:id="608"/>
      <w:bookmarkEnd w:id="609"/>
      <w:bookmarkEnd w:id="610"/>
      <w:bookmarkEnd w:id="611"/>
    </w:p>
    <w:p w14:paraId="525D86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1E7298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4.6.2 为完成合同约定的各项工作，承包人应向施工场地派遣或雇佣足够数量的下列人员：</w:t>
      </w:r>
    </w:p>
    <w:p w14:paraId="2BFE101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（1）具有相应资格的专业技工和合格的普工；</w:t>
      </w:r>
    </w:p>
    <w:p w14:paraId="21D1942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（2）具有相应施工经验的技术人员；</w:t>
      </w:r>
    </w:p>
    <w:p w14:paraId="1F13151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（3）具有相应岗位资格的各级管理人员。</w:t>
      </w:r>
    </w:p>
    <w:p w14:paraId="0E4BB6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4.6.3 承包人安排在施工场地的主要管理人员和技术骨干应相对稳定。承包人更换主要管理人员和技术骨干时，应取得监理人的同意。</w:t>
      </w:r>
    </w:p>
    <w:p w14:paraId="1819CA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4.6.4 特殊岗位的工作人员均应持有相应的资格证明，监理人有权随时检查。监理人认为有必要时，可进行现场考核。</w:t>
      </w:r>
    </w:p>
    <w:p w14:paraId="7FFA3B5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12" w:name="_Toc234833002"/>
      <w:bookmarkStart w:id="613" w:name="_Toc16860"/>
      <w:bookmarkStart w:id="614" w:name="_Toc25941"/>
      <w:bookmarkStart w:id="615" w:name="_Toc29162"/>
      <w:bookmarkStart w:id="616" w:name="_Toc19924"/>
      <w:r>
        <w:rPr>
          <w:rFonts w:hint="default" w:ascii="Times New Roman" w:hAnsi="Times New Roman" w:eastAsia="黑体" w:cs="Times New Roman"/>
          <w:b w:val="0"/>
          <w:color w:val="auto"/>
          <w:sz w:val="24"/>
          <w:szCs w:val="24"/>
          <w:highlight w:val="none"/>
        </w:rPr>
        <w:t>4.7 撤换承包人项目经理和其他人员</w:t>
      </w:r>
      <w:bookmarkEnd w:id="612"/>
      <w:bookmarkEnd w:id="613"/>
      <w:bookmarkEnd w:id="614"/>
      <w:bookmarkEnd w:id="615"/>
      <w:bookmarkEnd w:id="616"/>
    </w:p>
    <w:p w14:paraId="6892B5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w:t>
      </w:r>
    </w:p>
    <w:p w14:paraId="539D5C7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17" w:name="_Toc5844"/>
      <w:bookmarkStart w:id="618" w:name="_Toc234833003"/>
      <w:bookmarkStart w:id="619" w:name="_Toc514"/>
      <w:bookmarkStart w:id="620" w:name="_Toc2159"/>
      <w:bookmarkStart w:id="621" w:name="_Toc9913"/>
      <w:r>
        <w:rPr>
          <w:rFonts w:hint="default" w:ascii="Times New Roman" w:hAnsi="Times New Roman" w:eastAsia="黑体" w:cs="Times New Roman"/>
          <w:b w:val="0"/>
          <w:color w:val="auto"/>
          <w:sz w:val="24"/>
          <w:szCs w:val="24"/>
          <w:highlight w:val="none"/>
        </w:rPr>
        <w:t>4.8 保障承包人人员的合法权益</w:t>
      </w:r>
      <w:bookmarkEnd w:id="617"/>
      <w:bookmarkEnd w:id="618"/>
      <w:bookmarkEnd w:id="619"/>
      <w:bookmarkEnd w:id="620"/>
      <w:bookmarkEnd w:id="621"/>
    </w:p>
    <w:p w14:paraId="2B67AB9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4.8.1 承包人应与其雇佣的人员签订劳动合同，并按时发放工资。</w:t>
      </w:r>
    </w:p>
    <w:p w14:paraId="1C9F9D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40F2F7F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4.8.3 承包人应为其雇佣人员提供必要的食宿条件，以及符合环境保护和卫生要求的生活环境，在远离城镇的施工场地，还应配备必要的伤病防治和急救的医务人员与医疗设施。</w:t>
      </w:r>
    </w:p>
    <w:p w14:paraId="65101A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69E1FA1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4.8.5 承包人应按有关法律规定和合同约定，为其雇佣人员办理保险。</w:t>
      </w:r>
    </w:p>
    <w:p w14:paraId="36AC4F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4.8.6 承包人应负责处理其雇佣人员因工伤亡事故的善后事宜。</w:t>
      </w:r>
    </w:p>
    <w:p w14:paraId="2F89EB5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22" w:name="_Toc5051"/>
      <w:bookmarkStart w:id="623" w:name="_Toc29044"/>
      <w:bookmarkStart w:id="624" w:name="_Toc1107"/>
      <w:bookmarkStart w:id="625" w:name="_Toc27171"/>
      <w:bookmarkStart w:id="626" w:name="_Toc234833004"/>
      <w:r>
        <w:rPr>
          <w:rFonts w:hint="default" w:ascii="Times New Roman" w:hAnsi="Times New Roman" w:eastAsia="黑体" w:cs="Times New Roman"/>
          <w:b w:val="0"/>
          <w:color w:val="auto"/>
          <w:sz w:val="24"/>
          <w:szCs w:val="24"/>
          <w:highlight w:val="none"/>
        </w:rPr>
        <w:t>4.9 工程价款应专款专用</w:t>
      </w:r>
      <w:bookmarkEnd w:id="622"/>
      <w:bookmarkEnd w:id="623"/>
      <w:bookmarkEnd w:id="624"/>
      <w:bookmarkEnd w:id="625"/>
      <w:bookmarkEnd w:id="626"/>
    </w:p>
    <w:p w14:paraId="4AA3043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发包人按合同约定支付给承包人的各项价款应专用于合同工程。</w:t>
      </w:r>
    </w:p>
    <w:p w14:paraId="7859175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27" w:name="_Toc9152"/>
      <w:bookmarkStart w:id="628" w:name="_Toc25811"/>
      <w:bookmarkStart w:id="629" w:name="_Toc28976"/>
      <w:bookmarkStart w:id="630" w:name="_Toc234833005"/>
      <w:bookmarkStart w:id="631" w:name="_Toc7089"/>
      <w:r>
        <w:rPr>
          <w:rFonts w:hint="default" w:ascii="Times New Roman" w:hAnsi="Times New Roman" w:eastAsia="黑体" w:cs="Times New Roman"/>
          <w:b w:val="0"/>
          <w:color w:val="auto"/>
          <w:sz w:val="24"/>
          <w:szCs w:val="24"/>
          <w:highlight w:val="none"/>
        </w:rPr>
        <w:t>4.10 承包人现场查勘</w:t>
      </w:r>
      <w:bookmarkEnd w:id="627"/>
      <w:bookmarkEnd w:id="628"/>
      <w:bookmarkEnd w:id="629"/>
      <w:bookmarkEnd w:id="630"/>
      <w:bookmarkEnd w:id="631"/>
      <w:r>
        <w:rPr>
          <w:rFonts w:hint="default" w:ascii="Times New Roman" w:hAnsi="Times New Roman" w:eastAsia="黑体" w:cs="Times New Roman"/>
          <w:b w:val="0"/>
          <w:color w:val="auto"/>
          <w:sz w:val="24"/>
          <w:szCs w:val="24"/>
          <w:highlight w:val="none"/>
        </w:rPr>
        <w:t xml:space="preserve">    </w:t>
      </w:r>
    </w:p>
    <w:p w14:paraId="0AA26E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4.10.1 发包人应将其持有的现场地质勘探资料、水文气象资料提供给承包人，并对其准确性负责。但承包人应对其阅读上述有关资料后所作出的解释和推断负责。</w:t>
      </w:r>
    </w:p>
    <w:p w14:paraId="568C85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739F966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32" w:name="_Toc9021"/>
      <w:bookmarkStart w:id="633" w:name="_Toc22483"/>
      <w:bookmarkStart w:id="634" w:name="_Toc234833006"/>
      <w:bookmarkStart w:id="635" w:name="_Toc13491"/>
      <w:bookmarkStart w:id="636" w:name="_Toc17320"/>
      <w:r>
        <w:rPr>
          <w:rFonts w:hint="default" w:ascii="Times New Roman" w:hAnsi="Times New Roman" w:eastAsia="黑体" w:cs="Times New Roman"/>
          <w:b w:val="0"/>
          <w:color w:val="auto"/>
          <w:sz w:val="24"/>
          <w:szCs w:val="24"/>
          <w:highlight w:val="none"/>
        </w:rPr>
        <w:t>4.11 不利物质条件</w:t>
      </w:r>
      <w:bookmarkEnd w:id="632"/>
      <w:bookmarkEnd w:id="633"/>
      <w:bookmarkEnd w:id="634"/>
      <w:bookmarkEnd w:id="635"/>
      <w:bookmarkEnd w:id="636"/>
    </w:p>
    <w:p w14:paraId="555EC2EA">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4.11.1不利物质条件，除专用合同条款另有约定外，是指承包人在施工场地遇到的不可预见的自然物质条件、非自然的物质障碍和污染物，包括地下和水文条件，但不包括气候条件。</w:t>
      </w:r>
    </w:p>
    <w:p w14:paraId="5D1EAFA9">
      <w:pPr>
        <w:pageBreakBefore w:val="0"/>
        <w:kinsoku/>
        <w:wordWrap w:val="0"/>
        <w:bidi w:val="0"/>
        <w:spacing w:line="400" w:lineRule="atLeast"/>
        <w:ind w:firstLine="42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5427EF0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37" w:name="_Toc17106"/>
      <w:bookmarkStart w:id="638" w:name="_Toc234833007"/>
      <w:bookmarkStart w:id="639" w:name="_Toc4965"/>
      <w:bookmarkStart w:id="640" w:name="_Toc25496"/>
      <w:bookmarkStart w:id="641" w:name="_Toc2987"/>
      <w:r>
        <w:rPr>
          <w:rFonts w:hint="default" w:ascii="Times New Roman" w:hAnsi="Times New Roman" w:eastAsia="黑体" w:cs="Times New Roman"/>
          <w:b w:val="0"/>
          <w:color w:val="auto"/>
          <w:sz w:val="28"/>
          <w:szCs w:val="28"/>
          <w:highlight w:val="none"/>
        </w:rPr>
        <w:t>5. 材料和工程设备</w:t>
      </w:r>
      <w:bookmarkEnd w:id="637"/>
      <w:bookmarkEnd w:id="638"/>
      <w:bookmarkEnd w:id="639"/>
      <w:bookmarkEnd w:id="640"/>
      <w:bookmarkEnd w:id="641"/>
    </w:p>
    <w:p w14:paraId="2694970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42" w:name="_Toc28474"/>
      <w:bookmarkStart w:id="643" w:name="_Toc4914"/>
      <w:bookmarkStart w:id="644" w:name="_Toc20835"/>
      <w:bookmarkStart w:id="645" w:name="_Toc234833008"/>
      <w:bookmarkStart w:id="646" w:name="_Toc17077"/>
      <w:r>
        <w:rPr>
          <w:rFonts w:hint="default" w:ascii="Times New Roman" w:hAnsi="Times New Roman" w:eastAsia="黑体" w:cs="Times New Roman"/>
          <w:b w:val="0"/>
          <w:color w:val="auto"/>
          <w:sz w:val="24"/>
          <w:szCs w:val="24"/>
          <w:highlight w:val="none"/>
        </w:rPr>
        <w:t>5.1 承包人提供的材料和工程设备</w:t>
      </w:r>
      <w:bookmarkEnd w:id="642"/>
      <w:bookmarkEnd w:id="643"/>
      <w:bookmarkEnd w:id="644"/>
      <w:bookmarkEnd w:id="645"/>
      <w:bookmarkEnd w:id="646"/>
    </w:p>
    <w:p w14:paraId="120313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5.1.1 除专用合同条款另有约定外，承包人提供的材料和工程设备均由承包人负责采购、运输和保管。承包人应对其采购的材料和工程设备负责。</w:t>
      </w:r>
    </w:p>
    <w:p w14:paraId="141BC9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5.1.2 承包人应按专用合同条款的约定，将各项材料和工程设备的供货人及品种、规格、数量和供货时间等报送监理人审批。承包人应向监理</w:t>
      </w:r>
      <w:r>
        <w:rPr>
          <w:rFonts w:hint="default" w:ascii="Times New Roman" w:hAnsi="Times New Roman" w:cs="Times New Roman"/>
          <w:iCs/>
          <w:color w:val="auto"/>
          <w:sz w:val="24"/>
          <w:highlight w:val="none"/>
        </w:rPr>
        <w:t>人</w:t>
      </w:r>
      <w:r>
        <w:rPr>
          <w:rFonts w:hint="default" w:ascii="Times New Roman" w:hAnsi="Times New Roman" w:cs="Times New Roman"/>
          <w:color w:val="auto"/>
          <w:sz w:val="24"/>
          <w:highlight w:val="none"/>
        </w:rPr>
        <w:t>提交其负责提供的材料和工程设备的质量证明文件，并满足合同约定的质量标准。</w:t>
      </w:r>
    </w:p>
    <w:p w14:paraId="3E3EFB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0C60718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47" w:name="_Toc1587"/>
      <w:bookmarkStart w:id="648" w:name="_Toc5584"/>
      <w:bookmarkStart w:id="649" w:name="_Toc11854"/>
      <w:bookmarkStart w:id="650" w:name="_Toc17398"/>
      <w:bookmarkStart w:id="651" w:name="_Toc234833009"/>
      <w:r>
        <w:rPr>
          <w:rFonts w:hint="default" w:ascii="Times New Roman" w:hAnsi="Times New Roman" w:eastAsia="黑体" w:cs="Times New Roman"/>
          <w:b w:val="0"/>
          <w:color w:val="auto"/>
          <w:sz w:val="24"/>
          <w:szCs w:val="24"/>
          <w:highlight w:val="none"/>
        </w:rPr>
        <w:t>5.2 发包人提供的材料和工程设备</w:t>
      </w:r>
      <w:bookmarkEnd w:id="647"/>
      <w:bookmarkEnd w:id="648"/>
      <w:bookmarkEnd w:id="649"/>
      <w:bookmarkEnd w:id="650"/>
      <w:bookmarkEnd w:id="651"/>
    </w:p>
    <w:p w14:paraId="13B79FE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5.2.1 发包人提供的材料和工程设备，应在专用合同条款中写明材料和工程设备的名称、规格、数量、价格、交货方式、交货地点和计划交货日期等。</w:t>
      </w:r>
    </w:p>
    <w:p w14:paraId="486429E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5.2.2 承包人应根据合同进度计划的安排，向监理人报送要求发包人交货的日期计划。发包人应按照监理人与合同双方当事人</w:t>
      </w:r>
      <w:r>
        <w:rPr>
          <w:rFonts w:hint="default" w:ascii="Times New Roman" w:hAnsi="Times New Roman" w:cs="Times New Roman"/>
          <w:iCs/>
          <w:color w:val="auto"/>
          <w:sz w:val="24"/>
          <w:highlight w:val="none"/>
        </w:rPr>
        <w:t>商定</w:t>
      </w:r>
      <w:r>
        <w:rPr>
          <w:rFonts w:hint="default" w:ascii="Times New Roman" w:hAnsi="Times New Roman" w:cs="Times New Roman"/>
          <w:color w:val="auto"/>
          <w:sz w:val="24"/>
          <w:highlight w:val="none"/>
        </w:rPr>
        <w:t>的交货日期，向承包人提交材料和工程设备。</w:t>
      </w:r>
    </w:p>
    <w:p w14:paraId="340670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29F363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5.2.4 发包人要求向承包人提前交货的，承包人不得拒绝，但发包人应承担承包人由此增加的费用。 </w:t>
      </w:r>
    </w:p>
    <w:p w14:paraId="02DA23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5.2.5 承包人要求更改交货日期或地点的，应事先报请监理人批准。由于承包人要求更改交货时间或地点所增加的费用和（或）工期延误由承包人承担。 </w:t>
      </w:r>
    </w:p>
    <w:p w14:paraId="66D968B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037959B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52" w:name="_Toc234833010"/>
      <w:bookmarkStart w:id="653" w:name="_Toc16074"/>
      <w:bookmarkStart w:id="654" w:name="_Toc23205"/>
      <w:bookmarkStart w:id="655" w:name="_Toc3308"/>
      <w:bookmarkStart w:id="656" w:name="_Toc32393"/>
      <w:r>
        <w:rPr>
          <w:rFonts w:hint="default" w:ascii="Times New Roman" w:hAnsi="Times New Roman" w:eastAsia="黑体" w:cs="Times New Roman"/>
          <w:b w:val="0"/>
          <w:color w:val="auto"/>
          <w:sz w:val="24"/>
          <w:szCs w:val="24"/>
          <w:highlight w:val="none"/>
        </w:rPr>
        <w:t>5.3 材料和工程设备专用于合同工程</w:t>
      </w:r>
      <w:bookmarkEnd w:id="652"/>
      <w:bookmarkEnd w:id="653"/>
      <w:bookmarkEnd w:id="654"/>
      <w:bookmarkEnd w:id="655"/>
      <w:bookmarkEnd w:id="656"/>
    </w:p>
    <w:p w14:paraId="3323F9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5.3.1运入施工场地的材料、工程设备，包括备品备件、安装专用工器具与随机资料，必须专用于合同工程，未经监理人同意，承包人不得运出施工场地或挪作他用。</w:t>
      </w:r>
    </w:p>
    <w:p w14:paraId="5D9337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13B9A91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57" w:name="_Toc30003"/>
      <w:bookmarkStart w:id="658" w:name="_Toc5084"/>
      <w:bookmarkStart w:id="659" w:name="_Toc16251"/>
      <w:bookmarkStart w:id="660" w:name="_Toc234833011"/>
      <w:bookmarkStart w:id="661" w:name="_Toc25420"/>
      <w:r>
        <w:rPr>
          <w:rFonts w:hint="default" w:ascii="Times New Roman" w:hAnsi="Times New Roman" w:eastAsia="黑体" w:cs="Times New Roman"/>
          <w:b w:val="0"/>
          <w:color w:val="auto"/>
          <w:sz w:val="24"/>
          <w:szCs w:val="24"/>
          <w:highlight w:val="none"/>
        </w:rPr>
        <w:t>5.4 禁止使用不合格的材料和工程设备</w:t>
      </w:r>
      <w:bookmarkEnd w:id="657"/>
      <w:bookmarkEnd w:id="658"/>
      <w:bookmarkEnd w:id="659"/>
      <w:bookmarkEnd w:id="660"/>
      <w:bookmarkEnd w:id="661"/>
      <w:r>
        <w:rPr>
          <w:rFonts w:hint="default" w:ascii="Times New Roman" w:hAnsi="Times New Roman" w:eastAsia="黑体" w:cs="Times New Roman"/>
          <w:b w:val="0"/>
          <w:color w:val="auto"/>
          <w:sz w:val="24"/>
          <w:szCs w:val="24"/>
          <w:highlight w:val="none"/>
        </w:rPr>
        <w:t xml:space="preserve"> </w:t>
      </w:r>
    </w:p>
    <w:p w14:paraId="2C100C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5.4.1 监理人有权拒绝承包人提供的不合格材料或工程设备，并要求承包人立即进行更换。监理人应在更换后再次进行检查和检验，由此增加的费用和（或）工期延误由承包人承担。</w:t>
      </w:r>
    </w:p>
    <w:p w14:paraId="6A7BBD6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5.4.2 监理人发现承包人使用了不合格的材料和工程设备，应即时发出指示要求承包人立即改正，并禁止在工程中继续使用不合格的材料和工程设备。</w:t>
      </w:r>
    </w:p>
    <w:p w14:paraId="1CD9C7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5.4.3 发包人提供的材料或工程设备不符合合同要求的，承包人有权拒绝，并可要求发包人更换，由此增加的费用和（或）工期延误由发包人承担。</w:t>
      </w:r>
    </w:p>
    <w:p w14:paraId="05B890C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62" w:name="_Toc29185"/>
      <w:bookmarkStart w:id="663" w:name="_Toc19538"/>
      <w:bookmarkStart w:id="664" w:name="_Toc17211"/>
      <w:bookmarkStart w:id="665" w:name="_Toc26517"/>
      <w:bookmarkStart w:id="666" w:name="_Toc234833012"/>
      <w:r>
        <w:rPr>
          <w:rFonts w:hint="default" w:ascii="Times New Roman" w:hAnsi="Times New Roman" w:eastAsia="黑体" w:cs="Times New Roman"/>
          <w:b w:val="0"/>
          <w:color w:val="auto"/>
          <w:sz w:val="28"/>
          <w:szCs w:val="28"/>
          <w:highlight w:val="none"/>
        </w:rPr>
        <w:t>6. 施工设备和临时设施</w:t>
      </w:r>
      <w:bookmarkEnd w:id="662"/>
      <w:bookmarkEnd w:id="663"/>
      <w:bookmarkEnd w:id="664"/>
      <w:bookmarkEnd w:id="665"/>
      <w:bookmarkEnd w:id="666"/>
      <w:r>
        <w:rPr>
          <w:rFonts w:hint="default" w:ascii="Times New Roman" w:hAnsi="Times New Roman" w:eastAsia="黑体" w:cs="Times New Roman"/>
          <w:b w:val="0"/>
          <w:color w:val="auto"/>
          <w:sz w:val="28"/>
          <w:szCs w:val="28"/>
          <w:highlight w:val="none"/>
        </w:rPr>
        <w:t xml:space="preserve"> </w:t>
      </w:r>
    </w:p>
    <w:p w14:paraId="76D7846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67" w:name="_Toc11446"/>
      <w:bookmarkStart w:id="668" w:name="_Toc12035"/>
      <w:bookmarkStart w:id="669" w:name="_Toc14244"/>
      <w:bookmarkStart w:id="670" w:name="_Toc4093"/>
      <w:bookmarkStart w:id="671" w:name="_Toc234833013"/>
      <w:r>
        <w:rPr>
          <w:rFonts w:hint="default" w:ascii="Times New Roman" w:hAnsi="Times New Roman" w:eastAsia="黑体" w:cs="Times New Roman"/>
          <w:b w:val="0"/>
          <w:color w:val="auto"/>
          <w:sz w:val="24"/>
          <w:szCs w:val="24"/>
          <w:highlight w:val="none"/>
        </w:rPr>
        <w:t>6.1 承包人提供的施工设备和临时设施</w:t>
      </w:r>
      <w:bookmarkEnd w:id="667"/>
      <w:bookmarkEnd w:id="668"/>
      <w:bookmarkEnd w:id="669"/>
      <w:bookmarkEnd w:id="670"/>
      <w:bookmarkEnd w:id="671"/>
    </w:p>
    <w:p w14:paraId="4B600E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18012A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6.1.2 除专用合同条款另有约定外，承包人应自行承担修建临时设施的费用，需要临时占地的，应由发包人办理申请手续并承担相应费用。</w:t>
      </w:r>
    </w:p>
    <w:p w14:paraId="5A1A860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72" w:name="_Toc4812"/>
      <w:bookmarkStart w:id="673" w:name="_Toc30109"/>
      <w:bookmarkStart w:id="674" w:name="_Toc234833014"/>
      <w:bookmarkStart w:id="675" w:name="_Toc31129"/>
      <w:bookmarkStart w:id="676" w:name="_Toc25302"/>
      <w:r>
        <w:rPr>
          <w:rFonts w:hint="default" w:ascii="Times New Roman" w:hAnsi="Times New Roman" w:eastAsia="黑体" w:cs="Times New Roman"/>
          <w:b w:val="0"/>
          <w:color w:val="auto"/>
          <w:sz w:val="24"/>
          <w:szCs w:val="24"/>
          <w:highlight w:val="none"/>
        </w:rPr>
        <w:t>6.2 发包人提供的施工设备和临时设施</w:t>
      </w:r>
      <w:bookmarkEnd w:id="672"/>
      <w:bookmarkEnd w:id="673"/>
      <w:bookmarkEnd w:id="674"/>
      <w:bookmarkEnd w:id="675"/>
      <w:bookmarkEnd w:id="676"/>
    </w:p>
    <w:p w14:paraId="245D03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发包人提供的施工设备或临时设施在专用合同条款中约定。</w:t>
      </w:r>
    </w:p>
    <w:p w14:paraId="7A0F7DF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77" w:name="_Toc234833015"/>
      <w:bookmarkStart w:id="678" w:name="_Toc1669"/>
      <w:bookmarkStart w:id="679" w:name="_Toc29190"/>
      <w:bookmarkStart w:id="680" w:name="_Toc26083"/>
      <w:bookmarkStart w:id="681" w:name="_Toc7691"/>
      <w:r>
        <w:rPr>
          <w:rFonts w:hint="default" w:ascii="Times New Roman" w:hAnsi="Times New Roman" w:eastAsia="黑体" w:cs="Times New Roman"/>
          <w:b w:val="0"/>
          <w:color w:val="auto"/>
          <w:sz w:val="24"/>
          <w:szCs w:val="24"/>
          <w:highlight w:val="none"/>
        </w:rPr>
        <w:t>6.3 要求承包人增加或更换施工设备</w:t>
      </w:r>
      <w:bookmarkEnd w:id="677"/>
      <w:bookmarkEnd w:id="678"/>
      <w:bookmarkEnd w:id="679"/>
      <w:bookmarkEnd w:id="680"/>
      <w:bookmarkEnd w:id="681"/>
    </w:p>
    <w:p w14:paraId="3174FC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57A89B0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82" w:name="_Toc19683"/>
      <w:bookmarkStart w:id="683" w:name="_Toc234833016"/>
      <w:bookmarkStart w:id="684" w:name="_Toc18996"/>
      <w:bookmarkStart w:id="685" w:name="_Toc13599"/>
      <w:bookmarkStart w:id="686" w:name="_Toc20359"/>
      <w:r>
        <w:rPr>
          <w:rFonts w:hint="default" w:ascii="Times New Roman" w:hAnsi="Times New Roman" w:eastAsia="黑体" w:cs="Times New Roman"/>
          <w:b w:val="0"/>
          <w:color w:val="auto"/>
          <w:sz w:val="24"/>
          <w:szCs w:val="24"/>
          <w:highlight w:val="none"/>
        </w:rPr>
        <w:t>6.4 施工设备和临时设施专用于合同工程</w:t>
      </w:r>
      <w:bookmarkEnd w:id="682"/>
      <w:bookmarkEnd w:id="683"/>
      <w:bookmarkEnd w:id="684"/>
      <w:bookmarkEnd w:id="685"/>
      <w:bookmarkEnd w:id="686"/>
    </w:p>
    <w:p w14:paraId="4AF4938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396BFB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6.4.2 经监理人同意，承包人可根据合同进度计划撤走闲置的施工设备。</w:t>
      </w:r>
    </w:p>
    <w:p w14:paraId="3460F8E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87" w:name="_Toc7239"/>
      <w:bookmarkStart w:id="688" w:name="_Toc18503"/>
      <w:bookmarkStart w:id="689" w:name="_Toc16465"/>
      <w:bookmarkStart w:id="690" w:name="_Toc7342"/>
      <w:bookmarkStart w:id="691" w:name="_Toc234833017"/>
      <w:r>
        <w:rPr>
          <w:rFonts w:hint="default" w:ascii="Times New Roman" w:hAnsi="Times New Roman" w:eastAsia="黑体" w:cs="Times New Roman"/>
          <w:b w:val="0"/>
          <w:color w:val="auto"/>
          <w:sz w:val="28"/>
          <w:szCs w:val="28"/>
          <w:highlight w:val="none"/>
        </w:rPr>
        <w:t>7. 交通运输</w:t>
      </w:r>
      <w:bookmarkEnd w:id="687"/>
      <w:bookmarkEnd w:id="688"/>
      <w:bookmarkEnd w:id="689"/>
      <w:bookmarkEnd w:id="690"/>
      <w:bookmarkEnd w:id="691"/>
      <w:r>
        <w:rPr>
          <w:rFonts w:hint="default" w:ascii="Times New Roman" w:hAnsi="Times New Roman" w:eastAsia="黑体" w:cs="Times New Roman"/>
          <w:b w:val="0"/>
          <w:color w:val="auto"/>
          <w:sz w:val="28"/>
          <w:szCs w:val="28"/>
          <w:highlight w:val="none"/>
        </w:rPr>
        <w:t xml:space="preserve"> </w:t>
      </w:r>
    </w:p>
    <w:p w14:paraId="6F5C8E5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92" w:name="_Toc2798"/>
      <w:bookmarkStart w:id="693" w:name="_Toc234833018"/>
      <w:bookmarkStart w:id="694" w:name="_Toc6489"/>
      <w:bookmarkStart w:id="695" w:name="_Toc26715"/>
      <w:bookmarkStart w:id="696" w:name="_Toc16812"/>
      <w:r>
        <w:rPr>
          <w:rFonts w:hint="default" w:ascii="Times New Roman" w:hAnsi="Times New Roman" w:eastAsia="黑体" w:cs="Times New Roman"/>
          <w:b w:val="0"/>
          <w:color w:val="auto"/>
          <w:sz w:val="24"/>
          <w:szCs w:val="24"/>
          <w:highlight w:val="none"/>
        </w:rPr>
        <w:t>7.1 道路通行权和场外设施</w:t>
      </w:r>
      <w:bookmarkEnd w:id="692"/>
      <w:bookmarkEnd w:id="693"/>
      <w:bookmarkEnd w:id="694"/>
      <w:bookmarkEnd w:id="695"/>
      <w:bookmarkEnd w:id="696"/>
    </w:p>
    <w:p w14:paraId="42C8A552">
      <w:pPr>
        <w:pageBreakBefore w:val="0"/>
        <w:kinsoku/>
        <w:wordWrap w:val="0"/>
        <w:bidi w:val="0"/>
        <w:spacing w:line="400" w:lineRule="atLeast"/>
        <w:ind w:firstLine="420"/>
        <w:rPr>
          <w:rFonts w:hint="default" w:ascii="Times New Roman" w:hAnsi="Times New Roman" w:cs="Times New Roman"/>
          <w:i/>
          <w:color w:val="auto"/>
          <w:sz w:val="24"/>
          <w:highlight w:val="none"/>
        </w:rPr>
      </w:pPr>
      <w:r>
        <w:rPr>
          <w:rFonts w:hint="default" w:ascii="Times New Roman" w:hAnsi="Times New Roman" w:cs="Times New Roman"/>
          <w:color w:val="auto"/>
          <w:sz w:val="24"/>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58E8B09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97" w:name="_Toc9049"/>
      <w:bookmarkStart w:id="698" w:name="_Toc9296"/>
      <w:bookmarkStart w:id="699" w:name="_Toc9056"/>
      <w:bookmarkStart w:id="700" w:name="_Toc18679"/>
      <w:bookmarkStart w:id="701" w:name="_Toc234833019"/>
      <w:r>
        <w:rPr>
          <w:rFonts w:hint="default" w:ascii="Times New Roman" w:hAnsi="Times New Roman" w:eastAsia="黑体" w:cs="Times New Roman"/>
          <w:b w:val="0"/>
          <w:color w:val="auto"/>
          <w:sz w:val="24"/>
          <w:szCs w:val="24"/>
          <w:highlight w:val="none"/>
        </w:rPr>
        <w:t>7.2 场内施工道路</w:t>
      </w:r>
      <w:bookmarkEnd w:id="697"/>
      <w:bookmarkEnd w:id="698"/>
      <w:bookmarkEnd w:id="699"/>
      <w:bookmarkEnd w:id="700"/>
      <w:bookmarkEnd w:id="701"/>
    </w:p>
    <w:p w14:paraId="51C43E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7.2.1 除专用合同条款另有约定外，承包人应负责修建、维修、养护和管理施工所需的临时道路和交通设施，包括维修、养护和管理发包人提供的道路和交通设施，并承担相应费用。</w:t>
      </w:r>
    </w:p>
    <w:p w14:paraId="460C43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7.2.2 除专用合同条款另有约定外，承包人修建的临时道路和交通设施应免费提供发包人和监理人使用。</w:t>
      </w:r>
    </w:p>
    <w:p w14:paraId="5AB8FD3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02" w:name="_Toc16389"/>
      <w:bookmarkStart w:id="703" w:name="_Toc31425"/>
      <w:bookmarkStart w:id="704" w:name="_Toc21208"/>
      <w:bookmarkStart w:id="705" w:name="_Toc19305"/>
      <w:bookmarkStart w:id="706" w:name="_Toc234833020"/>
      <w:r>
        <w:rPr>
          <w:rFonts w:hint="default" w:ascii="Times New Roman" w:hAnsi="Times New Roman" w:eastAsia="黑体" w:cs="Times New Roman"/>
          <w:b w:val="0"/>
          <w:color w:val="auto"/>
          <w:sz w:val="24"/>
          <w:szCs w:val="24"/>
          <w:highlight w:val="none"/>
        </w:rPr>
        <w:t>7.3 场外交通</w:t>
      </w:r>
      <w:bookmarkEnd w:id="702"/>
      <w:bookmarkEnd w:id="703"/>
      <w:bookmarkEnd w:id="704"/>
      <w:bookmarkEnd w:id="705"/>
      <w:bookmarkEnd w:id="706"/>
    </w:p>
    <w:p w14:paraId="15559C1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7.3.1 承包人车辆外出行驶所需的场外公共道路的通行费、养路费和税款等由承包人承担。</w:t>
      </w:r>
    </w:p>
    <w:p w14:paraId="4E02100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7.3.2 承包人应遵守有关交通法规，严格按照道路和桥梁的限制荷重安全行驶，并服从交通管理部门的检查和监督。</w:t>
      </w:r>
    </w:p>
    <w:p w14:paraId="259277B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07" w:name="_Toc29695"/>
      <w:bookmarkStart w:id="708" w:name="_Toc3057"/>
      <w:bookmarkStart w:id="709" w:name="_Toc15125"/>
      <w:bookmarkStart w:id="710" w:name="_Toc16025"/>
      <w:bookmarkStart w:id="711" w:name="_Toc234833021"/>
      <w:r>
        <w:rPr>
          <w:rFonts w:hint="default" w:ascii="Times New Roman" w:hAnsi="Times New Roman" w:eastAsia="黑体" w:cs="Times New Roman"/>
          <w:b w:val="0"/>
          <w:color w:val="auto"/>
          <w:sz w:val="24"/>
          <w:szCs w:val="24"/>
          <w:highlight w:val="none"/>
        </w:rPr>
        <w:t>7.4 超大件和超重件的运输</w:t>
      </w:r>
      <w:bookmarkEnd w:id="707"/>
      <w:bookmarkEnd w:id="708"/>
      <w:bookmarkEnd w:id="709"/>
      <w:bookmarkEnd w:id="710"/>
      <w:bookmarkEnd w:id="711"/>
    </w:p>
    <w:p w14:paraId="0A709C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FAA6870">
      <w:pPr>
        <w:pageBreakBefore w:val="0"/>
        <w:kinsoku/>
        <w:wordWrap w:val="0"/>
        <w:bidi w:val="0"/>
        <w:spacing w:line="400" w:lineRule="atLeast"/>
        <w:rPr>
          <w:rFonts w:hint="default" w:ascii="Times New Roman" w:hAnsi="Times New Roman" w:cs="Times New Roman"/>
          <w:color w:val="auto"/>
          <w:sz w:val="24"/>
          <w:highlight w:val="none"/>
        </w:rPr>
      </w:pPr>
    </w:p>
    <w:p w14:paraId="32245C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12" w:name="_Toc234833022"/>
      <w:bookmarkStart w:id="713" w:name="_Toc30531"/>
      <w:bookmarkStart w:id="714" w:name="_Toc9627"/>
      <w:bookmarkStart w:id="715" w:name="_Toc5290"/>
      <w:bookmarkStart w:id="716" w:name="_Toc340"/>
      <w:r>
        <w:rPr>
          <w:rFonts w:hint="default" w:ascii="Times New Roman" w:hAnsi="Times New Roman" w:eastAsia="黑体" w:cs="Times New Roman"/>
          <w:b w:val="0"/>
          <w:color w:val="auto"/>
          <w:sz w:val="24"/>
          <w:szCs w:val="24"/>
          <w:highlight w:val="none"/>
        </w:rPr>
        <w:t>7.5 道路和桥梁的损坏责任</w:t>
      </w:r>
      <w:bookmarkEnd w:id="712"/>
      <w:bookmarkEnd w:id="713"/>
      <w:bookmarkEnd w:id="714"/>
      <w:bookmarkEnd w:id="715"/>
      <w:bookmarkEnd w:id="716"/>
    </w:p>
    <w:p w14:paraId="3978CDF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因承包人运输造成施工场地内外公共道路和桥梁损坏的，由承包人承担修复损坏的全部费用和可能引起的赔偿。</w:t>
      </w:r>
    </w:p>
    <w:p w14:paraId="35F2D16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17" w:name="_Toc30141"/>
      <w:bookmarkStart w:id="718" w:name="_Toc234833023"/>
      <w:bookmarkStart w:id="719" w:name="_Toc25193"/>
      <w:bookmarkStart w:id="720" w:name="_Toc9650"/>
      <w:bookmarkStart w:id="721" w:name="_Toc23109"/>
      <w:r>
        <w:rPr>
          <w:rFonts w:hint="default" w:ascii="Times New Roman" w:hAnsi="Times New Roman" w:eastAsia="黑体" w:cs="Times New Roman"/>
          <w:b w:val="0"/>
          <w:color w:val="auto"/>
          <w:sz w:val="24"/>
          <w:szCs w:val="24"/>
          <w:highlight w:val="none"/>
        </w:rPr>
        <w:t>7.6 水路和航空运输</w:t>
      </w:r>
      <w:bookmarkEnd w:id="717"/>
      <w:bookmarkEnd w:id="718"/>
      <w:bookmarkEnd w:id="719"/>
      <w:bookmarkEnd w:id="720"/>
      <w:bookmarkEnd w:id="721"/>
    </w:p>
    <w:p w14:paraId="39E4E0D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本条上述各款的内容适用于水路运输和航空运输，其中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道路</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一词的涵义包括河道、航线、船闸、机场、码头、堤防以及水路或航空运输中其他相似结构物；</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车辆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一词的涵义包括船舶和飞机等。 </w:t>
      </w:r>
    </w:p>
    <w:p w14:paraId="1047FB5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22" w:name="_Toc24534"/>
      <w:bookmarkStart w:id="723" w:name="_Toc234833024"/>
      <w:bookmarkStart w:id="724" w:name="_Toc4669"/>
      <w:bookmarkStart w:id="725" w:name="_Toc19372"/>
      <w:bookmarkStart w:id="726" w:name="_Toc20896"/>
      <w:r>
        <w:rPr>
          <w:rFonts w:hint="default" w:ascii="Times New Roman" w:hAnsi="Times New Roman" w:eastAsia="黑体" w:cs="Times New Roman"/>
          <w:b w:val="0"/>
          <w:color w:val="auto"/>
          <w:sz w:val="28"/>
          <w:szCs w:val="28"/>
          <w:highlight w:val="none"/>
        </w:rPr>
        <w:t>8. 测量放线</w:t>
      </w:r>
      <w:bookmarkEnd w:id="722"/>
      <w:bookmarkEnd w:id="723"/>
      <w:bookmarkEnd w:id="724"/>
      <w:bookmarkEnd w:id="725"/>
      <w:bookmarkEnd w:id="726"/>
    </w:p>
    <w:p w14:paraId="4A8BF6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27" w:name="_Toc22172"/>
      <w:bookmarkStart w:id="728" w:name="_Toc9189"/>
      <w:bookmarkStart w:id="729" w:name="_Toc10567"/>
      <w:bookmarkStart w:id="730" w:name="_Toc234833025"/>
      <w:bookmarkStart w:id="731" w:name="_Toc709"/>
      <w:r>
        <w:rPr>
          <w:rFonts w:hint="default" w:ascii="Times New Roman" w:hAnsi="Times New Roman" w:eastAsia="黑体" w:cs="Times New Roman"/>
          <w:b w:val="0"/>
          <w:color w:val="auto"/>
          <w:sz w:val="24"/>
          <w:szCs w:val="24"/>
          <w:highlight w:val="none"/>
        </w:rPr>
        <w:t>8.1 施工控制网</w:t>
      </w:r>
      <w:bookmarkEnd w:id="727"/>
      <w:bookmarkEnd w:id="728"/>
      <w:bookmarkEnd w:id="729"/>
      <w:bookmarkEnd w:id="730"/>
      <w:bookmarkEnd w:id="731"/>
    </w:p>
    <w:p w14:paraId="1BE5AE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65BD8E4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8.1.2承包人应负责管理施工控制网点。施工控制网点丢失或损坏的，承包人应及时修复。承包人应承担施工控制网点的管理与修复费用，并在工程竣工后将施工控制网点移交发包人。</w:t>
      </w:r>
    </w:p>
    <w:p w14:paraId="336BB64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32" w:name="_Toc4204"/>
      <w:bookmarkStart w:id="733" w:name="_Toc23418"/>
      <w:bookmarkStart w:id="734" w:name="_Toc17769"/>
      <w:bookmarkStart w:id="735" w:name="_Toc25309"/>
      <w:bookmarkStart w:id="736" w:name="_Toc234833026"/>
      <w:r>
        <w:rPr>
          <w:rFonts w:hint="default" w:ascii="Times New Roman" w:hAnsi="Times New Roman" w:eastAsia="黑体" w:cs="Times New Roman"/>
          <w:b w:val="0"/>
          <w:color w:val="auto"/>
          <w:sz w:val="24"/>
          <w:szCs w:val="24"/>
          <w:highlight w:val="none"/>
        </w:rPr>
        <w:t>8.2 施工测量</w:t>
      </w:r>
      <w:bookmarkEnd w:id="732"/>
      <w:bookmarkEnd w:id="733"/>
      <w:bookmarkEnd w:id="734"/>
      <w:bookmarkEnd w:id="735"/>
      <w:bookmarkEnd w:id="736"/>
    </w:p>
    <w:p w14:paraId="2ECB024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8.2.1承包人应负责施工过程中的全部施工测量放线工作，并配置合格的人员、仪器、设备和其他物品。</w:t>
      </w:r>
    </w:p>
    <w:p w14:paraId="5354215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8.2.2监理人可以指示承包人进行抽样复测，当复测中发现错误或出现超过合同约定的误差时，承包人应按监理人指示进行修正或补测，并承担相应的复测费用。</w:t>
      </w:r>
    </w:p>
    <w:p w14:paraId="0F5CD1F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37" w:name="_Toc30617"/>
      <w:bookmarkStart w:id="738" w:name="_Toc234833027"/>
      <w:bookmarkStart w:id="739" w:name="_Toc10297"/>
      <w:bookmarkStart w:id="740" w:name="_Toc26654"/>
      <w:bookmarkStart w:id="741" w:name="_Toc27621"/>
      <w:r>
        <w:rPr>
          <w:rFonts w:hint="default" w:ascii="Times New Roman" w:hAnsi="Times New Roman" w:eastAsia="黑体" w:cs="Times New Roman"/>
          <w:b w:val="0"/>
          <w:color w:val="auto"/>
          <w:sz w:val="24"/>
          <w:szCs w:val="24"/>
          <w:highlight w:val="none"/>
        </w:rPr>
        <w:t>8.3 基准资料错误的责任</w:t>
      </w:r>
      <w:bookmarkEnd w:id="737"/>
      <w:bookmarkEnd w:id="738"/>
      <w:bookmarkEnd w:id="739"/>
      <w:bookmarkEnd w:id="740"/>
      <w:bookmarkEnd w:id="741"/>
    </w:p>
    <w:p w14:paraId="6954389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094E1F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42" w:name="_Toc1487"/>
      <w:bookmarkStart w:id="743" w:name="_Toc234833028"/>
      <w:bookmarkStart w:id="744" w:name="_Toc31976"/>
      <w:bookmarkStart w:id="745" w:name="_Toc21794"/>
      <w:bookmarkStart w:id="746" w:name="_Toc15727"/>
      <w:r>
        <w:rPr>
          <w:rFonts w:hint="default" w:ascii="Times New Roman" w:hAnsi="Times New Roman" w:eastAsia="黑体" w:cs="Times New Roman"/>
          <w:b w:val="0"/>
          <w:color w:val="auto"/>
          <w:sz w:val="24"/>
          <w:szCs w:val="24"/>
          <w:highlight w:val="none"/>
        </w:rPr>
        <w:t>8.4 监理人使用施工控制网</w:t>
      </w:r>
      <w:bookmarkEnd w:id="742"/>
      <w:bookmarkEnd w:id="743"/>
      <w:bookmarkEnd w:id="744"/>
      <w:bookmarkEnd w:id="745"/>
      <w:bookmarkEnd w:id="746"/>
    </w:p>
    <w:p w14:paraId="182405F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监理人需要使用施工控制网的，承包人应提供必要的协助，发包人不再为此支付费用。</w:t>
      </w:r>
    </w:p>
    <w:p w14:paraId="2748BE83">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47" w:name="_Toc3624"/>
      <w:bookmarkStart w:id="748" w:name="_Toc24858"/>
      <w:bookmarkStart w:id="749" w:name="_Toc234833029"/>
      <w:bookmarkStart w:id="750" w:name="_Toc19364"/>
      <w:bookmarkStart w:id="751" w:name="_Toc1730"/>
      <w:r>
        <w:rPr>
          <w:rFonts w:hint="default" w:ascii="Times New Roman" w:hAnsi="Times New Roman" w:eastAsia="黑体" w:cs="Times New Roman"/>
          <w:b w:val="0"/>
          <w:color w:val="auto"/>
          <w:sz w:val="28"/>
          <w:szCs w:val="28"/>
          <w:highlight w:val="none"/>
        </w:rPr>
        <w:t>9. 施工安全、治安保卫和环境保护</w:t>
      </w:r>
      <w:bookmarkEnd w:id="747"/>
      <w:bookmarkEnd w:id="748"/>
      <w:bookmarkEnd w:id="749"/>
      <w:bookmarkEnd w:id="750"/>
      <w:bookmarkEnd w:id="751"/>
    </w:p>
    <w:p w14:paraId="417DB60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52" w:name="_Toc234833030"/>
      <w:bookmarkStart w:id="753" w:name="_Toc5314"/>
      <w:bookmarkStart w:id="754" w:name="_Toc8674"/>
      <w:bookmarkStart w:id="755" w:name="_Toc3769"/>
      <w:bookmarkStart w:id="756" w:name="_Toc20223"/>
      <w:r>
        <w:rPr>
          <w:rFonts w:hint="default" w:ascii="Times New Roman" w:hAnsi="Times New Roman" w:eastAsia="黑体" w:cs="Times New Roman"/>
          <w:b w:val="0"/>
          <w:color w:val="auto"/>
          <w:sz w:val="24"/>
          <w:szCs w:val="24"/>
          <w:highlight w:val="none"/>
        </w:rPr>
        <w:t>9.1 发包人的施工安全责任</w:t>
      </w:r>
      <w:bookmarkEnd w:id="752"/>
      <w:bookmarkEnd w:id="753"/>
      <w:bookmarkEnd w:id="754"/>
      <w:bookmarkEnd w:id="755"/>
      <w:bookmarkEnd w:id="756"/>
    </w:p>
    <w:p w14:paraId="00DD29E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9.1.1发包人应按合同约定履行安全职责，授权监理人按合同约定的安全工作内容监督、检查承包人安全工作的实施，组织承包人和有关单位进行安全检查。</w:t>
      </w:r>
    </w:p>
    <w:p w14:paraId="42D9B4B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9.1.2发包人应对其现场机构雇佣的全部人员的工伤事故承担责任，但由于承包人原因造成发包人人员工伤的，应由承包人承担责任。</w:t>
      </w:r>
    </w:p>
    <w:p w14:paraId="1C5D6EB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9.1.3发包人应负责赔偿以下各种情况造成的第三者人身伤亡和财产损失：</w:t>
      </w:r>
    </w:p>
    <w:p w14:paraId="5DBFCB4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（1）工程或工程的任何部分对土地的占用所造成的第三者财产损失；</w:t>
      </w:r>
    </w:p>
    <w:p w14:paraId="60EDF15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（2）由于发包人原因在施工场地及其毗邻地带造成的第三者人身伤亡和财产损失。</w:t>
      </w:r>
    </w:p>
    <w:p w14:paraId="263CEF1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57" w:name="_Toc234833031"/>
      <w:bookmarkStart w:id="758" w:name="_Toc26218"/>
      <w:bookmarkStart w:id="759" w:name="_Toc16709"/>
      <w:bookmarkStart w:id="760" w:name="_Toc3730"/>
      <w:bookmarkStart w:id="761" w:name="_Toc16523"/>
      <w:r>
        <w:rPr>
          <w:rFonts w:hint="default" w:ascii="Times New Roman" w:hAnsi="Times New Roman" w:eastAsia="黑体" w:cs="Times New Roman"/>
          <w:b w:val="0"/>
          <w:color w:val="auto"/>
          <w:sz w:val="24"/>
          <w:szCs w:val="24"/>
          <w:highlight w:val="none"/>
        </w:rPr>
        <w:t>9.2 承包人的施工安全责任</w:t>
      </w:r>
      <w:bookmarkEnd w:id="757"/>
      <w:bookmarkEnd w:id="758"/>
      <w:bookmarkEnd w:id="759"/>
      <w:bookmarkEnd w:id="760"/>
      <w:bookmarkEnd w:id="761"/>
    </w:p>
    <w:p w14:paraId="229DA9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 承包人应按合同约定履行安全职责,执行监理人有关安全工作的指示,并在专用合同条款约定的期限内，按合同约定的安全工作内容，编制施工安全措施计划报送监理人审批。</w:t>
      </w:r>
    </w:p>
    <w:p w14:paraId="606DE2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9.2.2 承包人应加强施工作业安全管理，特别应加强易燃、易爆材料、火工器材、有毒与腐蚀性材料和其他危险品的管理，以及对爆破作业和地下工程施工等危险作业的管理。</w:t>
      </w:r>
    </w:p>
    <w:p w14:paraId="6C1016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9.2.3 承包人应严格按照国家安全标准制定施工安全操作规程，配备必要的安全生产和劳动保护设施，加强对承包人人员的安全教育，并发放安全工作手册和劳动保护用具。</w:t>
      </w:r>
    </w:p>
    <w:p w14:paraId="3C27EF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9.2.4 承包人应按监理人的指示制定应对灾害的紧急预案，报送监理人审批。承包人还应按预案做好安全检查，配置必要的救助物资和器材，切实保护好有关人员的人身和财产安全。</w:t>
      </w:r>
    </w:p>
    <w:p w14:paraId="1F5A1E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3E35AA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9.2.6 承包人应对其履行合同所雇佣的全部人员，包括分包人人员的工伤事故承担责任，但由于发包人原因造成承包人人员工伤事故的，应由发包人承担责任。</w:t>
      </w:r>
    </w:p>
    <w:p w14:paraId="64549F4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9.2.7 由于承包人原因在施工场地内及其毗邻地带造成的第三者人员伤亡和财产损失，由承包人负责赔偿。</w:t>
      </w:r>
    </w:p>
    <w:p w14:paraId="235F075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62" w:name="_Toc234833032"/>
      <w:bookmarkStart w:id="763" w:name="_Toc21586"/>
      <w:bookmarkStart w:id="764" w:name="_Toc24377"/>
      <w:bookmarkStart w:id="765" w:name="_Toc27835"/>
      <w:bookmarkStart w:id="766" w:name="_Toc31111"/>
      <w:r>
        <w:rPr>
          <w:rFonts w:hint="default" w:ascii="Times New Roman" w:hAnsi="Times New Roman" w:eastAsia="黑体" w:cs="Times New Roman"/>
          <w:b w:val="0"/>
          <w:color w:val="auto"/>
          <w:sz w:val="24"/>
          <w:szCs w:val="24"/>
          <w:highlight w:val="none"/>
        </w:rPr>
        <w:t>9.3 治安保卫</w:t>
      </w:r>
      <w:bookmarkEnd w:id="762"/>
      <w:bookmarkEnd w:id="763"/>
      <w:bookmarkEnd w:id="764"/>
      <w:bookmarkEnd w:id="765"/>
      <w:bookmarkEnd w:id="766"/>
    </w:p>
    <w:p w14:paraId="619A70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9.3.1 除合同另有约定外，发包人应与当地公安部门协商，在现场建立治安管理机构或联防组织，统一管理施工场地的治安保卫事项，履行合同工程的治安保卫职责。</w:t>
      </w:r>
    </w:p>
    <w:p w14:paraId="4C93F6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9.3.2 发包人和承包人除应协助现场治安管理机构或联防组织维护施工场地的社会治安外，还应做好包括生活区在内的各自管辖区的治安保卫工作。</w:t>
      </w:r>
    </w:p>
    <w:p w14:paraId="184153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1C1CE46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67" w:name="_Toc269"/>
      <w:bookmarkStart w:id="768" w:name="_Toc30300"/>
      <w:bookmarkStart w:id="769" w:name="_Toc16001"/>
      <w:bookmarkStart w:id="770" w:name="_Toc234833033"/>
      <w:bookmarkStart w:id="771" w:name="_Toc30186"/>
      <w:r>
        <w:rPr>
          <w:rFonts w:hint="default" w:ascii="Times New Roman" w:hAnsi="Times New Roman" w:eastAsia="黑体" w:cs="Times New Roman"/>
          <w:b w:val="0"/>
          <w:color w:val="auto"/>
          <w:sz w:val="24"/>
          <w:szCs w:val="24"/>
          <w:highlight w:val="none"/>
        </w:rPr>
        <w:t>9.4 环境保护</w:t>
      </w:r>
      <w:bookmarkEnd w:id="767"/>
      <w:bookmarkEnd w:id="768"/>
      <w:bookmarkEnd w:id="769"/>
      <w:bookmarkEnd w:id="770"/>
      <w:bookmarkEnd w:id="771"/>
    </w:p>
    <w:p w14:paraId="545C87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 承包人在施工过程中，应遵守有关环境保护的法律，履行合同约定的环境保护义务，并对违反法律和合同约定义务所造成的环境破坏、人身伤害和财产损失负责。</w:t>
      </w:r>
    </w:p>
    <w:p w14:paraId="146FCF0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9.4.2 承包人应按合同约定的环保工作内容，编制施工环保措施计划，报送监理人审批。</w:t>
      </w:r>
    </w:p>
    <w:p w14:paraId="76377A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3E9BE2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9.4.4 承包人应按合同约定采取有效措施，对施工开挖的边坡及时进行支护,维护排水设施，并进行水土保护，避免因施工造成的地质灾害。</w:t>
      </w:r>
    </w:p>
    <w:p w14:paraId="062E26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9.4.5 承包人应按国家饮用水管理标准定期对饮用水源进行监测，防止施工活动污染饮用水源。</w:t>
      </w:r>
    </w:p>
    <w:p w14:paraId="29271A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9.4.6 承包人应按合同约定，加强对噪声、粉尘、废气、废水和废油的控制，努力降低噪声，控制粉尘和废气浓度，做好废水和废油的治理和排放。</w:t>
      </w:r>
    </w:p>
    <w:p w14:paraId="7BBF9C3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72" w:name="_Toc234833034"/>
      <w:bookmarkStart w:id="773" w:name="_Toc26780"/>
      <w:bookmarkStart w:id="774" w:name="_Toc17129"/>
      <w:bookmarkStart w:id="775" w:name="_Toc25938"/>
      <w:bookmarkStart w:id="776" w:name="_Toc5457"/>
      <w:r>
        <w:rPr>
          <w:rFonts w:hint="default" w:ascii="Times New Roman" w:hAnsi="Times New Roman" w:eastAsia="黑体" w:cs="Times New Roman"/>
          <w:b w:val="0"/>
          <w:color w:val="auto"/>
          <w:sz w:val="24"/>
          <w:szCs w:val="24"/>
          <w:highlight w:val="none"/>
        </w:rPr>
        <w:t>9.5 事故处理</w:t>
      </w:r>
      <w:bookmarkEnd w:id="772"/>
      <w:bookmarkEnd w:id="773"/>
      <w:bookmarkEnd w:id="774"/>
      <w:bookmarkEnd w:id="775"/>
      <w:bookmarkEnd w:id="776"/>
    </w:p>
    <w:p w14:paraId="1FF503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8B50426">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77" w:name="_Toc12821"/>
      <w:bookmarkStart w:id="778" w:name="_Toc30729"/>
      <w:bookmarkStart w:id="779" w:name="_Toc32151"/>
      <w:bookmarkStart w:id="780" w:name="_Toc12198"/>
      <w:bookmarkStart w:id="781" w:name="_Toc234833035"/>
      <w:r>
        <w:rPr>
          <w:rFonts w:hint="default" w:ascii="Times New Roman" w:hAnsi="Times New Roman" w:eastAsia="黑体" w:cs="Times New Roman"/>
          <w:b w:val="0"/>
          <w:color w:val="auto"/>
          <w:sz w:val="28"/>
          <w:szCs w:val="28"/>
          <w:highlight w:val="none"/>
        </w:rPr>
        <w:t>10. 进度计划</w:t>
      </w:r>
      <w:bookmarkEnd w:id="777"/>
      <w:bookmarkEnd w:id="778"/>
      <w:bookmarkEnd w:id="779"/>
      <w:bookmarkEnd w:id="780"/>
      <w:bookmarkEnd w:id="781"/>
    </w:p>
    <w:p w14:paraId="6EDB38A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82" w:name="_Toc6712"/>
      <w:bookmarkStart w:id="783" w:name="_Toc24434"/>
      <w:bookmarkStart w:id="784" w:name="_Toc234833036"/>
      <w:bookmarkStart w:id="785" w:name="_Toc9432"/>
      <w:bookmarkStart w:id="786" w:name="_Toc17150"/>
      <w:r>
        <w:rPr>
          <w:rFonts w:hint="default" w:ascii="Times New Roman" w:hAnsi="Times New Roman" w:eastAsia="黑体" w:cs="Times New Roman"/>
          <w:b w:val="0"/>
          <w:color w:val="auto"/>
          <w:sz w:val="24"/>
          <w:szCs w:val="24"/>
          <w:highlight w:val="none"/>
        </w:rPr>
        <w:t>10.1 合同进度计划</w:t>
      </w:r>
      <w:bookmarkEnd w:id="782"/>
      <w:bookmarkEnd w:id="783"/>
      <w:bookmarkEnd w:id="784"/>
      <w:bookmarkEnd w:id="785"/>
      <w:bookmarkEnd w:id="786"/>
    </w:p>
    <w:p w14:paraId="70FF881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4242638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87" w:name="_Toc1091"/>
      <w:bookmarkStart w:id="788" w:name="_Toc15025"/>
      <w:bookmarkStart w:id="789" w:name="_Toc234833037"/>
      <w:bookmarkStart w:id="790" w:name="_Toc23622"/>
      <w:bookmarkStart w:id="791" w:name="_Toc21458"/>
      <w:r>
        <w:rPr>
          <w:rFonts w:hint="default" w:ascii="Times New Roman" w:hAnsi="Times New Roman" w:eastAsia="黑体" w:cs="Times New Roman"/>
          <w:b w:val="0"/>
          <w:color w:val="auto"/>
          <w:sz w:val="24"/>
          <w:szCs w:val="24"/>
          <w:highlight w:val="none"/>
        </w:rPr>
        <w:t>10.2 合同进度计划的修订</w:t>
      </w:r>
      <w:bookmarkEnd w:id="787"/>
      <w:bookmarkEnd w:id="788"/>
      <w:bookmarkEnd w:id="789"/>
      <w:bookmarkEnd w:id="790"/>
      <w:bookmarkEnd w:id="791"/>
    </w:p>
    <w:p w14:paraId="717C7D5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233704B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92" w:name="_Toc234833038"/>
      <w:bookmarkStart w:id="793" w:name="_Toc31278"/>
      <w:bookmarkStart w:id="794" w:name="_Toc15582"/>
      <w:bookmarkStart w:id="795" w:name="_Toc1558"/>
      <w:bookmarkStart w:id="796" w:name="_Toc30089"/>
      <w:r>
        <w:rPr>
          <w:rFonts w:hint="default" w:ascii="Times New Roman" w:hAnsi="Times New Roman" w:eastAsia="黑体" w:cs="Times New Roman"/>
          <w:b w:val="0"/>
          <w:color w:val="auto"/>
          <w:sz w:val="28"/>
          <w:szCs w:val="28"/>
          <w:highlight w:val="none"/>
        </w:rPr>
        <w:t>11. 开工和竣工</w:t>
      </w:r>
      <w:bookmarkEnd w:id="792"/>
      <w:bookmarkEnd w:id="793"/>
      <w:bookmarkEnd w:id="794"/>
      <w:bookmarkEnd w:id="795"/>
      <w:bookmarkEnd w:id="796"/>
    </w:p>
    <w:p w14:paraId="4AC0B3A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97" w:name="_Toc234833039"/>
      <w:bookmarkStart w:id="798" w:name="_Toc20810"/>
      <w:bookmarkStart w:id="799" w:name="_Toc19831"/>
      <w:bookmarkStart w:id="800" w:name="_Toc196"/>
      <w:bookmarkStart w:id="801" w:name="_Toc12994"/>
      <w:r>
        <w:rPr>
          <w:rFonts w:hint="default" w:ascii="Times New Roman" w:hAnsi="Times New Roman" w:eastAsia="黑体" w:cs="Times New Roman"/>
          <w:b w:val="0"/>
          <w:color w:val="auto"/>
          <w:sz w:val="24"/>
          <w:szCs w:val="24"/>
          <w:highlight w:val="none"/>
        </w:rPr>
        <w:t>11.1 开工</w:t>
      </w:r>
      <w:bookmarkEnd w:id="797"/>
      <w:bookmarkEnd w:id="798"/>
      <w:bookmarkEnd w:id="799"/>
      <w:bookmarkEnd w:id="800"/>
      <w:bookmarkEnd w:id="801"/>
    </w:p>
    <w:p w14:paraId="2D335B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2D8947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6E5A9BE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2" w:name="_Toc234833040"/>
      <w:bookmarkStart w:id="803" w:name="_Toc830"/>
      <w:bookmarkStart w:id="804" w:name="_Toc21663"/>
      <w:bookmarkStart w:id="805" w:name="_Toc10996"/>
      <w:bookmarkStart w:id="806" w:name="_Toc9084"/>
      <w:r>
        <w:rPr>
          <w:rFonts w:hint="default" w:ascii="Times New Roman" w:hAnsi="Times New Roman" w:eastAsia="黑体" w:cs="Times New Roman"/>
          <w:b w:val="0"/>
          <w:color w:val="auto"/>
          <w:sz w:val="24"/>
          <w:szCs w:val="24"/>
          <w:highlight w:val="none"/>
        </w:rPr>
        <w:t>11.2竣工</w:t>
      </w:r>
      <w:bookmarkEnd w:id="802"/>
      <w:bookmarkEnd w:id="803"/>
      <w:bookmarkEnd w:id="804"/>
      <w:bookmarkEnd w:id="805"/>
      <w:bookmarkEnd w:id="806"/>
    </w:p>
    <w:p w14:paraId="669933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承包人应在第1.1.4.3目约定的期限内完成合同工程。实际竣工日期在接收证书中写明。</w:t>
      </w:r>
    </w:p>
    <w:p w14:paraId="55C9B25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7" w:name="_Toc234833041"/>
      <w:bookmarkStart w:id="808" w:name="_Toc7100"/>
      <w:bookmarkStart w:id="809" w:name="_Toc27799"/>
      <w:bookmarkStart w:id="810" w:name="_Toc27035"/>
      <w:bookmarkStart w:id="811" w:name="_Toc18689"/>
      <w:r>
        <w:rPr>
          <w:rFonts w:hint="default" w:ascii="Times New Roman" w:hAnsi="Times New Roman" w:eastAsia="黑体" w:cs="Times New Roman"/>
          <w:b w:val="0"/>
          <w:color w:val="auto"/>
          <w:sz w:val="24"/>
          <w:szCs w:val="24"/>
          <w:highlight w:val="none"/>
        </w:rPr>
        <w:t>11.3 发包人的工期延误</w:t>
      </w:r>
      <w:bookmarkEnd w:id="807"/>
      <w:bookmarkEnd w:id="808"/>
      <w:bookmarkEnd w:id="809"/>
      <w:bookmarkEnd w:id="810"/>
      <w:bookmarkEnd w:id="811"/>
    </w:p>
    <w:p w14:paraId="1B238D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在履行合同过程中，由于发包人的下列原因造成工期延误的，承包人有权要求发包人延长工期和（或）增加费用，并支付合理利润。需要修订合同进度计划的，按照第10.2款的约定办理。</w:t>
      </w:r>
    </w:p>
    <w:p w14:paraId="5D19ED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（1）增加合同工作内容;</w:t>
      </w:r>
    </w:p>
    <w:p w14:paraId="1C67A1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（2）改变合同中任何一项工作的质量要求或其他特性；</w:t>
      </w:r>
    </w:p>
    <w:p w14:paraId="7A0608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（3）发包人迟延提供材料、工程设备或变更交货地点的；</w:t>
      </w:r>
    </w:p>
    <w:p w14:paraId="7E63DD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（4）因发包人原因导致的暂停施工；</w:t>
      </w:r>
    </w:p>
    <w:p w14:paraId="252938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（5）提供图纸延误；</w:t>
      </w:r>
    </w:p>
    <w:p w14:paraId="455992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（6）未按合同约定及时支付预付款、进度款；</w:t>
      </w:r>
    </w:p>
    <w:p w14:paraId="184EF8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（7）发包人造成工期延误的其他原因。</w:t>
      </w:r>
    </w:p>
    <w:p w14:paraId="18FE62D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12" w:name="_Toc234833042"/>
      <w:bookmarkStart w:id="813" w:name="_Toc10516"/>
      <w:bookmarkStart w:id="814" w:name="_Toc22343"/>
      <w:bookmarkStart w:id="815" w:name="_Toc21589"/>
      <w:bookmarkStart w:id="816" w:name="_Toc31357"/>
      <w:r>
        <w:rPr>
          <w:rFonts w:hint="default" w:ascii="Times New Roman" w:hAnsi="Times New Roman" w:eastAsia="黑体" w:cs="Times New Roman"/>
          <w:b w:val="0"/>
          <w:color w:val="auto"/>
          <w:sz w:val="24"/>
          <w:szCs w:val="24"/>
          <w:highlight w:val="none"/>
        </w:rPr>
        <w:t>11.4异常恶劣的气候条件</w:t>
      </w:r>
      <w:bookmarkEnd w:id="812"/>
      <w:bookmarkEnd w:id="813"/>
      <w:bookmarkEnd w:id="814"/>
      <w:bookmarkEnd w:id="815"/>
      <w:bookmarkEnd w:id="816"/>
    </w:p>
    <w:p w14:paraId="3CC8741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由于出现专用合同条款约定的异常恶劣气候的条件导致工期延误的，承包人有权要求发包人延长工期。</w:t>
      </w:r>
    </w:p>
    <w:p w14:paraId="6ADF96D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17" w:name="_Toc23628"/>
      <w:bookmarkStart w:id="818" w:name="_Toc27127"/>
      <w:bookmarkStart w:id="819" w:name="_Toc234833043"/>
      <w:bookmarkStart w:id="820" w:name="_Toc29531"/>
      <w:bookmarkStart w:id="821" w:name="_Toc21931"/>
      <w:r>
        <w:rPr>
          <w:rFonts w:hint="default" w:ascii="Times New Roman" w:hAnsi="Times New Roman" w:eastAsia="黑体" w:cs="Times New Roman"/>
          <w:b w:val="0"/>
          <w:color w:val="auto"/>
          <w:sz w:val="24"/>
          <w:szCs w:val="24"/>
          <w:highlight w:val="none"/>
        </w:rPr>
        <w:t>11.5 承包人的工期延误</w:t>
      </w:r>
      <w:bookmarkEnd w:id="817"/>
      <w:bookmarkEnd w:id="818"/>
      <w:bookmarkEnd w:id="819"/>
      <w:bookmarkEnd w:id="820"/>
      <w:bookmarkEnd w:id="821"/>
    </w:p>
    <w:p w14:paraId="2D7232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569829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22" w:name="_Toc18576"/>
      <w:bookmarkStart w:id="823" w:name="_Toc4477"/>
      <w:bookmarkStart w:id="824" w:name="_Toc25703"/>
      <w:bookmarkStart w:id="825" w:name="_Toc16451"/>
      <w:bookmarkStart w:id="826" w:name="_Toc234833044"/>
      <w:r>
        <w:rPr>
          <w:rFonts w:hint="default" w:ascii="Times New Roman" w:hAnsi="Times New Roman" w:eastAsia="黑体" w:cs="Times New Roman"/>
          <w:b w:val="0"/>
          <w:color w:val="auto"/>
          <w:sz w:val="24"/>
          <w:szCs w:val="24"/>
          <w:highlight w:val="none"/>
        </w:rPr>
        <w:t>11.6 工期提前</w:t>
      </w:r>
      <w:bookmarkEnd w:id="822"/>
      <w:bookmarkEnd w:id="823"/>
      <w:bookmarkEnd w:id="824"/>
      <w:bookmarkEnd w:id="825"/>
      <w:bookmarkEnd w:id="826"/>
    </w:p>
    <w:p w14:paraId="7865CBD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0775BA8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27" w:name="_Toc6904"/>
      <w:bookmarkStart w:id="828" w:name="_Toc23679"/>
      <w:bookmarkStart w:id="829" w:name="_Toc234833045"/>
      <w:bookmarkStart w:id="830" w:name="_Toc17617"/>
      <w:bookmarkStart w:id="831" w:name="_Toc29212"/>
      <w:r>
        <w:rPr>
          <w:rFonts w:hint="default" w:ascii="Times New Roman" w:hAnsi="Times New Roman" w:eastAsia="黑体" w:cs="Times New Roman"/>
          <w:b w:val="0"/>
          <w:color w:val="auto"/>
          <w:sz w:val="28"/>
          <w:szCs w:val="28"/>
          <w:highlight w:val="none"/>
        </w:rPr>
        <w:t>12. 暂停施工</w:t>
      </w:r>
      <w:bookmarkEnd w:id="827"/>
      <w:bookmarkEnd w:id="828"/>
      <w:bookmarkEnd w:id="829"/>
      <w:bookmarkEnd w:id="830"/>
      <w:bookmarkEnd w:id="831"/>
    </w:p>
    <w:p w14:paraId="3B254CC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32" w:name="_Toc8685"/>
      <w:bookmarkStart w:id="833" w:name="_Toc234833046"/>
      <w:bookmarkStart w:id="834" w:name="_Toc27"/>
      <w:bookmarkStart w:id="835" w:name="_Toc4704"/>
      <w:bookmarkStart w:id="836" w:name="_Toc18760"/>
      <w:r>
        <w:rPr>
          <w:rFonts w:hint="default" w:ascii="Times New Roman" w:hAnsi="Times New Roman" w:eastAsia="黑体" w:cs="Times New Roman"/>
          <w:b w:val="0"/>
          <w:color w:val="auto"/>
          <w:sz w:val="24"/>
          <w:szCs w:val="24"/>
          <w:highlight w:val="none"/>
        </w:rPr>
        <w:t>12.1 承包人暂停施工的责任</w:t>
      </w:r>
      <w:bookmarkEnd w:id="832"/>
      <w:bookmarkEnd w:id="833"/>
      <w:bookmarkEnd w:id="834"/>
      <w:bookmarkEnd w:id="835"/>
      <w:bookmarkEnd w:id="836"/>
    </w:p>
    <w:p w14:paraId="6D9E7C8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因下列暂停施工增加的费用和（或）工期延误由承包人承担：</w:t>
      </w:r>
    </w:p>
    <w:p w14:paraId="37796B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（1）承包人违约引起的暂停施工；</w:t>
      </w:r>
    </w:p>
    <w:p w14:paraId="251865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（2）由于承包人原因为工程合理施工和安全保障所必需的暂停施工；</w:t>
      </w:r>
    </w:p>
    <w:p w14:paraId="39AB778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（3）承包人擅自暂停施工；</w:t>
      </w:r>
    </w:p>
    <w:p w14:paraId="1AD3CE0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（4）承包人其他原因引起的暂停施工；</w:t>
      </w:r>
    </w:p>
    <w:p w14:paraId="3C6A85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（5）专用合同条款约定由承包人承担的其他暂停施工。</w:t>
      </w:r>
    </w:p>
    <w:p w14:paraId="4FA1AAD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37" w:name="_Toc20625"/>
      <w:bookmarkStart w:id="838" w:name="_Toc29989"/>
      <w:bookmarkStart w:id="839" w:name="_Toc18857"/>
      <w:bookmarkStart w:id="840" w:name="_Toc23726"/>
      <w:bookmarkStart w:id="841" w:name="_Toc234833047"/>
      <w:r>
        <w:rPr>
          <w:rFonts w:hint="default" w:ascii="Times New Roman" w:hAnsi="Times New Roman" w:eastAsia="黑体" w:cs="Times New Roman"/>
          <w:b w:val="0"/>
          <w:color w:val="auto"/>
          <w:sz w:val="24"/>
          <w:szCs w:val="24"/>
          <w:highlight w:val="none"/>
        </w:rPr>
        <w:t>12.2 发包人暂停施工的责任</w:t>
      </w:r>
      <w:bookmarkEnd w:id="837"/>
      <w:bookmarkEnd w:id="838"/>
      <w:bookmarkEnd w:id="839"/>
      <w:bookmarkEnd w:id="840"/>
      <w:bookmarkEnd w:id="841"/>
    </w:p>
    <w:p w14:paraId="5E7D27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由于发包人原因引起的暂停施工造成工期延误的，承包人有权要求发包人延长工期和（或）增加费用，并支付合理利润。</w:t>
      </w:r>
    </w:p>
    <w:p w14:paraId="5489B2B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2" w:name="_Toc4773"/>
      <w:bookmarkStart w:id="843" w:name="_Toc234833048"/>
      <w:bookmarkStart w:id="844" w:name="_Toc18672"/>
      <w:bookmarkStart w:id="845" w:name="_Toc15395"/>
      <w:bookmarkStart w:id="846" w:name="_Toc3772"/>
      <w:r>
        <w:rPr>
          <w:rFonts w:hint="default" w:ascii="Times New Roman" w:hAnsi="Times New Roman" w:eastAsia="黑体" w:cs="Times New Roman"/>
          <w:b w:val="0"/>
          <w:color w:val="auto"/>
          <w:sz w:val="24"/>
          <w:szCs w:val="24"/>
          <w:highlight w:val="none"/>
        </w:rPr>
        <w:t>12.3 监理人暂停施工指示</w:t>
      </w:r>
      <w:bookmarkEnd w:id="842"/>
      <w:bookmarkEnd w:id="843"/>
      <w:bookmarkEnd w:id="844"/>
      <w:bookmarkEnd w:id="845"/>
      <w:bookmarkEnd w:id="846"/>
    </w:p>
    <w:p w14:paraId="299708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27087C3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2F818E5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7" w:name="_Toc9838"/>
      <w:bookmarkStart w:id="848" w:name="_Toc16137"/>
      <w:bookmarkStart w:id="849" w:name="_Toc234833049"/>
      <w:bookmarkStart w:id="850" w:name="_Toc1869"/>
      <w:bookmarkStart w:id="851" w:name="_Toc11081"/>
      <w:r>
        <w:rPr>
          <w:rFonts w:hint="default" w:ascii="Times New Roman" w:hAnsi="Times New Roman" w:eastAsia="黑体" w:cs="Times New Roman"/>
          <w:b w:val="0"/>
          <w:color w:val="auto"/>
          <w:sz w:val="24"/>
          <w:szCs w:val="24"/>
          <w:highlight w:val="none"/>
        </w:rPr>
        <w:t>12.4 暂停施工后的复工</w:t>
      </w:r>
      <w:bookmarkEnd w:id="847"/>
      <w:bookmarkEnd w:id="848"/>
      <w:bookmarkEnd w:id="849"/>
      <w:bookmarkEnd w:id="850"/>
      <w:bookmarkEnd w:id="851"/>
    </w:p>
    <w:p w14:paraId="7650E2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78E8EF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12.4.2承包人无故拖延和拒绝复工的，由此增加的费用和工期延误由承包人承担；因发包人原因无法按时复工的，承包人有权要求发包人延长工期和（或）增加费用，并支付合理利润。</w:t>
      </w:r>
    </w:p>
    <w:p w14:paraId="4E83983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52" w:name="_Toc11816"/>
      <w:bookmarkStart w:id="853" w:name="_Toc23504"/>
      <w:bookmarkStart w:id="854" w:name="_Toc234833050"/>
      <w:bookmarkStart w:id="855" w:name="_Toc4186"/>
      <w:bookmarkStart w:id="856" w:name="_Toc12999"/>
      <w:r>
        <w:rPr>
          <w:rFonts w:hint="default" w:ascii="Times New Roman" w:hAnsi="Times New Roman" w:eastAsia="黑体" w:cs="Times New Roman"/>
          <w:b w:val="0"/>
          <w:color w:val="auto"/>
          <w:sz w:val="24"/>
          <w:szCs w:val="24"/>
          <w:highlight w:val="none"/>
        </w:rPr>
        <w:t>12.5 暂停施工持续56天以上</w:t>
      </w:r>
      <w:bookmarkEnd w:id="852"/>
      <w:bookmarkEnd w:id="853"/>
      <w:bookmarkEnd w:id="854"/>
      <w:bookmarkEnd w:id="855"/>
      <w:bookmarkEnd w:id="856"/>
    </w:p>
    <w:p w14:paraId="6265A8A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约定办理。</w:t>
      </w:r>
    </w:p>
    <w:p w14:paraId="52A54E2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12.5.2由于承包人责任引起的暂停施工，如承包人在收到监理人暂停施工指示后56天内不认真采取有效的复工措施，造成工期延误，可视为承包人违约，应按第22.1款的约定办理。</w:t>
      </w:r>
    </w:p>
    <w:p w14:paraId="67DC23D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57" w:name="_Toc234833051"/>
      <w:bookmarkStart w:id="858" w:name="_Toc11532"/>
      <w:bookmarkStart w:id="859" w:name="_Toc32763"/>
      <w:bookmarkStart w:id="860" w:name="_Toc38"/>
      <w:bookmarkStart w:id="861" w:name="_Toc7813"/>
      <w:r>
        <w:rPr>
          <w:rFonts w:hint="default" w:ascii="Times New Roman" w:hAnsi="Times New Roman" w:eastAsia="黑体" w:cs="Times New Roman"/>
          <w:b w:val="0"/>
          <w:color w:val="auto"/>
          <w:sz w:val="28"/>
          <w:szCs w:val="28"/>
          <w:highlight w:val="none"/>
        </w:rPr>
        <w:t>13. 工程质量</w:t>
      </w:r>
      <w:bookmarkEnd w:id="857"/>
      <w:bookmarkEnd w:id="858"/>
      <w:bookmarkEnd w:id="859"/>
      <w:bookmarkEnd w:id="860"/>
      <w:bookmarkEnd w:id="861"/>
    </w:p>
    <w:p w14:paraId="046958F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62" w:name="_Toc9602"/>
      <w:bookmarkStart w:id="863" w:name="_Toc5217"/>
      <w:bookmarkStart w:id="864" w:name="_Toc9818"/>
      <w:bookmarkStart w:id="865" w:name="_Toc25776"/>
      <w:bookmarkStart w:id="866" w:name="_Toc234833052"/>
      <w:r>
        <w:rPr>
          <w:rFonts w:hint="default" w:ascii="Times New Roman" w:hAnsi="Times New Roman" w:eastAsia="黑体" w:cs="Times New Roman"/>
          <w:b w:val="0"/>
          <w:color w:val="auto"/>
          <w:sz w:val="24"/>
          <w:szCs w:val="24"/>
          <w:highlight w:val="none"/>
        </w:rPr>
        <w:t>13.1 工程质量要求</w:t>
      </w:r>
      <w:bookmarkEnd w:id="862"/>
      <w:bookmarkEnd w:id="863"/>
      <w:bookmarkEnd w:id="864"/>
      <w:bookmarkEnd w:id="865"/>
      <w:bookmarkEnd w:id="866"/>
    </w:p>
    <w:p w14:paraId="50DC21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13.1.1 工程质量验收按合同约定验收标准执行。</w:t>
      </w:r>
    </w:p>
    <w:p w14:paraId="320961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13.1.2 因承包人原因造成工程质量达不到合同约定验收标准的，监理人有权要求承包人返工直至符合合同要求为止，由此造成的费用增加和（或）工期延误由承包人承担。</w:t>
      </w:r>
    </w:p>
    <w:p w14:paraId="3091E75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13.1.3 因发包人原因造成工程质量达不到合同约定验收标准的，发包人应承担由于承包人返工造成的费用增加和（或）工期延误，并支付承包人合理利润。</w:t>
      </w:r>
    </w:p>
    <w:p w14:paraId="4C5E20F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67" w:name="_Toc1504"/>
      <w:bookmarkStart w:id="868" w:name="_Toc234833053"/>
      <w:bookmarkStart w:id="869" w:name="_Toc14900"/>
      <w:bookmarkStart w:id="870" w:name="_Toc20391"/>
      <w:bookmarkStart w:id="871" w:name="_Toc32691"/>
      <w:r>
        <w:rPr>
          <w:rFonts w:hint="default" w:ascii="Times New Roman" w:hAnsi="Times New Roman" w:eastAsia="黑体" w:cs="Times New Roman"/>
          <w:b w:val="0"/>
          <w:color w:val="auto"/>
          <w:sz w:val="24"/>
          <w:szCs w:val="24"/>
          <w:highlight w:val="none"/>
        </w:rPr>
        <w:t>13.2 承包人的质量管理</w:t>
      </w:r>
      <w:bookmarkEnd w:id="867"/>
      <w:bookmarkEnd w:id="868"/>
      <w:bookmarkEnd w:id="869"/>
      <w:bookmarkEnd w:id="870"/>
      <w:bookmarkEnd w:id="871"/>
    </w:p>
    <w:p w14:paraId="0E9203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369D6C9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13.2.2 承包人应加强对施工人员的质量教育和技术培训，定期考核施工人员的劳动技能，严格执行规范和操作规程。</w:t>
      </w:r>
    </w:p>
    <w:p w14:paraId="1BD7D85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72" w:name="_Toc9790"/>
      <w:bookmarkStart w:id="873" w:name="_Toc23276"/>
      <w:bookmarkStart w:id="874" w:name="_Toc18930"/>
      <w:bookmarkStart w:id="875" w:name="_Toc630"/>
      <w:bookmarkStart w:id="876" w:name="_Toc234833054"/>
      <w:r>
        <w:rPr>
          <w:rFonts w:hint="default" w:ascii="Times New Roman" w:hAnsi="Times New Roman" w:eastAsia="黑体" w:cs="Times New Roman"/>
          <w:b w:val="0"/>
          <w:color w:val="auto"/>
          <w:sz w:val="24"/>
          <w:szCs w:val="24"/>
          <w:highlight w:val="none"/>
        </w:rPr>
        <w:t>13.3 承包人的质量检查</w:t>
      </w:r>
      <w:bookmarkEnd w:id="872"/>
      <w:bookmarkEnd w:id="873"/>
      <w:bookmarkEnd w:id="874"/>
      <w:bookmarkEnd w:id="875"/>
      <w:bookmarkEnd w:id="876"/>
    </w:p>
    <w:p w14:paraId="368DAD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承包人应按合同约定对材料、工程设备以及工程的所有部位及其施工工艺进行全过程的质量检查和检验，并作详细记录，编制工程质量报表，报送监理人审查。</w:t>
      </w:r>
    </w:p>
    <w:p w14:paraId="23041F1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77" w:name="_Toc234833055"/>
      <w:bookmarkStart w:id="878" w:name="_Toc30195"/>
      <w:bookmarkStart w:id="879" w:name="_Toc23210"/>
      <w:bookmarkStart w:id="880" w:name="_Toc29172"/>
      <w:bookmarkStart w:id="881" w:name="_Toc14050"/>
      <w:r>
        <w:rPr>
          <w:rFonts w:hint="default" w:ascii="Times New Roman" w:hAnsi="Times New Roman" w:eastAsia="黑体" w:cs="Times New Roman"/>
          <w:b w:val="0"/>
          <w:color w:val="auto"/>
          <w:sz w:val="24"/>
          <w:szCs w:val="24"/>
          <w:highlight w:val="none"/>
        </w:rPr>
        <w:t>13.4 监理人的质量检查</w:t>
      </w:r>
      <w:bookmarkEnd w:id="877"/>
      <w:bookmarkEnd w:id="878"/>
      <w:bookmarkEnd w:id="879"/>
      <w:bookmarkEnd w:id="880"/>
      <w:bookmarkEnd w:id="881"/>
    </w:p>
    <w:p w14:paraId="2C7A85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224002E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82" w:name="_Toc17194"/>
      <w:bookmarkStart w:id="883" w:name="_Toc21706"/>
      <w:bookmarkStart w:id="884" w:name="_Toc234833056"/>
      <w:bookmarkStart w:id="885" w:name="_Toc17119"/>
      <w:bookmarkStart w:id="886" w:name="_Toc25084"/>
      <w:r>
        <w:rPr>
          <w:rFonts w:hint="default" w:ascii="Times New Roman" w:hAnsi="Times New Roman" w:eastAsia="黑体" w:cs="Times New Roman"/>
          <w:b w:val="0"/>
          <w:color w:val="auto"/>
          <w:sz w:val="24"/>
          <w:szCs w:val="24"/>
          <w:highlight w:val="none"/>
        </w:rPr>
        <w:t>13.5 工程隐蔽部位覆盖前的检查</w:t>
      </w:r>
      <w:bookmarkEnd w:id="882"/>
      <w:bookmarkEnd w:id="883"/>
      <w:bookmarkEnd w:id="884"/>
      <w:bookmarkEnd w:id="885"/>
      <w:bookmarkEnd w:id="886"/>
    </w:p>
    <w:p w14:paraId="2987CF3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13.5.1 </w:t>
      </w:r>
      <w:r>
        <w:rPr>
          <w:rFonts w:hint="default" w:ascii="Times New Roman" w:hAnsi="Times New Roman" w:eastAsia="黑体" w:cs="Times New Roman"/>
          <w:color w:val="auto"/>
          <w:sz w:val="24"/>
          <w:highlight w:val="none"/>
        </w:rPr>
        <w:t xml:space="preserve">通知监理人检查 </w:t>
      </w:r>
    </w:p>
    <w:p w14:paraId="6FBCBC6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729771F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13.5.2</w:t>
      </w:r>
      <w:r>
        <w:rPr>
          <w:rFonts w:hint="default" w:ascii="Times New Roman" w:hAnsi="Times New Roman" w:eastAsia="黑体" w:cs="Times New Roman"/>
          <w:color w:val="auto"/>
          <w:sz w:val="24"/>
          <w:highlight w:val="none"/>
        </w:rPr>
        <w:t xml:space="preserve"> 监理人未到场检查</w:t>
      </w:r>
    </w:p>
    <w:p w14:paraId="4C7F07E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675D978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13.5.3</w:t>
      </w:r>
      <w:r>
        <w:rPr>
          <w:rFonts w:hint="default" w:ascii="Times New Roman" w:hAnsi="Times New Roman" w:eastAsia="黑体" w:cs="Times New Roman"/>
          <w:color w:val="auto"/>
          <w:sz w:val="24"/>
          <w:highlight w:val="none"/>
        </w:rPr>
        <w:t xml:space="preserve"> 监理人重新检查</w:t>
      </w:r>
    </w:p>
    <w:p w14:paraId="3C76028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按第13.5.1项或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588B2462">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13.5.4 </w:t>
      </w:r>
      <w:r>
        <w:rPr>
          <w:rFonts w:hint="default" w:ascii="Times New Roman" w:hAnsi="Times New Roman" w:eastAsia="黑体" w:cs="Times New Roman"/>
          <w:color w:val="auto"/>
          <w:sz w:val="24"/>
          <w:highlight w:val="none"/>
        </w:rPr>
        <w:t>承包人私自覆盖</w:t>
      </w:r>
    </w:p>
    <w:p w14:paraId="0FAEC38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承包人未通知监理人到场检查，私自将工程隐蔽部位覆盖的，监理人有权指示承包人钻孔探测或揭开检查，由此增加的费用和（或）工期延误由承包人承担。</w:t>
      </w:r>
    </w:p>
    <w:p w14:paraId="7E1154D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87" w:name="_Toc11615"/>
      <w:bookmarkStart w:id="888" w:name="_Toc27575"/>
      <w:bookmarkStart w:id="889" w:name="_Toc234833057"/>
      <w:bookmarkStart w:id="890" w:name="_Toc30792"/>
      <w:bookmarkStart w:id="891" w:name="_Toc29205"/>
      <w:r>
        <w:rPr>
          <w:rFonts w:hint="default" w:ascii="Times New Roman" w:hAnsi="Times New Roman" w:eastAsia="黑体" w:cs="Times New Roman"/>
          <w:b w:val="0"/>
          <w:color w:val="auto"/>
          <w:sz w:val="24"/>
          <w:szCs w:val="24"/>
          <w:highlight w:val="none"/>
        </w:rPr>
        <w:t>13.6 清除不合格工程</w:t>
      </w:r>
      <w:bookmarkEnd w:id="887"/>
      <w:bookmarkEnd w:id="888"/>
      <w:bookmarkEnd w:id="889"/>
      <w:bookmarkEnd w:id="890"/>
      <w:bookmarkEnd w:id="891"/>
    </w:p>
    <w:p w14:paraId="78DC7E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13.6.1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9D489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13.6.2由于发包人提供的材料或工程设备不合格造成的工程不合格，需要承包人采取措施补救的，发包人应承担由此增加的费用和（或）工期延误，并支付承包人合理利润。</w:t>
      </w:r>
    </w:p>
    <w:p w14:paraId="30D743D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92" w:name="_Toc26772"/>
      <w:bookmarkStart w:id="893" w:name="_Toc234833058"/>
      <w:bookmarkStart w:id="894" w:name="_Toc17780"/>
      <w:bookmarkStart w:id="895" w:name="_Toc16816"/>
      <w:bookmarkStart w:id="896" w:name="_Toc7865"/>
      <w:r>
        <w:rPr>
          <w:rFonts w:hint="default" w:ascii="Times New Roman" w:hAnsi="Times New Roman" w:eastAsia="黑体" w:cs="Times New Roman"/>
          <w:b w:val="0"/>
          <w:color w:val="auto"/>
          <w:sz w:val="28"/>
          <w:szCs w:val="28"/>
          <w:highlight w:val="none"/>
        </w:rPr>
        <w:t>14. 试验和检验</w:t>
      </w:r>
      <w:bookmarkEnd w:id="892"/>
      <w:bookmarkEnd w:id="893"/>
      <w:bookmarkEnd w:id="894"/>
      <w:bookmarkEnd w:id="895"/>
      <w:bookmarkEnd w:id="896"/>
    </w:p>
    <w:p w14:paraId="079BEB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97" w:name="_Toc7572"/>
      <w:bookmarkStart w:id="898" w:name="_Toc23212"/>
      <w:bookmarkStart w:id="899" w:name="_Toc234833059"/>
      <w:bookmarkStart w:id="900" w:name="_Toc19607"/>
      <w:bookmarkStart w:id="901" w:name="_Toc19299"/>
      <w:r>
        <w:rPr>
          <w:rFonts w:hint="default" w:ascii="Times New Roman" w:hAnsi="Times New Roman" w:eastAsia="黑体" w:cs="Times New Roman"/>
          <w:b w:val="0"/>
          <w:color w:val="auto"/>
          <w:sz w:val="24"/>
          <w:szCs w:val="24"/>
          <w:highlight w:val="none"/>
        </w:rPr>
        <w:t>14.1 材料、工程设备和工程的试验和检验</w:t>
      </w:r>
      <w:bookmarkEnd w:id="897"/>
      <w:bookmarkEnd w:id="898"/>
      <w:bookmarkEnd w:id="899"/>
      <w:bookmarkEnd w:id="900"/>
      <w:bookmarkEnd w:id="901"/>
    </w:p>
    <w:p w14:paraId="641737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81352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14.1.2 监理人未按合同约定派员参加试验和检验的，除监理人另有指示外，承包人可自行试验和检验，并应立即将试验和检验结果报送监理人，监理人应签字确认。</w:t>
      </w:r>
    </w:p>
    <w:p w14:paraId="308340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2F040AD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02" w:name="_Toc4179"/>
      <w:bookmarkStart w:id="903" w:name="_Toc2015"/>
      <w:bookmarkStart w:id="904" w:name="_Toc234833060"/>
      <w:bookmarkStart w:id="905" w:name="_Toc9643"/>
      <w:bookmarkStart w:id="906" w:name="_Toc9789"/>
      <w:r>
        <w:rPr>
          <w:rFonts w:hint="default" w:ascii="Times New Roman" w:hAnsi="Times New Roman" w:eastAsia="黑体" w:cs="Times New Roman"/>
          <w:b w:val="0"/>
          <w:color w:val="auto"/>
          <w:sz w:val="24"/>
          <w:szCs w:val="24"/>
          <w:highlight w:val="none"/>
        </w:rPr>
        <w:t>14.2 现场材料试验</w:t>
      </w:r>
      <w:bookmarkEnd w:id="902"/>
      <w:bookmarkEnd w:id="903"/>
      <w:bookmarkEnd w:id="904"/>
      <w:bookmarkEnd w:id="905"/>
      <w:bookmarkEnd w:id="906"/>
    </w:p>
    <w:p w14:paraId="5457342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14.2.1 承包人根据合同约定或监理人指示进行的现场材料试验，应由承包人提供试验场所、试验人员、试验设备器材以及其他必要的试验条件。</w:t>
      </w:r>
    </w:p>
    <w:p w14:paraId="074110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14.2.2 监理人在必要时可以使用承包人的试验场所、试验设备器材以及其他试验条件，进行以工程质量检查为目的的复核性材料试验，承包人应予以协助。</w:t>
      </w:r>
    </w:p>
    <w:p w14:paraId="54F513D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07" w:name="_Toc19986"/>
      <w:bookmarkStart w:id="908" w:name="_Toc505"/>
      <w:bookmarkStart w:id="909" w:name="_Toc19643"/>
      <w:bookmarkStart w:id="910" w:name="_Toc234833061"/>
      <w:bookmarkStart w:id="911" w:name="_Toc31625"/>
      <w:r>
        <w:rPr>
          <w:rFonts w:hint="default" w:ascii="Times New Roman" w:hAnsi="Times New Roman" w:eastAsia="黑体" w:cs="Times New Roman"/>
          <w:b w:val="0"/>
          <w:color w:val="auto"/>
          <w:sz w:val="24"/>
          <w:szCs w:val="24"/>
          <w:highlight w:val="none"/>
        </w:rPr>
        <w:t>14.3 现场工艺试验</w:t>
      </w:r>
      <w:bookmarkEnd w:id="907"/>
      <w:bookmarkEnd w:id="908"/>
      <w:bookmarkEnd w:id="909"/>
      <w:bookmarkEnd w:id="910"/>
      <w:bookmarkEnd w:id="911"/>
    </w:p>
    <w:p w14:paraId="01C6BD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0D0FB83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12" w:name="_Toc234833062"/>
      <w:bookmarkStart w:id="913" w:name="_Toc32585"/>
      <w:bookmarkStart w:id="914" w:name="_Toc28048"/>
      <w:bookmarkStart w:id="915" w:name="_Toc1929"/>
      <w:bookmarkStart w:id="916" w:name="_Toc17742"/>
      <w:r>
        <w:rPr>
          <w:rFonts w:hint="default" w:ascii="Times New Roman" w:hAnsi="Times New Roman" w:eastAsia="黑体" w:cs="Times New Roman"/>
          <w:b w:val="0"/>
          <w:color w:val="auto"/>
          <w:sz w:val="28"/>
          <w:szCs w:val="28"/>
          <w:highlight w:val="none"/>
        </w:rPr>
        <w:t>15. 变更</w:t>
      </w:r>
      <w:bookmarkEnd w:id="912"/>
      <w:bookmarkEnd w:id="913"/>
      <w:bookmarkEnd w:id="914"/>
      <w:bookmarkEnd w:id="915"/>
      <w:bookmarkEnd w:id="916"/>
    </w:p>
    <w:p w14:paraId="4EB9337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17" w:name="_Toc4605"/>
      <w:bookmarkStart w:id="918" w:name="_Toc234833063"/>
      <w:bookmarkStart w:id="919" w:name="_Toc30228"/>
      <w:bookmarkStart w:id="920" w:name="_Toc23647"/>
      <w:bookmarkStart w:id="921" w:name="_Toc20123"/>
      <w:r>
        <w:rPr>
          <w:rFonts w:hint="default" w:ascii="Times New Roman" w:hAnsi="Times New Roman" w:eastAsia="黑体" w:cs="Times New Roman"/>
          <w:b w:val="0"/>
          <w:color w:val="auto"/>
          <w:sz w:val="24"/>
          <w:szCs w:val="24"/>
          <w:highlight w:val="none"/>
        </w:rPr>
        <w:t>15.1 变更的范围和内容</w:t>
      </w:r>
      <w:bookmarkEnd w:id="917"/>
      <w:bookmarkEnd w:id="918"/>
      <w:bookmarkEnd w:id="919"/>
      <w:bookmarkEnd w:id="920"/>
      <w:bookmarkEnd w:id="921"/>
    </w:p>
    <w:p w14:paraId="72CBB6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除专用合同条款另有约定外，在履行合同中发生以下情形之一，应按照本条规定进行变更。</w:t>
      </w:r>
    </w:p>
    <w:p w14:paraId="41C0FD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w:t>
      </w:r>
    </w:p>
    <w:p w14:paraId="6333C6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（2）改变合同中任何一项工作的质量或其他特性；</w:t>
      </w:r>
    </w:p>
    <w:p w14:paraId="780E2F4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（3）改变合同工程的基线、标高、位置或尺寸；</w:t>
      </w:r>
    </w:p>
    <w:p w14:paraId="0C0717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（4）改变合同中任何一项工作的施工时间或改变已批准的施工工艺或顺序；</w:t>
      </w:r>
    </w:p>
    <w:p w14:paraId="590431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（5）为完成工程需要追加的额外工作。</w:t>
      </w:r>
    </w:p>
    <w:p w14:paraId="65F27BA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22" w:name="_Toc234833064"/>
      <w:bookmarkStart w:id="923" w:name="_Toc10482"/>
      <w:bookmarkStart w:id="924" w:name="_Toc8053"/>
      <w:bookmarkStart w:id="925" w:name="_Toc24888"/>
      <w:bookmarkStart w:id="926" w:name="_Toc15961"/>
      <w:r>
        <w:rPr>
          <w:rFonts w:hint="default" w:ascii="Times New Roman" w:hAnsi="Times New Roman" w:eastAsia="黑体" w:cs="Times New Roman"/>
          <w:b w:val="0"/>
          <w:color w:val="auto"/>
          <w:sz w:val="24"/>
          <w:szCs w:val="24"/>
          <w:highlight w:val="none"/>
        </w:rPr>
        <w:t>15.2 变更权</w:t>
      </w:r>
      <w:bookmarkEnd w:id="922"/>
      <w:bookmarkEnd w:id="923"/>
      <w:bookmarkEnd w:id="924"/>
      <w:bookmarkEnd w:id="925"/>
      <w:bookmarkEnd w:id="926"/>
    </w:p>
    <w:p w14:paraId="12E04B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在履行合同过程中，经发包人同意，监理人可按第15.3款约定的变更程序向承包人作出变更指示，承包人应遵照执行。没有监理人的变更指示，承包人不得擅自变更。</w:t>
      </w:r>
    </w:p>
    <w:p w14:paraId="3ABA7E9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27" w:name="_Toc29346"/>
      <w:bookmarkStart w:id="928" w:name="_Toc30516"/>
      <w:bookmarkStart w:id="929" w:name="_Toc12919"/>
      <w:bookmarkStart w:id="930" w:name="_Toc234833065"/>
      <w:bookmarkStart w:id="931" w:name="_Toc2613"/>
      <w:r>
        <w:rPr>
          <w:rFonts w:hint="default" w:ascii="Times New Roman" w:hAnsi="Times New Roman" w:eastAsia="黑体" w:cs="Times New Roman"/>
          <w:b w:val="0"/>
          <w:color w:val="auto"/>
          <w:sz w:val="24"/>
          <w:szCs w:val="24"/>
          <w:highlight w:val="none"/>
        </w:rPr>
        <w:t>15.3 变更程序</w:t>
      </w:r>
      <w:bookmarkEnd w:id="927"/>
      <w:bookmarkEnd w:id="928"/>
      <w:bookmarkEnd w:id="929"/>
      <w:bookmarkEnd w:id="930"/>
      <w:bookmarkEnd w:id="931"/>
    </w:p>
    <w:p w14:paraId="63AF3751">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15.3.1 </w:t>
      </w:r>
      <w:r>
        <w:rPr>
          <w:rFonts w:hint="default" w:ascii="Times New Roman" w:hAnsi="Times New Roman" w:eastAsia="黑体" w:cs="Times New Roman"/>
          <w:color w:val="auto"/>
          <w:sz w:val="24"/>
          <w:highlight w:val="none"/>
        </w:rPr>
        <w:t>变更的提出</w:t>
      </w:r>
    </w:p>
    <w:p w14:paraId="74F720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w:t>
      </w:r>
    </w:p>
    <w:p w14:paraId="2DEEC3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（2）在合同履行过程中，发生第15.1款约定情形的，监理人应按照第15.3.3项约定向承包人发出变更指示。</w:t>
      </w:r>
    </w:p>
    <w:p w14:paraId="3656BA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621959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（4）若承包人收到监理人的变更意向书后认为难以实施此项变更，应立即通知监理人，说明原因并附详细依据。监理人与承包人和发包人协商后确定撤销、改变或不改变原变更意向书。</w:t>
      </w:r>
    </w:p>
    <w:p w14:paraId="0587EAE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15.3.2 </w:t>
      </w:r>
      <w:r>
        <w:rPr>
          <w:rFonts w:hint="default" w:ascii="Times New Roman" w:hAnsi="Times New Roman" w:eastAsia="黑体" w:cs="Times New Roman"/>
          <w:color w:val="auto"/>
          <w:sz w:val="24"/>
          <w:highlight w:val="none"/>
        </w:rPr>
        <w:t>变更估价</w:t>
      </w:r>
    </w:p>
    <w:p w14:paraId="7AED45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5D3B3A2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（2）变更工作影响工期的，承包人应提出调整工期的具体细节。监理人认为有必要时，可要求承包人提交要求提前或延长工期的施工进度计划及相应施工措施等详细资料。</w:t>
      </w:r>
    </w:p>
    <w:p w14:paraId="1EBA5F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（3）除专用合同条款对期限另有约定外，监理人收到承包人变更报价书后的14天内，根据第15.4款约定的估价原则，按照第3.5款商定或确定变更价格。</w:t>
      </w:r>
    </w:p>
    <w:p w14:paraId="2E47263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15.3.3</w:t>
      </w:r>
      <w:r>
        <w:rPr>
          <w:rFonts w:hint="default" w:ascii="Times New Roman" w:hAnsi="Times New Roman" w:eastAsia="黑体" w:cs="Times New Roman"/>
          <w:color w:val="auto"/>
          <w:sz w:val="24"/>
          <w:highlight w:val="none"/>
        </w:rPr>
        <w:t xml:space="preserve"> 变更指示</w:t>
      </w:r>
    </w:p>
    <w:p w14:paraId="201B11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（1）变更指示只能由监理人发出。</w:t>
      </w:r>
    </w:p>
    <w:p w14:paraId="2D695F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（2）变更指示应说明变更的目的、范围、变更内容以及变更的工程量及其进度和技术要求，并附有关图纸和文件。承包人收到变更指示后，应按变更指示进行变更工作。</w:t>
      </w:r>
    </w:p>
    <w:p w14:paraId="4F5CD9D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32" w:name="_Toc21464"/>
      <w:bookmarkStart w:id="933" w:name="_Toc734"/>
      <w:bookmarkStart w:id="934" w:name="_Toc2325"/>
      <w:bookmarkStart w:id="935" w:name="_Toc25571"/>
      <w:bookmarkStart w:id="936" w:name="_Toc234833066"/>
      <w:r>
        <w:rPr>
          <w:rFonts w:hint="default" w:ascii="Times New Roman" w:hAnsi="Times New Roman" w:eastAsia="黑体" w:cs="Times New Roman"/>
          <w:b w:val="0"/>
          <w:color w:val="auto"/>
          <w:sz w:val="24"/>
          <w:szCs w:val="24"/>
          <w:highlight w:val="none"/>
        </w:rPr>
        <w:t>15.4 变更的估价原则</w:t>
      </w:r>
      <w:bookmarkEnd w:id="932"/>
      <w:bookmarkEnd w:id="933"/>
      <w:bookmarkEnd w:id="934"/>
      <w:bookmarkEnd w:id="935"/>
      <w:bookmarkEnd w:id="936"/>
      <w:r>
        <w:rPr>
          <w:rFonts w:hint="default" w:ascii="Times New Roman" w:hAnsi="Times New Roman" w:eastAsia="黑体" w:cs="Times New Roman"/>
          <w:b w:val="0"/>
          <w:color w:val="auto"/>
          <w:sz w:val="24"/>
          <w:szCs w:val="24"/>
          <w:highlight w:val="none"/>
        </w:rPr>
        <w:t xml:space="preserve"> </w:t>
      </w:r>
    </w:p>
    <w:p w14:paraId="5B96D3A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除专用合同条款另有约定外，因变更引起的价格调整按照本款约定处理。</w:t>
      </w:r>
    </w:p>
    <w:p w14:paraId="75D073E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 已标价工程量清单中有适用于变更工作的子目的，采用该子目的单价。</w:t>
      </w:r>
    </w:p>
    <w:p w14:paraId="7CE416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 已标价工程量清单中无适用于变更工作的子目，但有类似子目的，可在合理范围内参照类似子目的单价，由监理人按第3.5款商定或确定变更工作的单价。</w:t>
      </w:r>
    </w:p>
    <w:p w14:paraId="72FBB1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 已标价工程量清单中无适用或类似子目的单价，可按照成本加利润的原则，由监理人按第3.5款商定或确定变更工作的单价。</w:t>
      </w:r>
    </w:p>
    <w:p w14:paraId="71DD059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37" w:name="_Toc20188"/>
      <w:bookmarkStart w:id="938" w:name="_Toc10517"/>
      <w:bookmarkStart w:id="939" w:name="_Toc5615"/>
      <w:bookmarkStart w:id="940" w:name="_Toc25619"/>
      <w:bookmarkStart w:id="941" w:name="_Toc234833067"/>
      <w:r>
        <w:rPr>
          <w:rFonts w:hint="default" w:ascii="Times New Roman" w:hAnsi="Times New Roman" w:eastAsia="黑体" w:cs="Times New Roman"/>
          <w:b w:val="0"/>
          <w:color w:val="auto"/>
          <w:sz w:val="24"/>
          <w:szCs w:val="24"/>
          <w:highlight w:val="none"/>
        </w:rPr>
        <w:t>15.5 承包人的合理化建议</w:t>
      </w:r>
      <w:bookmarkEnd w:id="937"/>
      <w:bookmarkEnd w:id="938"/>
      <w:bookmarkEnd w:id="939"/>
      <w:bookmarkEnd w:id="940"/>
      <w:bookmarkEnd w:id="941"/>
    </w:p>
    <w:p w14:paraId="7CA9AC0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3C15649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15.5.2 承包人提出的合理化建议降低了合同价格、缩短了工期或者提高了工程经济效益的，发包人可按国家有关规定在专用合同条款中约定给予奖励。</w:t>
      </w:r>
    </w:p>
    <w:p w14:paraId="7FE7C82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42" w:name="_Toc234833068"/>
      <w:bookmarkStart w:id="943" w:name="_Toc1051"/>
      <w:bookmarkStart w:id="944" w:name="_Toc32232"/>
      <w:bookmarkStart w:id="945" w:name="_Toc15655"/>
      <w:bookmarkStart w:id="946" w:name="_Toc27871"/>
      <w:r>
        <w:rPr>
          <w:rFonts w:hint="default" w:ascii="Times New Roman" w:hAnsi="Times New Roman" w:eastAsia="黑体" w:cs="Times New Roman"/>
          <w:b w:val="0"/>
          <w:color w:val="auto"/>
          <w:sz w:val="24"/>
          <w:szCs w:val="24"/>
          <w:highlight w:val="none"/>
        </w:rPr>
        <w:t>15.6 暂列金额</w:t>
      </w:r>
      <w:bookmarkEnd w:id="942"/>
      <w:bookmarkEnd w:id="943"/>
      <w:bookmarkEnd w:id="944"/>
      <w:bookmarkEnd w:id="945"/>
      <w:bookmarkEnd w:id="946"/>
    </w:p>
    <w:p w14:paraId="47AE6EF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暂列金额只能按照监理人的指示使用，并对合同价格进行相应调整。</w:t>
      </w:r>
    </w:p>
    <w:p w14:paraId="1CED6E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47" w:name="_Toc2062"/>
      <w:bookmarkStart w:id="948" w:name="_Toc4406"/>
      <w:bookmarkStart w:id="949" w:name="_Toc234833069"/>
      <w:bookmarkStart w:id="950" w:name="_Toc25732"/>
      <w:bookmarkStart w:id="951" w:name="_Toc10060"/>
      <w:r>
        <w:rPr>
          <w:rFonts w:hint="default" w:ascii="Times New Roman" w:hAnsi="Times New Roman" w:eastAsia="黑体" w:cs="Times New Roman"/>
          <w:b w:val="0"/>
          <w:color w:val="auto"/>
          <w:sz w:val="24"/>
          <w:szCs w:val="24"/>
          <w:highlight w:val="none"/>
        </w:rPr>
        <w:t>15.7 计日工</w:t>
      </w:r>
      <w:bookmarkEnd w:id="947"/>
      <w:bookmarkEnd w:id="948"/>
      <w:bookmarkEnd w:id="949"/>
      <w:bookmarkEnd w:id="950"/>
      <w:bookmarkEnd w:id="951"/>
    </w:p>
    <w:p w14:paraId="57E98D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15.7.1 发包人认为有必要时，由监理人通知承包人以计日工方式实施变更的零星工作。其价款按列入已标价工程量清单中的计日工计价子目及其单价进行计算。</w:t>
      </w:r>
    </w:p>
    <w:p w14:paraId="68B56A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15.7.2 采用计日工计价的任何一项变更工作，应从暂列金额中支付，承包人应在该项变更的实施过程中，每天提交以下报表和有关凭证报送监理人审批：</w:t>
      </w:r>
    </w:p>
    <w:p w14:paraId="5BE73C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（1）工作名称、内容和数量；</w:t>
      </w:r>
    </w:p>
    <w:p w14:paraId="6DEC98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（2）投入该工作所有人员的姓名、工种、级别和耗用工时；</w:t>
      </w:r>
    </w:p>
    <w:p w14:paraId="318F9F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（3）投入该工作的材料类别和数量；</w:t>
      </w:r>
    </w:p>
    <w:p w14:paraId="55D58A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（4）投入该工作的施工设备型号、台数和耗用台时；</w:t>
      </w:r>
    </w:p>
    <w:p w14:paraId="117DC9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（5）监理人要求提交的其他资料和凭证。</w:t>
      </w:r>
    </w:p>
    <w:p w14:paraId="4CFD27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15.7.3 计日工由承包人汇总后，按第17.3.2项的约定列入进度付款申请单，由监理人复核并经发包人同意后列入进度付款。</w:t>
      </w:r>
    </w:p>
    <w:p w14:paraId="3301512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52" w:name="_Toc7315"/>
      <w:bookmarkStart w:id="953" w:name="_Toc19722"/>
      <w:bookmarkStart w:id="954" w:name="_Toc17561"/>
      <w:bookmarkStart w:id="955" w:name="_Toc13261"/>
      <w:bookmarkStart w:id="956" w:name="_Toc234833070"/>
      <w:r>
        <w:rPr>
          <w:rFonts w:hint="default" w:ascii="Times New Roman" w:hAnsi="Times New Roman" w:eastAsia="黑体" w:cs="Times New Roman"/>
          <w:b w:val="0"/>
          <w:color w:val="auto"/>
          <w:sz w:val="24"/>
          <w:szCs w:val="24"/>
          <w:highlight w:val="none"/>
        </w:rPr>
        <w:t>15.8暂估价</w:t>
      </w:r>
      <w:bookmarkEnd w:id="952"/>
      <w:bookmarkEnd w:id="953"/>
      <w:bookmarkEnd w:id="954"/>
      <w:bookmarkEnd w:id="955"/>
      <w:bookmarkEnd w:id="956"/>
    </w:p>
    <w:p w14:paraId="45607C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67A1D3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1F4681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84FA4E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57" w:name="_Toc15345"/>
      <w:bookmarkStart w:id="958" w:name="_Toc7147"/>
      <w:bookmarkStart w:id="959" w:name="_Toc234833071"/>
      <w:bookmarkStart w:id="960" w:name="_Toc22564"/>
      <w:bookmarkStart w:id="961" w:name="_Toc10500"/>
      <w:r>
        <w:rPr>
          <w:rFonts w:hint="default" w:ascii="Times New Roman" w:hAnsi="Times New Roman" w:eastAsia="黑体" w:cs="Times New Roman"/>
          <w:b w:val="0"/>
          <w:color w:val="auto"/>
          <w:sz w:val="28"/>
          <w:szCs w:val="28"/>
          <w:highlight w:val="none"/>
        </w:rPr>
        <w:t>16. 价格调整</w:t>
      </w:r>
      <w:bookmarkEnd w:id="957"/>
      <w:bookmarkEnd w:id="958"/>
      <w:bookmarkEnd w:id="959"/>
      <w:bookmarkEnd w:id="960"/>
      <w:bookmarkEnd w:id="961"/>
    </w:p>
    <w:p w14:paraId="7114F71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62" w:name="_Toc5119"/>
      <w:bookmarkStart w:id="963" w:name="_Toc28582"/>
      <w:bookmarkStart w:id="964" w:name="_Toc892"/>
      <w:bookmarkStart w:id="965" w:name="_Toc29053"/>
      <w:bookmarkStart w:id="966" w:name="_Toc234833072"/>
      <w:r>
        <w:rPr>
          <w:rFonts w:hint="default" w:ascii="Times New Roman" w:hAnsi="Times New Roman" w:eastAsia="黑体" w:cs="Times New Roman"/>
          <w:b w:val="0"/>
          <w:color w:val="auto"/>
          <w:sz w:val="24"/>
          <w:szCs w:val="24"/>
          <w:highlight w:val="none"/>
        </w:rPr>
        <w:t>16.1 物价波动引起的价格调整</w:t>
      </w:r>
      <w:bookmarkEnd w:id="962"/>
      <w:bookmarkEnd w:id="963"/>
      <w:bookmarkEnd w:id="964"/>
      <w:bookmarkEnd w:id="965"/>
      <w:bookmarkEnd w:id="966"/>
    </w:p>
    <w:p w14:paraId="0E758B8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除专用合同条款另有约定外，因物价波动引起的价格调整按照本款约定处理。</w:t>
      </w:r>
    </w:p>
    <w:p w14:paraId="107EB63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1B6F8B1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16.1.1.1 价格调整公式</w:t>
      </w:r>
    </w:p>
    <w:p w14:paraId="655C087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因人工、材料和设备等价格波动影响合同价格时，根据投标函附录中的价格指数和权重表约定的数据，按以下公式计算差额并调整合同价格：</w:t>
      </w:r>
    </w:p>
    <w:p w14:paraId="01174766">
      <w:pPr>
        <w:pageBreakBefore w:val="0"/>
        <w:kinsoku/>
        <w:wordWrap w:val="0"/>
        <w:autoSpaceDE w:val="0"/>
        <w:autoSpaceDN w:val="0"/>
        <w:bidi w:val="0"/>
        <w:adjustRightInd w:val="0"/>
        <w:spacing w:line="400" w:lineRule="atLeast"/>
        <w:ind w:right="249"/>
        <w:jc w:val="center"/>
        <w:rPr>
          <w:rFonts w:hint="default" w:ascii="Times New Roman" w:hAnsi="Times New Roman" w:cs="Times New Roman"/>
          <w:b/>
          <w:color w:val="auto"/>
          <w:sz w:val="24"/>
          <w:highlight w:val="none"/>
        </w:rPr>
      </w:pPr>
      <w:r>
        <w:rPr>
          <w:rFonts w:hint="default" w:ascii="Times New Roman" w:hAnsi="Times New Roman" w:cs="Times New Roman"/>
          <w:b/>
          <w:bCs/>
          <w:color w:val="auto"/>
          <w:kern w:val="0"/>
          <w:position w:val="-34"/>
          <w:sz w:val="24"/>
          <w:highlight w:val="none"/>
          <w:lang w:val="zh-CN"/>
        </w:rPr>
        <w:object>
          <v:shape id="_x0000_i1025" o:spt="75" type="#_x0000_t75" style="height:50.35pt;width:363.95pt;" o:ole="t" filled="f" o:preferrelative="t" stroked="f" coordsize="21600,21600">
            <v:path/>
            <v:fill on="f" alignshape="1" focussize="0,0"/>
            <v:stroke on="f"/>
            <v:imagedata r:id="rId54" o:title=""/>
            <o:lock v:ext="edit" aspectratio="t"/>
            <w10:wrap type="none"/>
            <w10:anchorlock/>
          </v:shape>
          <o:OLEObject Type="Embed" ProgID="Equation.3" ShapeID="_x0000_i1025" DrawAspect="Content" ObjectID="_1468075725" r:id="rId53">
            <o:LockedField>false</o:LockedField>
          </o:OLEObject>
        </w:object>
      </w:r>
    </w:p>
    <w:p w14:paraId="248AA9E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式中： </w:t>
      </w:r>
      <w:r>
        <w:rPr>
          <w:rFonts w:hint="default" w:ascii="Times New Roman" w:hAnsi="Times New Roman" w:cs="Times New Roman"/>
          <w:b/>
          <w:color w:val="auto"/>
          <w:sz w:val="24"/>
          <w:highlight w:val="none"/>
        </w:rPr>
        <w:t>△P</w:t>
      </w:r>
      <w:r>
        <w:rPr>
          <w:rFonts w:hint="default" w:ascii="Times New Roman" w:hAnsi="Times New Roman" w:cs="Times New Roman"/>
          <w:color w:val="auto"/>
          <w:sz w:val="24"/>
          <w:highlight w:val="none"/>
        </w:rPr>
        <w:t>-- 需调整的价格差额；</w:t>
      </w:r>
    </w:p>
    <w:p w14:paraId="7214B47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P</w:t>
      </w:r>
      <w:r>
        <w:rPr>
          <w:rFonts w:hint="default" w:ascii="Times New Roman" w:hAnsi="Times New Roman" w:cs="Times New Roman"/>
          <w:b/>
          <w:bCs/>
          <w:color w:val="auto"/>
          <w:sz w:val="24"/>
          <w:highlight w:val="none"/>
          <w:vertAlign w:val="subscript"/>
          <w:lang w:val="zh-CN"/>
        </w:rPr>
        <w:t xml:space="preserve">0 </w:t>
      </w:r>
      <w:r>
        <w:rPr>
          <w:rFonts w:hint="default" w:ascii="Times New Roman" w:hAnsi="Times New Roman" w:cs="Times New Roman"/>
          <w:color w:val="auto"/>
          <w:sz w:val="24"/>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B1B970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A</w:t>
      </w:r>
      <w:r>
        <w:rPr>
          <w:rFonts w:hint="default" w:ascii="Times New Roman" w:hAnsi="Times New Roman" w:cs="Times New Roman"/>
          <w:color w:val="auto"/>
          <w:sz w:val="24"/>
          <w:highlight w:val="none"/>
        </w:rPr>
        <w:t xml:space="preserve"> -- 定值权重（即不调部分的权重）；</w:t>
      </w:r>
    </w:p>
    <w:p w14:paraId="06FAA28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rPr>
        <w:t xml:space="preserve"> 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lang w:val="zh-CN"/>
        </w:rPr>
        <w:t>B</w:t>
      </w:r>
      <w:r>
        <w:rPr>
          <w:rFonts w:hint="default" w:ascii="Times New Roman" w:hAnsi="Times New Roman" w:cs="Times New Roman"/>
          <w:b/>
          <w:bCs/>
          <w:color w:val="auto"/>
          <w:sz w:val="24"/>
          <w:highlight w:val="none"/>
          <w:vertAlign w:val="subscript"/>
          <w:lang w:val="zh-CN"/>
        </w:rPr>
        <w:t>n</w:t>
      </w:r>
      <w:r>
        <w:rPr>
          <w:rFonts w:hint="default" w:ascii="Times New Roman" w:hAnsi="Times New Roman" w:cs="Times New Roman"/>
          <w:color w:val="auto"/>
          <w:sz w:val="24"/>
          <w:highlight w:val="none"/>
          <w:vertAlign w:val="subscript"/>
        </w:rPr>
        <w:t xml:space="preserve"> </w:t>
      </w:r>
      <w:r>
        <w:rPr>
          <w:rFonts w:hint="default" w:ascii="Times New Roman" w:hAnsi="Times New Roman" w:cs="Times New Roman"/>
          <w:color w:val="auto"/>
          <w:sz w:val="24"/>
          <w:highlight w:val="none"/>
        </w:rPr>
        <w:t xml:space="preserve"> -- 各可调因子的变值权重（即可调部分的权重）为各可调因子在投标函投标总报价中所占的比例；</w:t>
      </w:r>
    </w:p>
    <w:p w14:paraId="04992BC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t1;</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t2;</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t3</w:t>
      </w:r>
      <w:r>
        <w:rPr>
          <w:rFonts w:hint="default" w:ascii="Times New Roman" w:hAnsi="Times New Roman" w:cs="Times New Roman"/>
          <w:b/>
          <w:bCs/>
          <w:color w:val="auto"/>
          <w:sz w:val="24"/>
          <w:highlight w:val="none"/>
          <w:lang w:val="zh-CN"/>
        </w:rPr>
        <w:t>……F</w:t>
      </w:r>
      <w:r>
        <w:rPr>
          <w:rFonts w:hint="default" w:ascii="Times New Roman" w:hAnsi="Times New Roman" w:cs="Times New Roman"/>
          <w:b/>
          <w:bCs/>
          <w:color w:val="auto"/>
          <w:sz w:val="24"/>
          <w:highlight w:val="none"/>
          <w:vertAlign w:val="subscript"/>
          <w:lang w:val="zh-CN"/>
        </w:rPr>
        <w:t>tn</w:t>
      </w:r>
      <w:r>
        <w:rPr>
          <w:rFonts w:hint="default" w:ascii="Times New Roman" w:hAnsi="Times New Roman" w:cs="Times New Roman"/>
          <w:color w:val="auto"/>
          <w:sz w:val="24"/>
          <w:highlight w:val="none"/>
        </w:rPr>
        <w:t xml:space="preserve"> -- 各可调因子的现行价格指数，指第17.3.3项、第17.5.2项和第17.6.2项约定的付款证书相关周期最后一天的前42天的各可调因子的价格指数；</w:t>
      </w:r>
    </w:p>
    <w:p w14:paraId="18F4BF23">
      <w:pPr>
        <w:pageBreakBefore w:val="0"/>
        <w:kinsoku/>
        <w:wordWrap w:val="0"/>
        <w:bidi w:val="0"/>
        <w:spacing w:line="400" w:lineRule="atLeast"/>
        <w:ind w:firstLine="716" w:firstLineChars="297"/>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o1;</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o2;</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o3</w:t>
      </w: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on</w:t>
      </w:r>
      <w:r>
        <w:rPr>
          <w:rFonts w:hint="default" w:ascii="Times New Roman" w:hAnsi="Times New Roman" w:cs="Times New Roman"/>
          <w:color w:val="auto"/>
          <w:sz w:val="24"/>
          <w:highlight w:val="none"/>
        </w:rPr>
        <w:t xml:space="preserve"> --各可调因子的基本价格指数，指基准日期的各可调因子的价格指数。</w:t>
      </w:r>
    </w:p>
    <w:p w14:paraId="24B8A4E7">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43D302B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16.1.1.2 暂时确定调整差额</w:t>
      </w:r>
    </w:p>
    <w:p w14:paraId="4ED048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在计算调整差额时得不到现行价格指数的，可暂用上一次价格指数计算，并在以后的付款中再按实际价格指数进行调整。</w:t>
      </w:r>
    </w:p>
    <w:p w14:paraId="00613CF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16.1.1.3 权重的调整</w:t>
      </w:r>
    </w:p>
    <w:p w14:paraId="3A9AA9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按第15.1款约定的变更导致原定合同中的权重不合理时，由监理人与承包人和发包人协商后进行调整。</w:t>
      </w:r>
    </w:p>
    <w:p w14:paraId="24C0E3AF">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16.1.1.4 承包人工期延误后的价格调整</w:t>
      </w:r>
    </w:p>
    <w:p w14:paraId="0967AD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7113F3C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16.1.2 </w:t>
      </w:r>
      <w:r>
        <w:rPr>
          <w:rFonts w:hint="default" w:ascii="Times New Roman" w:hAnsi="Times New Roman" w:eastAsia="黑体" w:cs="Times New Roman"/>
          <w:color w:val="auto"/>
          <w:sz w:val="24"/>
          <w:highlight w:val="none"/>
        </w:rPr>
        <w:t>采用造价信息调整价格差额</w:t>
      </w:r>
    </w:p>
    <w:p w14:paraId="6304E6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6FF9333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67" w:name="_Toc15845"/>
      <w:bookmarkStart w:id="968" w:name="_Toc10804"/>
      <w:bookmarkStart w:id="969" w:name="_Toc5910"/>
      <w:bookmarkStart w:id="970" w:name="_Toc25291"/>
      <w:bookmarkStart w:id="971" w:name="_Toc234833073"/>
      <w:r>
        <w:rPr>
          <w:rFonts w:hint="default" w:ascii="Times New Roman" w:hAnsi="Times New Roman" w:eastAsia="黑体" w:cs="Times New Roman"/>
          <w:b w:val="0"/>
          <w:color w:val="auto"/>
          <w:sz w:val="24"/>
          <w:szCs w:val="24"/>
          <w:highlight w:val="none"/>
        </w:rPr>
        <w:t>16.2 法律变化引起的价格调整</w:t>
      </w:r>
      <w:bookmarkEnd w:id="967"/>
      <w:bookmarkEnd w:id="968"/>
      <w:bookmarkEnd w:id="969"/>
      <w:bookmarkEnd w:id="970"/>
      <w:bookmarkEnd w:id="971"/>
    </w:p>
    <w:p w14:paraId="396ECE3F">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5543A74E">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72" w:name="_Toc6207"/>
      <w:bookmarkStart w:id="973" w:name="_Toc11413"/>
      <w:bookmarkStart w:id="974" w:name="_Toc32220"/>
      <w:bookmarkStart w:id="975" w:name="_Toc2237"/>
      <w:bookmarkStart w:id="976" w:name="_Toc234833074"/>
      <w:r>
        <w:rPr>
          <w:rFonts w:hint="default" w:ascii="Times New Roman" w:hAnsi="Times New Roman" w:eastAsia="黑体" w:cs="Times New Roman"/>
          <w:b w:val="0"/>
          <w:color w:val="auto"/>
          <w:sz w:val="28"/>
          <w:szCs w:val="28"/>
          <w:highlight w:val="none"/>
        </w:rPr>
        <w:t>17. 计量与支付</w:t>
      </w:r>
      <w:bookmarkEnd w:id="972"/>
      <w:bookmarkEnd w:id="973"/>
      <w:bookmarkEnd w:id="974"/>
      <w:bookmarkEnd w:id="975"/>
      <w:bookmarkEnd w:id="976"/>
    </w:p>
    <w:p w14:paraId="0BC4878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77" w:name="_Toc21036"/>
      <w:bookmarkStart w:id="978" w:name="_Toc29292"/>
      <w:bookmarkStart w:id="979" w:name="_Toc12856"/>
      <w:bookmarkStart w:id="980" w:name="_Toc234833075"/>
      <w:bookmarkStart w:id="981" w:name="_Toc11688"/>
      <w:r>
        <w:rPr>
          <w:rFonts w:hint="default" w:ascii="Times New Roman" w:hAnsi="Times New Roman" w:eastAsia="黑体" w:cs="Times New Roman"/>
          <w:b w:val="0"/>
          <w:color w:val="auto"/>
          <w:sz w:val="24"/>
          <w:szCs w:val="24"/>
          <w:highlight w:val="none"/>
        </w:rPr>
        <w:t>17.1 计量</w:t>
      </w:r>
      <w:bookmarkEnd w:id="977"/>
      <w:bookmarkEnd w:id="978"/>
      <w:bookmarkEnd w:id="979"/>
      <w:bookmarkEnd w:id="980"/>
      <w:bookmarkEnd w:id="981"/>
      <w:r>
        <w:rPr>
          <w:rFonts w:hint="default" w:ascii="Times New Roman" w:hAnsi="Times New Roman" w:eastAsia="黑体" w:cs="Times New Roman"/>
          <w:b w:val="0"/>
          <w:color w:val="auto"/>
          <w:sz w:val="24"/>
          <w:szCs w:val="24"/>
          <w:highlight w:val="none"/>
        </w:rPr>
        <w:t xml:space="preserve"> </w:t>
      </w:r>
    </w:p>
    <w:p w14:paraId="28ED7FC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17.1.1 </w:t>
      </w:r>
      <w:r>
        <w:rPr>
          <w:rFonts w:hint="default" w:ascii="Times New Roman" w:hAnsi="Times New Roman" w:eastAsia="黑体" w:cs="Times New Roman"/>
          <w:color w:val="auto"/>
          <w:sz w:val="24"/>
          <w:highlight w:val="none"/>
        </w:rPr>
        <w:t>计量单位</w:t>
      </w:r>
    </w:p>
    <w:p w14:paraId="036D9B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计量采用国家法定的计量单位。</w:t>
      </w:r>
    </w:p>
    <w:p w14:paraId="30472AFD">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17.1.2 </w:t>
      </w:r>
      <w:r>
        <w:rPr>
          <w:rFonts w:hint="default" w:ascii="Times New Roman" w:hAnsi="Times New Roman" w:eastAsia="黑体" w:cs="Times New Roman"/>
          <w:color w:val="auto"/>
          <w:sz w:val="24"/>
          <w:highlight w:val="none"/>
        </w:rPr>
        <w:t>计量方法</w:t>
      </w:r>
    </w:p>
    <w:p w14:paraId="1ACAB7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工程量清单中的工程量计算规则应按有关国家标准、行业标准的规定，并在合同中约定执行。</w:t>
      </w:r>
    </w:p>
    <w:p w14:paraId="6A29080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17.1.3 </w:t>
      </w:r>
      <w:r>
        <w:rPr>
          <w:rFonts w:hint="default" w:ascii="Times New Roman" w:hAnsi="Times New Roman" w:eastAsia="黑体" w:cs="Times New Roman"/>
          <w:color w:val="auto"/>
          <w:sz w:val="24"/>
          <w:highlight w:val="none"/>
        </w:rPr>
        <w:t>计量周期</w:t>
      </w:r>
    </w:p>
    <w:p w14:paraId="142C97B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除专用合同条款另有约定外，单价子目已完成工程量按月计量，总价子目的计量周期按批准的支付分解报告确定。 </w:t>
      </w:r>
    </w:p>
    <w:p w14:paraId="612DD1E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17.1.4 </w:t>
      </w:r>
      <w:r>
        <w:rPr>
          <w:rFonts w:hint="default" w:ascii="Times New Roman" w:hAnsi="Times New Roman" w:eastAsia="黑体" w:cs="Times New Roman"/>
          <w:color w:val="auto"/>
          <w:sz w:val="24"/>
          <w:highlight w:val="none"/>
        </w:rPr>
        <w:t>单价子目的计量</w:t>
      </w:r>
    </w:p>
    <w:p w14:paraId="2946069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（1）已标价工程量清单中的单价子目工程量为估算工程量。结算工程量是承包人实际完成的，并按合同约定的计量方法进行计量的工程量。</w:t>
      </w:r>
    </w:p>
    <w:p w14:paraId="458AF9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（2）承包人对已完成的工程进行计量，向监理人提交进度付款申请单、已完成工程量报表和有关计量资料。</w:t>
      </w:r>
    </w:p>
    <w:p w14:paraId="3C2A4A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15794A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（4）监理人认为有必要时，可通知承包人共同进行联合测量、计量，承包人应遵照执行。</w:t>
      </w:r>
    </w:p>
    <w:p w14:paraId="512C0D7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17088D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（6）监理人应在收到承包人提交的工程量报表后的7天内进行复核，监理人未在约定时间内复核的，承包人提交的工程量报表中的工程量视为承包人实际完成的工程量，据此计算工程价款。</w:t>
      </w:r>
    </w:p>
    <w:p w14:paraId="03907C6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17.1.5 </w:t>
      </w:r>
      <w:r>
        <w:rPr>
          <w:rFonts w:hint="default" w:ascii="Times New Roman" w:hAnsi="Times New Roman" w:eastAsia="黑体" w:cs="Times New Roman"/>
          <w:color w:val="auto"/>
          <w:sz w:val="24"/>
          <w:highlight w:val="none"/>
        </w:rPr>
        <w:t>总价子目的计量</w:t>
      </w:r>
    </w:p>
    <w:p w14:paraId="021A391C">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除专用合同条款另有约定外，总价子目的分解和计量按照下述约定进行。</w:t>
      </w:r>
    </w:p>
    <w:p w14:paraId="776D039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（1）总价子目的计量和支付应以总价为基础，不因第16.1款中的因素而进行调整。承包人实际完成的工程量，是进行工程目标管理和控制进度支付的依据。</w:t>
      </w:r>
    </w:p>
    <w:p w14:paraId="2937D51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66B069B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（3）监理人对承包人提交的上述资料进行复核，以确定分阶段实际完成的工程量和工程形象目标。对其有异议的，可要求承包人按第8.2款约定进行共同复核和抽样复测。</w:t>
      </w:r>
    </w:p>
    <w:p w14:paraId="20F2E71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（4）除按照第15条约定的变更外，总价子目的工程量是承包人用于结算的最终工程量。</w:t>
      </w:r>
    </w:p>
    <w:p w14:paraId="3A65B36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82" w:name="_Toc10349"/>
      <w:bookmarkStart w:id="983" w:name="_Toc16552"/>
      <w:bookmarkStart w:id="984" w:name="_Toc234833076"/>
      <w:bookmarkStart w:id="985" w:name="_Toc28011"/>
      <w:bookmarkStart w:id="986" w:name="_Toc28845"/>
      <w:r>
        <w:rPr>
          <w:rFonts w:hint="default" w:ascii="Times New Roman" w:hAnsi="Times New Roman" w:eastAsia="黑体" w:cs="Times New Roman"/>
          <w:b w:val="0"/>
          <w:color w:val="auto"/>
          <w:sz w:val="24"/>
          <w:szCs w:val="24"/>
          <w:highlight w:val="none"/>
        </w:rPr>
        <w:t>17.2 预付款</w:t>
      </w:r>
      <w:bookmarkEnd w:id="982"/>
      <w:bookmarkEnd w:id="983"/>
      <w:bookmarkEnd w:id="984"/>
      <w:bookmarkEnd w:id="985"/>
      <w:bookmarkEnd w:id="986"/>
    </w:p>
    <w:p w14:paraId="7CC1BB2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25FA72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250BF36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17.2.2 </w:t>
      </w:r>
      <w:r>
        <w:rPr>
          <w:rFonts w:hint="default" w:ascii="Times New Roman" w:hAnsi="Times New Roman" w:eastAsia="黑体" w:cs="Times New Roman"/>
          <w:color w:val="auto"/>
          <w:sz w:val="24"/>
          <w:highlight w:val="none"/>
        </w:rPr>
        <w:t>预付款保函</w:t>
      </w:r>
    </w:p>
    <w:p w14:paraId="0A8ED5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51527674">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17.2.3 </w:t>
      </w:r>
      <w:r>
        <w:rPr>
          <w:rFonts w:hint="default" w:ascii="Times New Roman" w:hAnsi="Times New Roman" w:eastAsia="黑体" w:cs="Times New Roman"/>
          <w:color w:val="auto"/>
          <w:sz w:val="24"/>
          <w:highlight w:val="none"/>
        </w:rPr>
        <w:t>预付款的扣回与还清</w:t>
      </w:r>
    </w:p>
    <w:p w14:paraId="6EC110C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15967F0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87" w:name="_Toc13844"/>
      <w:bookmarkStart w:id="988" w:name="_Toc234833077"/>
      <w:bookmarkStart w:id="989" w:name="_Toc26397"/>
      <w:bookmarkStart w:id="990" w:name="_Toc20532"/>
      <w:bookmarkStart w:id="991" w:name="_Toc7717"/>
      <w:r>
        <w:rPr>
          <w:rFonts w:hint="default" w:ascii="Times New Roman" w:hAnsi="Times New Roman" w:eastAsia="黑体" w:cs="Times New Roman"/>
          <w:b w:val="0"/>
          <w:color w:val="auto"/>
          <w:sz w:val="24"/>
          <w:szCs w:val="24"/>
          <w:highlight w:val="none"/>
        </w:rPr>
        <w:t>17.3 工程进度付款</w:t>
      </w:r>
      <w:bookmarkEnd w:id="987"/>
      <w:bookmarkEnd w:id="988"/>
      <w:bookmarkEnd w:id="989"/>
      <w:bookmarkEnd w:id="990"/>
      <w:bookmarkEnd w:id="991"/>
    </w:p>
    <w:p w14:paraId="28B0B6C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17.3.1 </w:t>
      </w:r>
      <w:r>
        <w:rPr>
          <w:rFonts w:hint="default" w:ascii="Times New Roman" w:hAnsi="Times New Roman" w:eastAsia="黑体" w:cs="Times New Roman"/>
          <w:color w:val="auto"/>
          <w:sz w:val="24"/>
          <w:highlight w:val="none"/>
        </w:rPr>
        <w:t>付款周期</w:t>
      </w:r>
    </w:p>
    <w:p w14:paraId="0607079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付款周期同计量周期。</w:t>
      </w:r>
    </w:p>
    <w:p w14:paraId="5E091D9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17.3.2 </w:t>
      </w:r>
      <w:r>
        <w:rPr>
          <w:rFonts w:hint="default" w:ascii="Times New Roman" w:hAnsi="Times New Roman" w:eastAsia="黑体" w:cs="Times New Roman"/>
          <w:color w:val="auto"/>
          <w:sz w:val="24"/>
          <w:highlight w:val="none"/>
        </w:rPr>
        <w:t>进度付款申请单</w:t>
      </w:r>
    </w:p>
    <w:p w14:paraId="66F5E86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F42B40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（1）截至本次付款周期末已实施工程的价款；</w:t>
      </w:r>
    </w:p>
    <w:p w14:paraId="78A0E3A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（2）根据第15条应增加和扣减的变更金额；</w:t>
      </w:r>
    </w:p>
    <w:p w14:paraId="08D648F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（3）根据第23条应增加和扣减的索赔金额；</w:t>
      </w:r>
    </w:p>
    <w:p w14:paraId="25E4C99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（4）根据第17.2款约定应支付的预付款和扣减的返还预付款；</w:t>
      </w:r>
    </w:p>
    <w:p w14:paraId="6622DAE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（5）根据第17.4.1项约定应扣减的质量保证金；</w:t>
      </w:r>
    </w:p>
    <w:p w14:paraId="25A0EC7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（6）根据合同应增加和扣减的其他金额。</w:t>
      </w:r>
    </w:p>
    <w:p w14:paraId="35BF378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17.3.3 </w:t>
      </w:r>
      <w:r>
        <w:rPr>
          <w:rFonts w:hint="default" w:ascii="Times New Roman" w:hAnsi="Times New Roman" w:eastAsia="黑体" w:cs="Times New Roman"/>
          <w:color w:val="auto"/>
          <w:sz w:val="24"/>
          <w:highlight w:val="none"/>
        </w:rPr>
        <w:t>进度付款证书和支付时间</w:t>
      </w:r>
    </w:p>
    <w:p w14:paraId="707919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2BBF13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（2）发包人应在监理人收到进度付款申请单后的28天内，将进度应付款支付给承包人。发包人不按期支付的，按专用合同条款的约定支付逾期付款违约金。</w:t>
      </w:r>
    </w:p>
    <w:p w14:paraId="0BEEB9A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（3）监理人出具进度付款证书，不应视为监理人已同意、批准或接受了承包人完成的该部分工作。</w:t>
      </w:r>
    </w:p>
    <w:p w14:paraId="6FCFE9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（4）进度付款涉及政府投资资金的，按照国库集中支付等国家相关规定和专用合同条款的约定办理。</w:t>
      </w:r>
    </w:p>
    <w:p w14:paraId="741FFE1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br w:type="page"/>
      </w:r>
      <w:r>
        <w:rPr>
          <w:rFonts w:hint="default" w:ascii="Times New Roman" w:hAnsi="Times New Roman" w:cs="Times New Roman"/>
          <w:color w:val="auto"/>
          <w:sz w:val="24"/>
          <w:highlight w:val="none"/>
        </w:rPr>
        <w:t>17.3.4</w:t>
      </w:r>
      <w:r>
        <w:rPr>
          <w:rFonts w:hint="default" w:ascii="Times New Roman" w:hAnsi="Times New Roman" w:eastAsia="黑体" w:cs="Times New Roman"/>
          <w:color w:val="auto"/>
          <w:sz w:val="24"/>
          <w:highlight w:val="none"/>
        </w:rPr>
        <w:t xml:space="preserve"> 工程进度付款的修正</w:t>
      </w:r>
    </w:p>
    <w:p w14:paraId="481447A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2FB6BAD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92" w:name="_Toc27494"/>
      <w:bookmarkStart w:id="993" w:name="_Toc234833078"/>
      <w:bookmarkStart w:id="994" w:name="_Toc10469"/>
      <w:bookmarkStart w:id="995" w:name="_Toc30905"/>
      <w:bookmarkStart w:id="996" w:name="_Toc2545"/>
      <w:r>
        <w:rPr>
          <w:rFonts w:hint="default" w:ascii="Times New Roman" w:hAnsi="Times New Roman" w:eastAsia="黑体" w:cs="Times New Roman"/>
          <w:b w:val="0"/>
          <w:color w:val="auto"/>
          <w:sz w:val="24"/>
          <w:szCs w:val="24"/>
          <w:highlight w:val="none"/>
        </w:rPr>
        <w:t>17.4 质量保证金</w:t>
      </w:r>
      <w:bookmarkEnd w:id="992"/>
      <w:bookmarkEnd w:id="993"/>
      <w:bookmarkEnd w:id="994"/>
      <w:bookmarkEnd w:id="995"/>
      <w:bookmarkEnd w:id="996"/>
    </w:p>
    <w:p w14:paraId="6CCA1F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78955F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2178EF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17.4.3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31345A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97" w:name="_Toc23313"/>
      <w:bookmarkStart w:id="998" w:name="_Toc234833079"/>
      <w:bookmarkStart w:id="999" w:name="_Toc26619"/>
      <w:bookmarkStart w:id="1000" w:name="_Toc26637"/>
      <w:bookmarkStart w:id="1001" w:name="_Toc9754"/>
      <w:r>
        <w:rPr>
          <w:rFonts w:hint="default" w:ascii="Times New Roman" w:hAnsi="Times New Roman" w:eastAsia="黑体" w:cs="Times New Roman"/>
          <w:b w:val="0"/>
          <w:color w:val="auto"/>
          <w:sz w:val="24"/>
          <w:szCs w:val="24"/>
          <w:highlight w:val="none"/>
        </w:rPr>
        <w:t>17.5 竣工结算</w:t>
      </w:r>
      <w:bookmarkEnd w:id="997"/>
      <w:bookmarkEnd w:id="998"/>
      <w:bookmarkEnd w:id="999"/>
      <w:bookmarkEnd w:id="1000"/>
      <w:bookmarkEnd w:id="1001"/>
    </w:p>
    <w:p w14:paraId="31ECABC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17.5.1 </w:t>
      </w:r>
      <w:r>
        <w:rPr>
          <w:rFonts w:hint="default" w:ascii="Times New Roman" w:hAnsi="Times New Roman" w:eastAsia="黑体" w:cs="Times New Roman"/>
          <w:color w:val="auto"/>
          <w:sz w:val="24"/>
          <w:highlight w:val="none"/>
        </w:rPr>
        <w:t>竣工付款申请单</w:t>
      </w:r>
    </w:p>
    <w:p w14:paraId="5D1F1A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3F6EA2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（2）监理人对竣工付款申请单有异议的，有权要求承包人进行修正和提供补充资料。经监理人和承包人协商后，由承包人向监理人提交修正后的竣工付款申请单。</w:t>
      </w:r>
    </w:p>
    <w:p w14:paraId="55EAB5A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17.5.2 </w:t>
      </w:r>
      <w:r>
        <w:rPr>
          <w:rFonts w:hint="default" w:ascii="Times New Roman" w:hAnsi="Times New Roman" w:eastAsia="黑体" w:cs="Times New Roman"/>
          <w:color w:val="auto"/>
          <w:sz w:val="24"/>
          <w:highlight w:val="none"/>
        </w:rPr>
        <w:t>竣工付款证书及支付时间</w:t>
      </w:r>
    </w:p>
    <w:p w14:paraId="4F9F6D7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0D20CB2A">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（2）发包人应在监理人出具竣工付款证书后的14天内，将应支付款支付给承包人。发包人不按期支付的，按第17.3.3（2）目的约定，将逾期付款违约金支付给承包人。</w:t>
      </w:r>
    </w:p>
    <w:p w14:paraId="5E38CC33">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（3）承包人对发包人签认的竣工付款证书有异议的，发包人可出具竣工付款申请单中承包人已同意部分的临时付款证书。存在争议的部分，按第24条的约定办理。</w:t>
      </w:r>
    </w:p>
    <w:p w14:paraId="4A661219">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（4）竣工付款涉及政府投资资金的，按第17.3.3（4）目的约定办理。</w:t>
      </w:r>
    </w:p>
    <w:p w14:paraId="67002C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02" w:name="_Toc4427"/>
      <w:bookmarkStart w:id="1003" w:name="_Toc3447"/>
      <w:bookmarkStart w:id="1004" w:name="_Toc234833080"/>
      <w:bookmarkStart w:id="1005" w:name="_Toc1613"/>
      <w:bookmarkStart w:id="1006" w:name="_Toc13815"/>
      <w:r>
        <w:rPr>
          <w:rFonts w:hint="default" w:ascii="Times New Roman" w:hAnsi="Times New Roman" w:eastAsia="黑体" w:cs="Times New Roman"/>
          <w:b w:val="0"/>
          <w:color w:val="auto"/>
          <w:sz w:val="24"/>
          <w:szCs w:val="24"/>
          <w:highlight w:val="none"/>
        </w:rPr>
        <w:t>17.6 最终结清</w:t>
      </w:r>
      <w:bookmarkEnd w:id="1002"/>
      <w:bookmarkEnd w:id="1003"/>
      <w:bookmarkEnd w:id="1004"/>
      <w:bookmarkEnd w:id="1005"/>
      <w:bookmarkEnd w:id="1006"/>
    </w:p>
    <w:p w14:paraId="4EE9008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17.6.1 </w:t>
      </w:r>
      <w:r>
        <w:rPr>
          <w:rFonts w:hint="default" w:ascii="Times New Roman" w:hAnsi="Times New Roman" w:eastAsia="黑体" w:cs="Times New Roman"/>
          <w:color w:val="auto"/>
          <w:sz w:val="24"/>
          <w:highlight w:val="none"/>
        </w:rPr>
        <w:t>最终结清申请单</w:t>
      </w:r>
    </w:p>
    <w:p w14:paraId="36BE307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（1）缺陷责任期终止证书签发后，承包人可按专用合同条款约定的份数和期限向监理人提交最终结清申请单，并提供相关证明材料。</w:t>
      </w:r>
    </w:p>
    <w:p w14:paraId="612536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（2）发包人对最终结清申请单内容有异议的，有权要求承包人进行修正和提供补充资料，由承包人向监理人提交修正后的最终结清申请单。</w:t>
      </w:r>
    </w:p>
    <w:p w14:paraId="11C6E37A">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17.6.2 </w:t>
      </w:r>
      <w:r>
        <w:rPr>
          <w:rFonts w:hint="default" w:ascii="Times New Roman" w:hAnsi="Times New Roman" w:eastAsia="黑体" w:cs="Times New Roman"/>
          <w:color w:val="auto"/>
          <w:sz w:val="24"/>
          <w:highlight w:val="none"/>
        </w:rPr>
        <w:t>最终结清证书和支付时间</w:t>
      </w:r>
      <w:r>
        <w:rPr>
          <w:rFonts w:hint="default" w:ascii="Times New Roman" w:hAnsi="Times New Roman" w:cs="Times New Roman"/>
          <w:color w:val="auto"/>
          <w:sz w:val="24"/>
          <w:highlight w:val="none"/>
        </w:rPr>
        <w:t xml:space="preserve"> </w:t>
      </w:r>
    </w:p>
    <w:p w14:paraId="086E4A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单已经监理人核查同意；发包人未在约定时间内审核又未提出具体意见的，监理人提出应支付给承包人的价款视为已经发包人同意。</w:t>
      </w:r>
    </w:p>
    <w:p w14:paraId="13EAE5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（2）发包人应在监理人出具最终结清证书后的14天内，将应支付款支付给承包人。发包人不按期支付的，按第17.3.3（2）目的约定，将逾期付款违约金支付给承包人。</w:t>
      </w:r>
    </w:p>
    <w:p w14:paraId="04FBDE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（3）承包人对发包人签认的最终结清证书有异议的，按第24条的约定办理。</w:t>
      </w:r>
    </w:p>
    <w:p w14:paraId="2A096F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（4）最终结清付款涉及政府投资资金的，按第17.3.3（4）目的约定办理。</w:t>
      </w:r>
    </w:p>
    <w:p w14:paraId="340F40B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07" w:name="_Toc13751"/>
      <w:bookmarkStart w:id="1008" w:name="_Toc234833081"/>
      <w:bookmarkStart w:id="1009" w:name="_Toc1653"/>
      <w:bookmarkStart w:id="1010" w:name="_Toc29576"/>
      <w:bookmarkStart w:id="1011" w:name="_Toc31279"/>
      <w:r>
        <w:rPr>
          <w:rFonts w:hint="default" w:ascii="Times New Roman" w:hAnsi="Times New Roman" w:eastAsia="黑体" w:cs="Times New Roman"/>
          <w:b w:val="0"/>
          <w:color w:val="auto"/>
          <w:sz w:val="28"/>
          <w:szCs w:val="28"/>
          <w:highlight w:val="none"/>
        </w:rPr>
        <w:t>18. 竣工验收</w:t>
      </w:r>
      <w:bookmarkEnd w:id="1007"/>
      <w:bookmarkEnd w:id="1008"/>
      <w:bookmarkEnd w:id="1009"/>
      <w:bookmarkEnd w:id="1010"/>
      <w:bookmarkEnd w:id="1011"/>
    </w:p>
    <w:p w14:paraId="639FDFB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12" w:name="_Toc14256"/>
      <w:bookmarkStart w:id="1013" w:name="_Toc11052"/>
      <w:bookmarkStart w:id="1014" w:name="_Toc10071"/>
      <w:bookmarkStart w:id="1015" w:name="_Toc11287"/>
      <w:bookmarkStart w:id="1016" w:name="_Toc234833082"/>
      <w:r>
        <w:rPr>
          <w:rFonts w:hint="default" w:ascii="Times New Roman" w:hAnsi="Times New Roman" w:eastAsia="黑体" w:cs="Times New Roman"/>
          <w:b w:val="0"/>
          <w:color w:val="auto"/>
          <w:sz w:val="24"/>
          <w:szCs w:val="24"/>
          <w:highlight w:val="none"/>
        </w:rPr>
        <w:t>18.1 竣工验收的含义</w:t>
      </w:r>
      <w:bookmarkEnd w:id="1012"/>
      <w:bookmarkEnd w:id="1013"/>
      <w:bookmarkEnd w:id="1014"/>
      <w:bookmarkEnd w:id="1015"/>
      <w:bookmarkEnd w:id="1016"/>
    </w:p>
    <w:p w14:paraId="61077F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18.1.1 竣工验收指承包人完成了全部合同工作后，发包人按合同要求进行的验收。</w:t>
      </w:r>
    </w:p>
    <w:p w14:paraId="7EFD7B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18.1.2 国家验收是政府有关部门根据法律、规范、规程和政策要求，针对发包人全面组织实施的整个工程正式交付投运前的验收。</w:t>
      </w:r>
    </w:p>
    <w:p w14:paraId="471C8E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3EA8B6E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17" w:name="_Toc3760"/>
      <w:bookmarkStart w:id="1018" w:name="_Toc11221"/>
      <w:bookmarkStart w:id="1019" w:name="_Toc234833083"/>
      <w:bookmarkStart w:id="1020" w:name="_Toc9365"/>
      <w:bookmarkStart w:id="1021" w:name="_Toc25249"/>
      <w:r>
        <w:rPr>
          <w:rFonts w:hint="default" w:ascii="Times New Roman" w:hAnsi="Times New Roman" w:eastAsia="黑体" w:cs="Times New Roman"/>
          <w:b w:val="0"/>
          <w:color w:val="auto"/>
          <w:sz w:val="24"/>
          <w:szCs w:val="24"/>
          <w:highlight w:val="none"/>
        </w:rPr>
        <w:t>18.2 竣工验收申请报告</w:t>
      </w:r>
      <w:bookmarkEnd w:id="1017"/>
      <w:bookmarkEnd w:id="1018"/>
      <w:bookmarkEnd w:id="1019"/>
      <w:bookmarkEnd w:id="1020"/>
      <w:bookmarkEnd w:id="1021"/>
    </w:p>
    <w:p w14:paraId="1EBF23F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当工程具备以下条件时，承包人即可向监理人报送竣工验收申请报告：</w:t>
      </w:r>
    </w:p>
    <w:p w14:paraId="3D61D4F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2EADE62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（2）已按合同约定的内容和份数备齐了符合要求的竣工资料； </w:t>
      </w:r>
    </w:p>
    <w:p w14:paraId="0498FA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（3）已按监理人的要求编制了在缺陷责任期内完成的尾工（甩项）工程和缺陷修补工作清单以及相应施工计划；</w:t>
      </w:r>
    </w:p>
    <w:p w14:paraId="4C187E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（4）监理人要求在竣工验收前应完成的其他工作；</w:t>
      </w:r>
    </w:p>
    <w:p w14:paraId="3781E67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（5）监理人要求提交的竣工验收资料清单。</w:t>
      </w:r>
    </w:p>
    <w:p w14:paraId="5ADE14F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2" w:name="_Toc18269"/>
      <w:bookmarkStart w:id="1023" w:name="_Toc30208"/>
      <w:bookmarkStart w:id="1024" w:name="_Toc234833084"/>
      <w:bookmarkStart w:id="1025" w:name="_Toc11295"/>
      <w:bookmarkStart w:id="1026" w:name="_Toc25904"/>
      <w:r>
        <w:rPr>
          <w:rFonts w:hint="default" w:ascii="Times New Roman" w:hAnsi="Times New Roman" w:eastAsia="黑体" w:cs="Times New Roman"/>
          <w:b w:val="0"/>
          <w:color w:val="auto"/>
          <w:sz w:val="24"/>
          <w:szCs w:val="24"/>
          <w:highlight w:val="none"/>
        </w:rPr>
        <w:t>18.3 验收</w:t>
      </w:r>
      <w:bookmarkEnd w:id="1022"/>
      <w:bookmarkEnd w:id="1023"/>
      <w:bookmarkEnd w:id="1024"/>
      <w:bookmarkEnd w:id="1025"/>
      <w:bookmarkEnd w:id="1026"/>
    </w:p>
    <w:p w14:paraId="46B2E2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监理人收到承包人按第18.2款约定提交的竣工验收申请报告后，应审查申请报告的各项内容，并按以下不同情况进行处理。</w:t>
      </w:r>
    </w:p>
    <w:p w14:paraId="24D04D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38089A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18.3.2 监理人审查后认为已具备竣工验收条件的，应在收到竣工验收申请报告后的28天内提请发包人进行工程验收。</w:t>
      </w:r>
    </w:p>
    <w:p w14:paraId="573CDC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18.3.3发包人经过验收后同意接收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21D89D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6801F5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18.3.5 除专用合同条款另有约定外，经验收合格工程的实际竣工日期，以提交竣工验收申请报告的日期为准，并在工程接收证书中写明。</w:t>
      </w:r>
    </w:p>
    <w:p w14:paraId="4BF4C9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18.3.6 发包人在收到承包人竣工验收申请报告56天后未进行验收的，视为验收合格，实际竣工日期以提交竣工验收申请报告的日期为准，但发包人由于不可抗力不能进行验收的除外。</w:t>
      </w:r>
    </w:p>
    <w:p w14:paraId="63F21D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7" w:name="_Toc234833085"/>
      <w:bookmarkStart w:id="1028" w:name="_Toc7791"/>
      <w:bookmarkStart w:id="1029" w:name="_Toc21157"/>
      <w:bookmarkStart w:id="1030" w:name="_Toc11780"/>
      <w:bookmarkStart w:id="1031" w:name="_Toc11852"/>
      <w:r>
        <w:rPr>
          <w:rFonts w:hint="default" w:ascii="Times New Roman" w:hAnsi="Times New Roman" w:eastAsia="黑体" w:cs="Times New Roman"/>
          <w:b w:val="0"/>
          <w:color w:val="auto"/>
          <w:sz w:val="24"/>
          <w:szCs w:val="24"/>
          <w:highlight w:val="none"/>
        </w:rPr>
        <w:t>18.4 单位工程验收</w:t>
      </w:r>
      <w:bookmarkEnd w:id="1027"/>
      <w:bookmarkEnd w:id="1028"/>
      <w:bookmarkEnd w:id="1029"/>
      <w:bookmarkEnd w:id="1030"/>
      <w:bookmarkEnd w:id="1031"/>
    </w:p>
    <w:p w14:paraId="5FADC80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18.4.1</w:t>
      </w:r>
      <w:r>
        <w:rPr>
          <w:rFonts w:hint="default" w:ascii="Times New Roman" w:hAnsi="Times New Roman" w:cs="Times New Roman"/>
          <w:color w:val="auto"/>
          <w:sz w:val="24"/>
          <w:highlight w:val="none"/>
        </w:rPr>
        <w:t>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7CC7E6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18.4.2发包人在全部工程竣工前，使用已接收的单位工程导致承包人费用增加的，发包人应承担由此增加的费用和（或）工期延误，并支付承包人合理利润。</w:t>
      </w:r>
    </w:p>
    <w:p w14:paraId="557EEE2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2" w:name="_Toc234833086"/>
      <w:bookmarkStart w:id="1033" w:name="_Toc28737"/>
      <w:bookmarkStart w:id="1034" w:name="_Toc15835"/>
      <w:bookmarkStart w:id="1035" w:name="_Toc28198"/>
      <w:bookmarkStart w:id="1036" w:name="_Toc2444"/>
      <w:r>
        <w:rPr>
          <w:rFonts w:hint="default" w:ascii="Times New Roman" w:hAnsi="Times New Roman" w:eastAsia="黑体" w:cs="Times New Roman"/>
          <w:b w:val="0"/>
          <w:color w:val="auto"/>
          <w:sz w:val="24"/>
          <w:szCs w:val="24"/>
          <w:highlight w:val="none"/>
        </w:rPr>
        <w:t>18.5施工期运行</w:t>
      </w:r>
      <w:bookmarkEnd w:id="1032"/>
      <w:bookmarkEnd w:id="1033"/>
      <w:bookmarkEnd w:id="1034"/>
      <w:bookmarkEnd w:id="1035"/>
      <w:bookmarkEnd w:id="1036"/>
    </w:p>
    <w:p w14:paraId="319D30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178A0C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18.5.2 在施工期运行中发现工程或工程设备损坏或存在缺陷的，由承包人按第19.2款约定进行修复。</w:t>
      </w:r>
    </w:p>
    <w:p w14:paraId="3BEC3B7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7" w:name="_Toc234833087"/>
      <w:bookmarkStart w:id="1038" w:name="_Toc21844"/>
      <w:bookmarkStart w:id="1039" w:name="_Toc17390"/>
      <w:bookmarkStart w:id="1040" w:name="_Toc27512"/>
      <w:bookmarkStart w:id="1041" w:name="_Toc19050"/>
      <w:r>
        <w:rPr>
          <w:rFonts w:hint="default" w:ascii="Times New Roman" w:hAnsi="Times New Roman" w:eastAsia="黑体" w:cs="Times New Roman"/>
          <w:b w:val="0"/>
          <w:color w:val="auto"/>
          <w:sz w:val="24"/>
          <w:szCs w:val="24"/>
          <w:highlight w:val="none"/>
        </w:rPr>
        <w:t>18.6 试运行</w:t>
      </w:r>
      <w:bookmarkEnd w:id="1037"/>
      <w:bookmarkEnd w:id="1038"/>
      <w:bookmarkEnd w:id="1039"/>
      <w:bookmarkEnd w:id="1040"/>
      <w:bookmarkEnd w:id="1041"/>
    </w:p>
    <w:p w14:paraId="6A248B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18.6.1</w:t>
      </w:r>
      <w:r>
        <w:rPr>
          <w:rFonts w:hint="default" w:ascii="Times New Roman" w:hAnsi="Times New Roman" w:cs="Times New Roman"/>
          <w:b/>
          <w:color w:val="auto"/>
          <w:sz w:val="24"/>
          <w:highlight w:val="none"/>
        </w:rPr>
        <w:t xml:space="preserve"> </w:t>
      </w:r>
      <w:r>
        <w:rPr>
          <w:rFonts w:hint="default" w:ascii="Times New Roman" w:hAnsi="Times New Roman" w:cs="Times New Roman"/>
          <w:color w:val="auto"/>
          <w:sz w:val="24"/>
          <w:highlight w:val="none"/>
        </w:rPr>
        <w:t>除专用合同条款另有约定外，承包人应按专用合同条款约定进行工程及工程设备试运行，负责提供试运行所需的人员、器材和必要的条件，并承担全部试运行费用。</w:t>
      </w:r>
    </w:p>
    <w:p w14:paraId="0F0084DB">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18.6.2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11DF0F2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42" w:name="_Toc13521"/>
      <w:bookmarkStart w:id="1043" w:name="_Toc14071"/>
      <w:bookmarkStart w:id="1044" w:name="_Toc22550"/>
      <w:bookmarkStart w:id="1045" w:name="_Toc26314"/>
      <w:bookmarkStart w:id="1046" w:name="_Toc234833088"/>
      <w:r>
        <w:rPr>
          <w:rFonts w:hint="default" w:ascii="Times New Roman" w:hAnsi="Times New Roman" w:eastAsia="黑体" w:cs="Times New Roman"/>
          <w:b w:val="0"/>
          <w:color w:val="auto"/>
          <w:sz w:val="24"/>
          <w:szCs w:val="24"/>
          <w:highlight w:val="none"/>
        </w:rPr>
        <w:t>18.7 竣工清场</w:t>
      </w:r>
      <w:bookmarkEnd w:id="1042"/>
      <w:bookmarkEnd w:id="1043"/>
      <w:bookmarkEnd w:id="1044"/>
      <w:bookmarkEnd w:id="1045"/>
      <w:bookmarkEnd w:id="1046"/>
    </w:p>
    <w:p w14:paraId="623250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18.7.1除合同另有约定外，工程接收证书颁发后，承包人应按以下要求对施工场地进行清理，直至监理人检验合格为止。竣工清场费用由承包人承担。</w:t>
      </w:r>
    </w:p>
    <w:p w14:paraId="74ACF30C">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（1）施工场地内残留的垃圾已全部清除出场；</w:t>
      </w:r>
    </w:p>
    <w:p w14:paraId="2F3EDEA7">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（2）临时工程已拆除，场地已按合同要求进行清理、平整或复原；</w:t>
      </w:r>
    </w:p>
    <w:p w14:paraId="699CD41F">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（3）按合同约定应撤离的承包人设备和剩余的材料，包括废弃的施工设备和材料，已按计划撤离施工场地；</w:t>
      </w:r>
    </w:p>
    <w:p w14:paraId="1B2FC8B5">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（4）工程建筑物周边及其附近道路、河道的施工堆积物，已按监理人指示全部清理；</w:t>
      </w:r>
    </w:p>
    <w:p w14:paraId="3351419E">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（5）监理人指示的其他场地清理工作已全部完成。</w:t>
      </w:r>
    </w:p>
    <w:p w14:paraId="3AEEACE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18.7.2承包人未按监理人的要求恢复临时占地，或者场地清理未达到合同约定的，发包人有权委托其他人恢复或清理，所发生的金额从拟支付给承包人的款项中扣除。</w:t>
      </w:r>
    </w:p>
    <w:p w14:paraId="5FE22C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47" w:name="_Toc14033"/>
      <w:bookmarkStart w:id="1048" w:name="_Toc5042"/>
      <w:bookmarkStart w:id="1049" w:name="_Toc7517"/>
      <w:bookmarkStart w:id="1050" w:name="_Toc23526"/>
      <w:bookmarkStart w:id="1051" w:name="_Toc234833089"/>
      <w:r>
        <w:rPr>
          <w:rFonts w:hint="default" w:ascii="Times New Roman" w:hAnsi="Times New Roman" w:eastAsia="黑体" w:cs="Times New Roman"/>
          <w:b w:val="0"/>
          <w:color w:val="auto"/>
          <w:sz w:val="24"/>
          <w:szCs w:val="24"/>
          <w:highlight w:val="none"/>
        </w:rPr>
        <w:t>18.8施工队伍的撤离</w:t>
      </w:r>
      <w:bookmarkEnd w:id="1047"/>
      <w:bookmarkEnd w:id="1048"/>
      <w:bookmarkEnd w:id="1049"/>
      <w:bookmarkEnd w:id="1050"/>
      <w:bookmarkEnd w:id="1051"/>
    </w:p>
    <w:p w14:paraId="3227E8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4531121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52" w:name="_Toc2434"/>
      <w:bookmarkStart w:id="1053" w:name="_Toc2492"/>
      <w:bookmarkStart w:id="1054" w:name="_Toc234833090"/>
      <w:bookmarkStart w:id="1055" w:name="_Toc7332"/>
      <w:bookmarkStart w:id="1056" w:name="_Toc11982"/>
      <w:r>
        <w:rPr>
          <w:rFonts w:hint="default" w:ascii="Times New Roman" w:hAnsi="Times New Roman" w:eastAsia="黑体" w:cs="Times New Roman"/>
          <w:b w:val="0"/>
          <w:color w:val="auto"/>
          <w:sz w:val="28"/>
          <w:szCs w:val="28"/>
          <w:highlight w:val="none"/>
        </w:rPr>
        <w:t>19. 缺陷责任与保修责任</w:t>
      </w:r>
      <w:bookmarkEnd w:id="1052"/>
      <w:bookmarkEnd w:id="1053"/>
      <w:bookmarkEnd w:id="1054"/>
      <w:bookmarkEnd w:id="1055"/>
      <w:bookmarkEnd w:id="1056"/>
    </w:p>
    <w:p w14:paraId="54FE2C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57" w:name="_Toc26824"/>
      <w:bookmarkStart w:id="1058" w:name="_Toc234833091"/>
      <w:bookmarkStart w:id="1059" w:name="_Toc21347"/>
      <w:bookmarkStart w:id="1060" w:name="_Toc28348"/>
      <w:bookmarkStart w:id="1061" w:name="_Toc29823"/>
      <w:r>
        <w:rPr>
          <w:rFonts w:hint="default" w:ascii="Times New Roman" w:hAnsi="Times New Roman" w:eastAsia="黑体" w:cs="Times New Roman"/>
          <w:b w:val="0"/>
          <w:color w:val="auto"/>
          <w:sz w:val="24"/>
          <w:szCs w:val="24"/>
          <w:highlight w:val="none"/>
        </w:rPr>
        <w:t>19.1 缺陷责任期的起算时间</w:t>
      </w:r>
      <w:bookmarkEnd w:id="1057"/>
      <w:bookmarkEnd w:id="1058"/>
      <w:bookmarkEnd w:id="1059"/>
      <w:bookmarkEnd w:id="1060"/>
      <w:bookmarkEnd w:id="1061"/>
    </w:p>
    <w:p w14:paraId="1ED3CD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缺陷责任期自实际竣工日期起计算。在全部工程竣工验收前，已经发包人提前验收的单位工程，其缺陷责任期的起算日期相应提前。</w:t>
      </w:r>
    </w:p>
    <w:p w14:paraId="4B8765E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62" w:name="_Toc18931"/>
      <w:bookmarkStart w:id="1063" w:name="_Toc28619"/>
      <w:bookmarkStart w:id="1064" w:name="_Toc23702"/>
      <w:bookmarkStart w:id="1065" w:name="_Toc17874"/>
      <w:bookmarkStart w:id="1066" w:name="_Toc234833092"/>
      <w:r>
        <w:rPr>
          <w:rFonts w:hint="default" w:ascii="Times New Roman" w:hAnsi="Times New Roman" w:eastAsia="黑体" w:cs="Times New Roman"/>
          <w:b w:val="0"/>
          <w:color w:val="auto"/>
          <w:sz w:val="24"/>
          <w:szCs w:val="24"/>
          <w:highlight w:val="none"/>
        </w:rPr>
        <w:t>19.2 缺陷责任</w:t>
      </w:r>
      <w:bookmarkEnd w:id="1062"/>
      <w:bookmarkEnd w:id="1063"/>
      <w:bookmarkEnd w:id="1064"/>
      <w:bookmarkEnd w:id="1065"/>
      <w:bookmarkEnd w:id="1066"/>
    </w:p>
    <w:p w14:paraId="1148CC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19.2.1 承包人应在缺陷责任期内对已交付使用的工程承担缺陷责任。</w:t>
      </w:r>
    </w:p>
    <w:p w14:paraId="37EB85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3FF8DC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6F5071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19.2.4 承包人不能在合理时间内修复缺陷的，发包人可自行修复或委托其他人修复，所需费用和利润的承担，按第19.2.3项约定办理。</w:t>
      </w:r>
    </w:p>
    <w:p w14:paraId="4A9E44C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67" w:name="_Toc4363"/>
      <w:bookmarkStart w:id="1068" w:name="_Toc234833093"/>
      <w:bookmarkStart w:id="1069" w:name="_Toc26044"/>
      <w:bookmarkStart w:id="1070" w:name="_Toc28473"/>
      <w:bookmarkStart w:id="1071" w:name="_Toc10617"/>
      <w:r>
        <w:rPr>
          <w:rFonts w:hint="default" w:ascii="Times New Roman" w:hAnsi="Times New Roman" w:eastAsia="黑体" w:cs="Times New Roman"/>
          <w:b w:val="0"/>
          <w:color w:val="auto"/>
          <w:sz w:val="24"/>
          <w:szCs w:val="24"/>
          <w:highlight w:val="none"/>
        </w:rPr>
        <w:t>19.3 缺陷责任期的延长</w:t>
      </w:r>
      <w:bookmarkEnd w:id="1067"/>
      <w:bookmarkEnd w:id="1068"/>
      <w:bookmarkEnd w:id="1069"/>
      <w:bookmarkEnd w:id="1070"/>
      <w:bookmarkEnd w:id="1071"/>
    </w:p>
    <w:p w14:paraId="0DFFD4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15A5A2C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72" w:name="_Toc722"/>
      <w:bookmarkStart w:id="1073" w:name="_Toc234833094"/>
      <w:bookmarkStart w:id="1074" w:name="_Toc7466"/>
      <w:bookmarkStart w:id="1075" w:name="_Toc10764"/>
      <w:bookmarkStart w:id="1076" w:name="_Toc15365"/>
      <w:r>
        <w:rPr>
          <w:rFonts w:hint="default" w:ascii="Times New Roman" w:hAnsi="Times New Roman" w:eastAsia="黑体" w:cs="Times New Roman"/>
          <w:b w:val="0"/>
          <w:color w:val="auto"/>
          <w:sz w:val="24"/>
          <w:szCs w:val="24"/>
          <w:highlight w:val="none"/>
        </w:rPr>
        <w:t>19.4 进一步试验和试运行</w:t>
      </w:r>
      <w:bookmarkEnd w:id="1072"/>
      <w:bookmarkEnd w:id="1073"/>
      <w:bookmarkEnd w:id="1074"/>
      <w:bookmarkEnd w:id="1075"/>
      <w:bookmarkEnd w:id="1076"/>
    </w:p>
    <w:p w14:paraId="7150574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任何一项缺陷或损坏修复后，经检查证明其影响了工程或工程设备的使用性能，承包人应重新进行合同约定的试验和试运行，试验和试运行的全部费用应由责任方承担。</w:t>
      </w:r>
    </w:p>
    <w:p w14:paraId="24D0675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77" w:name="_Toc1336"/>
      <w:bookmarkStart w:id="1078" w:name="_Toc5095"/>
      <w:bookmarkStart w:id="1079" w:name="_Toc31117"/>
      <w:bookmarkStart w:id="1080" w:name="_Toc13723"/>
      <w:bookmarkStart w:id="1081" w:name="_Toc234833095"/>
      <w:r>
        <w:rPr>
          <w:rFonts w:hint="default" w:ascii="Times New Roman" w:hAnsi="Times New Roman" w:eastAsia="黑体" w:cs="Times New Roman"/>
          <w:b w:val="0"/>
          <w:color w:val="auto"/>
          <w:sz w:val="24"/>
          <w:szCs w:val="24"/>
          <w:highlight w:val="none"/>
        </w:rPr>
        <w:t>19.5 承包人的进入权</w:t>
      </w:r>
      <w:bookmarkEnd w:id="1077"/>
      <w:bookmarkEnd w:id="1078"/>
      <w:bookmarkEnd w:id="1079"/>
      <w:bookmarkEnd w:id="1080"/>
      <w:bookmarkEnd w:id="1081"/>
      <w:r>
        <w:rPr>
          <w:rFonts w:hint="default" w:ascii="Times New Roman" w:hAnsi="Times New Roman" w:eastAsia="黑体" w:cs="Times New Roman"/>
          <w:b w:val="0"/>
          <w:color w:val="auto"/>
          <w:sz w:val="24"/>
          <w:szCs w:val="24"/>
          <w:highlight w:val="none"/>
        </w:rPr>
        <w:t xml:space="preserve"> </w:t>
      </w:r>
    </w:p>
    <w:p w14:paraId="5A72FDEC">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缺陷责任期内承包人为缺陷修复工作需要，有权进入工程现场，但应遵守发包人的保安和保密规定。</w:t>
      </w:r>
    </w:p>
    <w:p w14:paraId="4FA4872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82" w:name="_Toc2337"/>
      <w:bookmarkStart w:id="1083" w:name="_Toc10078"/>
      <w:bookmarkStart w:id="1084" w:name="_Toc12330"/>
      <w:bookmarkStart w:id="1085" w:name="_Toc234833096"/>
      <w:bookmarkStart w:id="1086" w:name="_Toc20655"/>
      <w:r>
        <w:rPr>
          <w:rFonts w:hint="default" w:ascii="Times New Roman" w:hAnsi="Times New Roman" w:eastAsia="黑体" w:cs="Times New Roman"/>
          <w:b w:val="0"/>
          <w:color w:val="auto"/>
          <w:sz w:val="24"/>
          <w:szCs w:val="24"/>
          <w:highlight w:val="none"/>
        </w:rPr>
        <w:t>19.6 缺陷责任期终止证书</w:t>
      </w:r>
      <w:bookmarkEnd w:id="1082"/>
      <w:bookmarkEnd w:id="1083"/>
      <w:bookmarkEnd w:id="1084"/>
      <w:bookmarkEnd w:id="1085"/>
      <w:bookmarkEnd w:id="1086"/>
    </w:p>
    <w:p w14:paraId="5EC578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在第1.1.4.5目约定的缺陷责任期，包括根据第19.3款延长的期限终止后14天内，由监理人向承包人出具经发包人签认的缺陷责任期终止证书，并退还剩余的质量保证金。</w:t>
      </w:r>
    </w:p>
    <w:p w14:paraId="507968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87" w:name="_Toc7127"/>
      <w:bookmarkStart w:id="1088" w:name="_Toc19867"/>
      <w:bookmarkStart w:id="1089" w:name="_Toc21869"/>
      <w:bookmarkStart w:id="1090" w:name="_Toc19327"/>
      <w:bookmarkStart w:id="1091" w:name="_Toc234833097"/>
      <w:r>
        <w:rPr>
          <w:rFonts w:hint="default" w:ascii="Times New Roman" w:hAnsi="Times New Roman" w:eastAsia="黑体" w:cs="Times New Roman"/>
          <w:b w:val="0"/>
          <w:color w:val="auto"/>
          <w:sz w:val="24"/>
          <w:szCs w:val="24"/>
          <w:highlight w:val="none"/>
        </w:rPr>
        <w:t>19.7 保修责任</w:t>
      </w:r>
      <w:bookmarkEnd w:id="1087"/>
      <w:bookmarkEnd w:id="1088"/>
      <w:bookmarkEnd w:id="1089"/>
      <w:bookmarkEnd w:id="1090"/>
      <w:bookmarkEnd w:id="1091"/>
    </w:p>
    <w:p w14:paraId="3DA2A2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4BB78575">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92" w:name="_Toc234833098"/>
      <w:bookmarkStart w:id="1093" w:name="_Toc31666"/>
      <w:bookmarkStart w:id="1094" w:name="_Toc12018"/>
      <w:bookmarkStart w:id="1095" w:name="_Toc13061"/>
      <w:bookmarkStart w:id="1096" w:name="_Toc19060"/>
      <w:r>
        <w:rPr>
          <w:rFonts w:hint="default" w:ascii="Times New Roman" w:hAnsi="Times New Roman" w:eastAsia="黑体" w:cs="Times New Roman"/>
          <w:b w:val="0"/>
          <w:color w:val="auto"/>
          <w:sz w:val="28"/>
          <w:szCs w:val="28"/>
          <w:highlight w:val="none"/>
        </w:rPr>
        <w:t>20. 保险</w:t>
      </w:r>
      <w:bookmarkEnd w:id="1092"/>
      <w:bookmarkEnd w:id="1093"/>
      <w:bookmarkEnd w:id="1094"/>
      <w:bookmarkEnd w:id="1095"/>
      <w:bookmarkEnd w:id="1096"/>
    </w:p>
    <w:p w14:paraId="6BAAD5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97" w:name="_Toc1058"/>
      <w:bookmarkStart w:id="1098" w:name="_Toc1238"/>
      <w:bookmarkStart w:id="1099" w:name="_Toc2070"/>
      <w:bookmarkStart w:id="1100" w:name="_Toc234833099"/>
      <w:bookmarkStart w:id="1101" w:name="_Toc4841"/>
      <w:r>
        <w:rPr>
          <w:rFonts w:hint="default" w:ascii="Times New Roman" w:hAnsi="Times New Roman" w:eastAsia="黑体" w:cs="Times New Roman"/>
          <w:b w:val="0"/>
          <w:color w:val="auto"/>
          <w:sz w:val="24"/>
          <w:szCs w:val="24"/>
          <w:highlight w:val="none"/>
        </w:rPr>
        <w:t>20.1工程保险</w:t>
      </w:r>
      <w:bookmarkEnd w:id="1097"/>
      <w:bookmarkEnd w:id="1098"/>
      <w:bookmarkEnd w:id="1099"/>
      <w:bookmarkEnd w:id="1100"/>
      <w:bookmarkEnd w:id="1101"/>
    </w:p>
    <w:p w14:paraId="708F206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0ECFDBD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02" w:name="_Toc30523"/>
      <w:bookmarkStart w:id="1103" w:name="_Toc10723"/>
      <w:bookmarkStart w:id="1104" w:name="_Toc234833100"/>
      <w:bookmarkStart w:id="1105" w:name="_Toc20291"/>
      <w:bookmarkStart w:id="1106" w:name="_Toc21060"/>
      <w:r>
        <w:rPr>
          <w:rFonts w:hint="default" w:ascii="Times New Roman" w:hAnsi="Times New Roman" w:eastAsia="黑体" w:cs="Times New Roman"/>
          <w:b w:val="0"/>
          <w:color w:val="auto"/>
          <w:sz w:val="24"/>
          <w:szCs w:val="24"/>
          <w:highlight w:val="none"/>
        </w:rPr>
        <w:t>20.2人员工伤事故的保险</w:t>
      </w:r>
      <w:bookmarkEnd w:id="1102"/>
      <w:bookmarkEnd w:id="1103"/>
      <w:bookmarkEnd w:id="1104"/>
      <w:bookmarkEnd w:id="1105"/>
      <w:bookmarkEnd w:id="1106"/>
    </w:p>
    <w:p w14:paraId="27F30A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20.2.1 </w:t>
      </w:r>
      <w:r>
        <w:rPr>
          <w:rFonts w:hint="default" w:ascii="Times New Roman" w:hAnsi="Times New Roman" w:eastAsia="黑体" w:cs="Times New Roman"/>
          <w:color w:val="auto"/>
          <w:sz w:val="24"/>
          <w:highlight w:val="none"/>
        </w:rPr>
        <w:t>承包人员工伤事故的保险</w:t>
      </w:r>
    </w:p>
    <w:p w14:paraId="43DB6F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承包人应依照有关法律规定参加工伤保险，为其履行合同所雇用的全部人员，缴纳工伤保险费，并要求其分包人也进行此项保险。</w:t>
      </w:r>
    </w:p>
    <w:p w14:paraId="1EE1E1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20.2.2</w:t>
      </w:r>
      <w:r>
        <w:rPr>
          <w:rFonts w:hint="default" w:ascii="Times New Roman" w:hAnsi="Times New Roman" w:eastAsia="黑体" w:cs="Times New Roman"/>
          <w:color w:val="auto"/>
          <w:sz w:val="24"/>
          <w:highlight w:val="none"/>
        </w:rPr>
        <w:t>发包人员工伤事故的保险</w:t>
      </w:r>
    </w:p>
    <w:p w14:paraId="0949F3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发包人应依照有关法律规定参加工伤保险，为其现场机构雇用的全部人员，缴纳工伤保险费，并要求其监理人也进行此项保险。</w:t>
      </w:r>
    </w:p>
    <w:p w14:paraId="646DFC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07" w:name="_Toc20449"/>
      <w:bookmarkStart w:id="1108" w:name="_Toc234833101"/>
      <w:bookmarkStart w:id="1109" w:name="_Toc18737"/>
      <w:bookmarkStart w:id="1110" w:name="_Toc11127"/>
      <w:bookmarkStart w:id="1111" w:name="_Toc14046"/>
      <w:r>
        <w:rPr>
          <w:rFonts w:hint="default" w:ascii="Times New Roman" w:hAnsi="Times New Roman" w:eastAsia="黑体" w:cs="Times New Roman"/>
          <w:b w:val="0"/>
          <w:color w:val="auto"/>
          <w:sz w:val="24"/>
          <w:szCs w:val="24"/>
          <w:highlight w:val="none"/>
        </w:rPr>
        <w:t>20.3 人身意外伤害险</w:t>
      </w:r>
      <w:bookmarkEnd w:id="1107"/>
      <w:bookmarkEnd w:id="1108"/>
      <w:bookmarkEnd w:id="1109"/>
      <w:bookmarkEnd w:id="1110"/>
      <w:bookmarkEnd w:id="1111"/>
    </w:p>
    <w:p w14:paraId="3EE5F1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20.3.1发包人应在整个施工期间为其现场机构雇用的全部人员，投保人身意外伤害险，缴纳保险费，并要求其监理人也进行此项保险。</w:t>
      </w:r>
    </w:p>
    <w:p w14:paraId="2A2E35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20.3.2 承包人应在整个施工期间为其现场机构雇用的全部人员，投保人身意外伤害险，缴纳保险费，并要求其分包人也进行此项保险。</w:t>
      </w:r>
    </w:p>
    <w:p w14:paraId="58081B4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2" w:name="_Toc26139"/>
      <w:bookmarkStart w:id="1113" w:name="_Toc23644"/>
      <w:bookmarkStart w:id="1114" w:name="_Toc27566"/>
      <w:bookmarkStart w:id="1115" w:name="_Toc542"/>
      <w:bookmarkStart w:id="1116" w:name="_Toc234833102"/>
      <w:r>
        <w:rPr>
          <w:rFonts w:hint="default" w:ascii="Times New Roman" w:hAnsi="Times New Roman" w:eastAsia="黑体" w:cs="Times New Roman"/>
          <w:b w:val="0"/>
          <w:color w:val="auto"/>
          <w:sz w:val="24"/>
          <w:szCs w:val="24"/>
          <w:highlight w:val="none"/>
        </w:rPr>
        <w:t>20.4 第三者责任险</w:t>
      </w:r>
      <w:bookmarkEnd w:id="1112"/>
      <w:bookmarkEnd w:id="1113"/>
      <w:bookmarkEnd w:id="1114"/>
      <w:bookmarkEnd w:id="1115"/>
      <w:bookmarkEnd w:id="1116"/>
    </w:p>
    <w:p w14:paraId="69569092">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21E17C53">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20.4.2 在缺陷责任期终止证书颁发前，承包人应以承包人和发包人的共同名义，投保第20.4.1项约定的第三者责任险，其保险费率、保险金额等有关内容在专用合同条款中约定。</w:t>
      </w:r>
    </w:p>
    <w:p w14:paraId="51DB05F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7" w:name="_Toc234833103"/>
      <w:bookmarkStart w:id="1118" w:name="_Toc17223"/>
      <w:bookmarkStart w:id="1119" w:name="_Toc11738"/>
      <w:bookmarkStart w:id="1120" w:name="_Toc27726"/>
      <w:bookmarkStart w:id="1121" w:name="_Toc15956"/>
      <w:r>
        <w:rPr>
          <w:rFonts w:hint="default" w:ascii="Times New Roman" w:hAnsi="Times New Roman" w:eastAsia="黑体" w:cs="Times New Roman"/>
          <w:b w:val="0"/>
          <w:color w:val="auto"/>
          <w:sz w:val="24"/>
          <w:szCs w:val="24"/>
          <w:highlight w:val="none"/>
        </w:rPr>
        <w:t>20.5 其他保险</w:t>
      </w:r>
      <w:bookmarkEnd w:id="1117"/>
      <w:bookmarkEnd w:id="1118"/>
      <w:bookmarkEnd w:id="1119"/>
      <w:bookmarkEnd w:id="1120"/>
      <w:bookmarkEnd w:id="1121"/>
    </w:p>
    <w:p w14:paraId="3A6D00C2">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除专用合同条款另有约定外，承包人应为其施工设备、进场的材料和工程设备等办理保险。</w:t>
      </w:r>
    </w:p>
    <w:p w14:paraId="35715E0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22" w:name="_Toc234833104"/>
      <w:bookmarkStart w:id="1123" w:name="_Toc1822"/>
      <w:bookmarkStart w:id="1124" w:name="_Toc25129"/>
      <w:bookmarkStart w:id="1125" w:name="_Toc6798"/>
      <w:bookmarkStart w:id="1126" w:name="_Toc16557"/>
      <w:r>
        <w:rPr>
          <w:rFonts w:hint="default" w:ascii="Times New Roman" w:hAnsi="Times New Roman" w:eastAsia="黑体" w:cs="Times New Roman"/>
          <w:b w:val="0"/>
          <w:color w:val="auto"/>
          <w:sz w:val="24"/>
          <w:szCs w:val="24"/>
          <w:highlight w:val="none"/>
        </w:rPr>
        <w:t>20.6 对各项保险的一般要求</w:t>
      </w:r>
      <w:bookmarkEnd w:id="1122"/>
      <w:bookmarkEnd w:id="1123"/>
      <w:bookmarkEnd w:id="1124"/>
      <w:bookmarkEnd w:id="1125"/>
      <w:bookmarkEnd w:id="1126"/>
    </w:p>
    <w:p w14:paraId="62C0EAD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20.6.1 </w:t>
      </w:r>
      <w:r>
        <w:rPr>
          <w:rFonts w:hint="default" w:ascii="Times New Roman" w:hAnsi="Times New Roman" w:eastAsia="黑体" w:cs="Times New Roman"/>
          <w:color w:val="auto"/>
          <w:sz w:val="24"/>
          <w:highlight w:val="none"/>
        </w:rPr>
        <w:t>保险凭证</w:t>
      </w:r>
    </w:p>
    <w:p w14:paraId="5675955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承包人应在专用合同条款约定的期限内向发包人提交各项保险生效的证据和保险单副本，保险单必须与专用合同条款约定的条件保持一致。</w:t>
      </w:r>
    </w:p>
    <w:p w14:paraId="1A4C371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20.6.2</w:t>
      </w:r>
      <w:r>
        <w:rPr>
          <w:rFonts w:hint="default" w:ascii="Times New Roman" w:hAnsi="Times New Roman" w:eastAsia="黑体" w:cs="Times New Roman"/>
          <w:color w:val="auto"/>
          <w:sz w:val="24"/>
          <w:highlight w:val="none"/>
        </w:rPr>
        <w:t>保险合同条款的变动</w:t>
      </w:r>
    </w:p>
    <w:p w14:paraId="1619027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承包人需要变动保险合同条款时，应事先征得发包人同意，并通知监理人。保险人作出变动的，承包人应在收到保险人通知后立即通知发包人和监理人。</w:t>
      </w:r>
    </w:p>
    <w:p w14:paraId="5761807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20.6.3 </w:t>
      </w:r>
      <w:r>
        <w:rPr>
          <w:rFonts w:hint="default" w:ascii="Times New Roman" w:hAnsi="Times New Roman" w:eastAsia="黑体" w:cs="Times New Roman"/>
          <w:color w:val="auto"/>
          <w:sz w:val="24"/>
          <w:highlight w:val="none"/>
        </w:rPr>
        <w:t>持续保险</w:t>
      </w:r>
    </w:p>
    <w:p w14:paraId="6B58875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承包人应与保险人保持联系，使保险人能够随时了解工程实施中的变动，并确保按保险合同条款要求持续保险。</w:t>
      </w:r>
    </w:p>
    <w:p w14:paraId="2DBDC6E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20.6.4 </w:t>
      </w:r>
      <w:r>
        <w:rPr>
          <w:rFonts w:hint="default" w:ascii="Times New Roman" w:hAnsi="Times New Roman" w:eastAsia="黑体" w:cs="Times New Roman"/>
          <w:color w:val="auto"/>
          <w:sz w:val="24"/>
          <w:highlight w:val="none"/>
        </w:rPr>
        <w:t>保险金不足的补偿</w:t>
      </w:r>
    </w:p>
    <w:p w14:paraId="2F04349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保险金不足以补偿损失的，应由承包人和（或）发包人按合同约定负责补偿。</w:t>
      </w:r>
    </w:p>
    <w:p w14:paraId="741977F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20.6.5 </w:t>
      </w:r>
      <w:r>
        <w:rPr>
          <w:rFonts w:hint="default" w:ascii="Times New Roman" w:hAnsi="Times New Roman" w:eastAsia="黑体" w:cs="Times New Roman"/>
          <w:color w:val="auto"/>
          <w:sz w:val="24"/>
          <w:highlight w:val="none"/>
        </w:rPr>
        <w:t>未按约定投保的补救</w:t>
      </w:r>
    </w:p>
    <w:p w14:paraId="02B81D0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（1）由于负有投保义务的一方当事人未按合同约定办理保险，或未能使保险持续有效的，另一方当事人可代为办理，所需费用由对方当事人承担。</w:t>
      </w:r>
    </w:p>
    <w:p w14:paraId="24C153B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（2）由于负有投保义务的一方当事人未按合同约定办理某项保险，导致受益人未能得到保险人的赔偿，原应从该项保险得到的保险金应由负有投保义务的一方当事人支付。</w:t>
      </w:r>
    </w:p>
    <w:p w14:paraId="3A6F796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20.6.6</w:t>
      </w:r>
      <w:r>
        <w:rPr>
          <w:rFonts w:hint="default" w:ascii="Times New Roman" w:hAnsi="Times New Roman" w:eastAsia="黑体" w:cs="Times New Roman"/>
          <w:color w:val="auto"/>
          <w:sz w:val="24"/>
          <w:highlight w:val="none"/>
        </w:rPr>
        <w:t>报告义务</w:t>
      </w:r>
    </w:p>
    <w:p w14:paraId="331F9AF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当保险事故发生时，投保人应按照保险单规定的条件和期限及时向保险人报告。</w:t>
      </w:r>
    </w:p>
    <w:p w14:paraId="1ADE1BA8">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27" w:name="_Toc1585"/>
      <w:bookmarkStart w:id="1128" w:name="_Toc27736"/>
      <w:bookmarkStart w:id="1129" w:name="_Toc5907"/>
      <w:bookmarkStart w:id="1130" w:name="_Toc234833105"/>
      <w:bookmarkStart w:id="1131" w:name="_Toc25184"/>
      <w:r>
        <w:rPr>
          <w:rFonts w:hint="default" w:ascii="Times New Roman" w:hAnsi="Times New Roman" w:eastAsia="黑体" w:cs="Times New Roman"/>
          <w:b w:val="0"/>
          <w:color w:val="auto"/>
          <w:sz w:val="28"/>
          <w:szCs w:val="28"/>
          <w:highlight w:val="none"/>
        </w:rPr>
        <w:t>21. 不可抗力</w:t>
      </w:r>
      <w:bookmarkEnd w:id="1127"/>
      <w:bookmarkEnd w:id="1128"/>
      <w:bookmarkEnd w:id="1129"/>
      <w:bookmarkEnd w:id="1130"/>
      <w:bookmarkEnd w:id="1131"/>
    </w:p>
    <w:p w14:paraId="5BDA250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32" w:name="_Toc11379"/>
      <w:bookmarkStart w:id="1133" w:name="_Toc234833106"/>
      <w:bookmarkStart w:id="1134" w:name="_Toc16484"/>
      <w:bookmarkStart w:id="1135" w:name="_Toc965"/>
      <w:bookmarkStart w:id="1136" w:name="_Toc30030"/>
      <w:r>
        <w:rPr>
          <w:rFonts w:hint="default" w:ascii="Times New Roman" w:hAnsi="Times New Roman" w:eastAsia="黑体" w:cs="Times New Roman"/>
          <w:b w:val="0"/>
          <w:color w:val="auto"/>
          <w:sz w:val="24"/>
          <w:szCs w:val="24"/>
          <w:highlight w:val="none"/>
        </w:rPr>
        <w:t>21.1 不可抗力的确认</w:t>
      </w:r>
      <w:bookmarkEnd w:id="1132"/>
      <w:bookmarkEnd w:id="1133"/>
      <w:bookmarkEnd w:id="1134"/>
      <w:bookmarkEnd w:id="1135"/>
      <w:bookmarkEnd w:id="1136"/>
    </w:p>
    <w:p w14:paraId="692C3B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45EF8C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48D5928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37" w:name="_Toc22207"/>
      <w:bookmarkStart w:id="1138" w:name="_Toc4694"/>
      <w:bookmarkStart w:id="1139" w:name="_Toc234833107"/>
      <w:bookmarkStart w:id="1140" w:name="_Toc29589"/>
      <w:bookmarkStart w:id="1141" w:name="_Toc18922"/>
      <w:r>
        <w:rPr>
          <w:rFonts w:hint="default" w:ascii="Times New Roman" w:hAnsi="Times New Roman" w:eastAsia="黑体" w:cs="Times New Roman"/>
          <w:b w:val="0"/>
          <w:color w:val="auto"/>
          <w:sz w:val="24"/>
          <w:szCs w:val="24"/>
          <w:highlight w:val="none"/>
        </w:rPr>
        <w:t>21.2 不可抗力的通知</w:t>
      </w:r>
      <w:bookmarkEnd w:id="1137"/>
      <w:bookmarkEnd w:id="1138"/>
      <w:bookmarkEnd w:id="1139"/>
      <w:bookmarkEnd w:id="1140"/>
      <w:bookmarkEnd w:id="1141"/>
    </w:p>
    <w:p w14:paraId="72FC1A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21.2.1 合同一方当事人遇到不可抗力事件，使其履行合同义务受到阻碍时，应立即通知合同另一方当事人和监理人，书面说明不可抗力和受阻碍的详细情况，并提供必要的证明。</w:t>
      </w:r>
    </w:p>
    <w:p w14:paraId="78059E5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6A90F4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42" w:name="_Toc15417"/>
      <w:bookmarkStart w:id="1143" w:name="_Toc15055"/>
      <w:bookmarkStart w:id="1144" w:name="_Toc23687"/>
      <w:bookmarkStart w:id="1145" w:name="_Toc234833108"/>
      <w:bookmarkStart w:id="1146" w:name="_Toc1838"/>
      <w:r>
        <w:rPr>
          <w:rFonts w:hint="default" w:ascii="Times New Roman" w:hAnsi="Times New Roman" w:eastAsia="黑体" w:cs="Times New Roman"/>
          <w:b w:val="0"/>
          <w:color w:val="auto"/>
          <w:sz w:val="24"/>
          <w:szCs w:val="24"/>
          <w:highlight w:val="none"/>
        </w:rPr>
        <w:t>21.3 不可抗力后果及其处理</w:t>
      </w:r>
      <w:bookmarkEnd w:id="1142"/>
      <w:bookmarkEnd w:id="1143"/>
      <w:bookmarkEnd w:id="1144"/>
      <w:bookmarkEnd w:id="1145"/>
      <w:bookmarkEnd w:id="1146"/>
    </w:p>
    <w:p w14:paraId="176BD428">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21.3.1 </w:t>
      </w:r>
      <w:r>
        <w:rPr>
          <w:rFonts w:hint="default" w:ascii="Times New Roman" w:hAnsi="Times New Roman" w:eastAsia="黑体" w:cs="Times New Roman"/>
          <w:color w:val="auto"/>
          <w:sz w:val="24"/>
          <w:highlight w:val="none"/>
        </w:rPr>
        <w:t>不可抗力造成损害的责任</w:t>
      </w:r>
    </w:p>
    <w:p w14:paraId="01F1C1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除专用合同条款另有约定外，不可抗力导致的人员伤亡、财产损失、费用增加和（或）工期延误等后果，由合同双方按以下原则承担：</w:t>
      </w:r>
    </w:p>
    <w:p w14:paraId="1BA0A61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（1）永久工程，包括已运至施工场地的材料和工程设备的损害，以及因工程损害造成的第三者人员伤亡和财产损失由发包人承担；</w:t>
      </w:r>
    </w:p>
    <w:p w14:paraId="4FC2FB6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（2）承包人设备的损坏由承包人承担；</w:t>
      </w:r>
    </w:p>
    <w:p w14:paraId="30D30B0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（3）发包人和承包人各自承担其人员伤亡和其他财产损失及其相关费用；</w:t>
      </w:r>
    </w:p>
    <w:p w14:paraId="28C915B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（4）承包人的停工损失由承包人承担，但停工期间应监理人要求照管工程和清理、修复工程的金额由发包人承担；</w:t>
      </w:r>
    </w:p>
    <w:p w14:paraId="2D412E0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（5）不能按期竣工的，应合理延长工期，承包人不需支付逾期竣工违约金。发包人要求赶工的，承包人应采取赶工措施，赶工费用由发包人承担。</w:t>
      </w:r>
    </w:p>
    <w:p w14:paraId="70A5EBD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21.3.2 </w:t>
      </w:r>
      <w:r>
        <w:rPr>
          <w:rFonts w:hint="default" w:ascii="Times New Roman" w:hAnsi="Times New Roman" w:eastAsia="黑体" w:cs="Times New Roman"/>
          <w:color w:val="auto"/>
          <w:sz w:val="24"/>
          <w:highlight w:val="none"/>
        </w:rPr>
        <w:t>延迟履行期间发生的不可抗力</w:t>
      </w:r>
    </w:p>
    <w:p w14:paraId="4C4603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合同一方当事人延迟履行，在延迟履行期间发生不可抗力的，不免除其责任。</w:t>
      </w:r>
    </w:p>
    <w:p w14:paraId="1E3D96E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21.3.3 </w:t>
      </w:r>
      <w:r>
        <w:rPr>
          <w:rFonts w:hint="default" w:ascii="Times New Roman" w:hAnsi="Times New Roman" w:eastAsia="黑体" w:cs="Times New Roman"/>
          <w:color w:val="auto"/>
          <w:sz w:val="24"/>
          <w:highlight w:val="none"/>
        </w:rPr>
        <w:t>避免和减少不可抗力损失</w:t>
      </w:r>
    </w:p>
    <w:p w14:paraId="220A111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不可抗力发生后，发包人和承包人均应采取措施尽量避免和减少损失的扩大，任何一方没有采取有效措施导致损失扩大的，应对扩大的损失承担责任。</w:t>
      </w:r>
    </w:p>
    <w:p w14:paraId="1B6934D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21.3.4 </w:t>
      </w:r>
      <w:r>
        <w:rPr>
          <w:rFonts w:hint="default" w:ascii="Times New Roman" w:hAnsi="Times New Roman" w:eastAsia="黑体" w:cs="Times New Roman"/>
          <w:color w:val="auto"/>
          <w:sz w:val="24"/>
          <w:highlight w:val="none"/>
        </w:rPr>
        <w:t>因不可抗力解除合同</w:t>
      </w:r>
    </w:p>
    <w:p w14:paraId="2033A3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7559A1B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47" w:name="_Toc18084"/>
      <w:bookmarkStart w:id="1148" w:name="_Toc13366"/>
      <w:bookmarkStart w:id="1149" w:name="_Toc234833109"/>
      <w:bookmarkStart w:id="1150" w:name="_Toc12831"/>
      <w:bookmarkStart w:id="1151" w:name="_Toc10830"/>
      <w:r>
        <w:rPr>
          <w:rFonts w:hint="default" w:ascii="Times New Roman" w:hAnsi="Times New Roman" w:eastAsia="黑体" w:cs="Times New Roman"/>
          <w:b w:val="0"/>
          <w:color w:val="auto"/>
          <w:sz w:val="28"/>
          <w:szCs w:val="28"/>
          <w:highlight w:val="none"/>
        </w:rPr>
        <w:t>22. 违约</w:t>
      </w:r>
      <w:bookmarkEnd w:id="1147"/>
      <w:bookmarkEnd w:id="1148"/>
      <w:bookmarkEnd w:id="1149"/>
      <w:bookmarkEnd w:id="1150"/>
      <w:bookmarkEnd w:id="1151"/>
    </w:p>
    <w:p w14:paraId="6C49D2A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52" w:name="_Toc8987"/>
      <w:bookmarkStart w:id="1153" w:name="_Toc234833110"/>
      <w:bookmarkStart w:id="1154" w:name="_Toc723"/>
      <w:bookmarkStart w:id="1155" w:name="_Toc18327"/>
      <w:bookmarkStart w:id="1156" w:name="_Toc13969"/>
      <w:r>
        <w:rPr>
          <w:rFonts w:hint="default" w:ascii="Times New Roman" w:hAnsi="Times New Roman" w:eastAsia="黑体" w:cs="Times New Roman"/>
          <w:b w:val="0"/>
          <w:color w:val="auto"/>
          <w:sz w:val="24"/>
          <w:szCs w:val="24"/>
          <w:highlight w:val="none"/>
        </w:rPr>
        <w:t>22.1 承包人违约</w:t>
      </w:r>
      <w:bookmarkEnd w:id="1152"/>
      <w:bookmarkEnd w:id="1153"/>
      <w:bookmarkEnd w:id="1154"/>
      <w:bookmarkEnd w:id="1155"/>
      <w:bookmarkEnd w:id="1156"/>
    </w:p>
    <w:p w14:paraId="1A19A8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22.1.1 </w:t>
      </w:r>
      <w:r>
        <w:rPr>
          <w:rFonts w:hint="default" w:ascii="Times New Roman" w:hAnsi="Times New Roman" w:eastAsia="黑体" w:cs="Times New Roman"/>
          <w:color w:val="auto"/>
          <w:sz w:val="24"/>
          <w:highlight w:val="none"/>
        </w:rPr>
        <w:t>承包人违约的情形</w:t>
      </w:r>
    </w:p>
    <w:p w14:paraId="78ACFC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在履行合同过程中发生的下列情况属承包人违约：</w:t>
      </w:r>
    </w:p>
    <w:p w14:paraId="222013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（1）承包人违反第1.8款或第4.3款的约定，私自将合同的全部或部分权利转让给其他人，或私自将合同的全部或部分义务转移给其他人；</w:t>
      </w:r>
    </w:p>
    <w:p w14:paraId="6A0D16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（2）承包人违反第5.3款或第6.4款的约定，未经监理人批准，私自将已按合同约定进入施工场地的施工设备、临时设施或材料撤离施工场地；</w:t>
      </w:r>
    </w:p>
    <w:p w14:paraId="111D8AD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（3）承包人违反第5.4款的约定使用了不合格材料或工程设备，工程质量达不到标准要求，又拒绝清除不合格工程；</w:t>
      </w:r>
    </w:p>
    <w:p w14:paraId="126D78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（4）承包人未能按合同进度计划及时完成合同约定的工作，已造成或预期造成工期延误；</w:t>
      </w:r>
    </w:p>
    <w:p w14:paraId="5E2D84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（5）承包人在缺陷责任期内，未能对工程接收证书所列的缺陷清单的内容或缺陷责任期内发生的缺陷进行修复，而又拒绝按监理人指示再进行修补；</w:t>
      </w:r>
    </w:p>
    <w:p w14:paraId="5B6EA3E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（6）承包人无法继续履行或明确表示不履行或实质上已停止履行合同；</w:t>
      </w:r>
    </w:p>
    <w:p w14:paraId="5D1F2F9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（7）承包人不按合同约定履行义务的其他情况。</w:t>
      </w:r>
    </w:p>
    <w:p w14:paraId="4B37314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22.1.2 </w:t>
      </w:r>
      <w:r>
        <w:rPr>
          <w:rFonts w:hint="default" w:ascii="Times New Roman" w:hAnsi="Times New Roman" w:eastAsia="黑体" w:cs="Times New Roman"/>
          <w:color w:val="auto"/>
          <w:sz w:val="24"/>
          <w:highlight w:val="none"/>
        </w:rPr>
        <w:t>对承包人违约的处理</w:t>
      </w:r>
    </w:p>
    <w:p w14:paraId="0B326D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（1）承包人发生第22.1.1（6）目约定的违约情况时，发包人可通知承包人立即解除合同，并按有关法律处理。</w:t>
      </w:r>
    </w:p>
    <w:p w14:paraId="04D5ED2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（2）承包人发生除第22.1.1（6）目约定以外的其他违约情况时，监理人可向承包人发出整改通知，要求其在指定的期限内改正。承包人应承担其违约所引起的费用增加和（或）工期延误。</w:t>
      </w:r>
    </w:p>
    <w:p w14:paraId="281327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（3）经检查证明承包人已采取了有效措施纠正违约行为，具备复工条件的，可由监理人签发复工通知复工。</w:t>
      </w:r>
    </w:p>
    <w:p w14:paraId="01E78C77">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22.1.3 </w:t>
      </w:r>
      <w:r>
        <w:rPr>
          <w:rFonts w:hint="default" w:ascii="Times New Roman" w:hAnsi="Times New Roman" w:eastAsia="黑体" w:cs="Times New Roman"/>
          <w:color w:val="auto"/>
          <w:sz w:val="24"/>
          <w:highlight w:val="none"/>
        </w:rPr>
        <w:t>承包人违约解除合同</w:t>
      </w:r>
    </w:p>
    <w:p w14:paraId="450681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315C10D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22.1.4 </w:t>
      </w:r>
      <w:r>
        <w:rPr>
          <w:rFonts w:hint="default" w:ascii="Times New Roman" w:hAnsi="Times New Roman" w:eastAsia="黑体" w:cs="Times New Roman"/>
          <w:color w:val="auto"/>
          <w:sz w:val="24"/>
          <w:highlight w:val="none"/>
        </w:rPr>
        <w:t>合同解除后的估价、付款和结清</w:t>
      </w:r>
    </w:p>
    <w:p w14:paraId="47F8FC31">
      <w:pPr>
        <w:pageBreakBefore w:val="0"/>
        <w:tabs>
          <w:tab w:val="left" w:pos="54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（1）合同解除后，监理人按第3.5款商定或确定承包人实际完成工作的价值，以及承包人已提供的材料、施工设备、工程设备和临时工程等的价值。 </w:t>
      </w:r>
    </w:p>
    <w:p w14:paraId="64FDBA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（2）合同解除后，发包人应暂停对承包人的一切付款，查清各项付款和已扣款金额，包括承包人应支付的违约金。 </w:t>
      </w:r>
    </w:p>
    <w:p w14:paraId="33CE5AB1">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（3）合同解除后，发包人应按第23.4款的约定向承包人索赔由于解除合同给发包人造成的损失。</w:t>
      </w:r>
    </w:p>
    <w:p w14:paraId="441D55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（4）合同双方确认上述往来款项后，出具最终结清付款证书，结清全部合同款项。</w:t>
      </w:r>
    </w:p>
    <w:p w14:paraId="1C5E6F26">
      <w:pPr>
        <w:pageBreakBefore w:val="0"/>
        <w:kinsoku/>
        <w:wordWrap w:val="0"/>
        <w:bidi w:val="0"/>
        <w:spacing w:line="400" w:lineRule="atLeast"/>
        <w:ind w:right="25" w:rightChars="12"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（5）发包人和承包人未能就解除合同后的结清达成一致而形成争议的，按第24条的约定办理。</w:t>
      </w:r>
    </w:p>
    <w:p w14:paraId="2210071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22.1.5 </w:t>
      </w:r>
      <w:r>
        <w:rPr>
          <w:rFonts w:hint="default" w:ascii="Times New Roman" w:hAnsi="Times New Roman" w:eastAsia="黑体" w:cs="Times New Roman"/>
          <w:color w:val="auto"/>
          <w:sz w:val="24"/>
          <w:highlight w:val="none"/>
        </w:rPr>
        <w:t>协议利益的转让</w:t>
      </w:r>
    </w:p>
    <w:p w14:paraId="29CEA3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3E913DE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22.1.6 </w:t>
      </w:r>
      <w:r>
        <w:rPr>
          <w:rFonts w:hint="default" w:ascii="Times New Roman" w:hAnsi="Times New Roman" w:eastAsia="黑体" w:cs="Times New Roman"/>
          <w:color w:val="auto"/>
          <w:sz w:val="24"/>
          <w:highlight w:val="none"/>
        </w:rPr>
        <w:t>紧急情况下无能力或不愿进行抢救</w:t>
      </w:r>
    </w:p>
    <w:p w14:paraId="34F3241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2797CA8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57" w:name="_Toc234833111"/>
      <w:bookmarkStart w:id="1158" w:name="_Toc18762"/>
      <w:bookmarkStart w:id="1159" w:name="_Toc18188"/>
      <w:bookmarkStart w:id="1160" w:name="_Toc17071"/>
      <w:bookmarkStart w:id="1161" w:name="_Toc31447"/>
      <w:r>
        <w:rPr>
          <w:rFonts w:hint="default" w:ascii="Times New Roman" w:hAnsi="Times New Roman" w:eastAsia="黑体" w:cs="Times New Roman"/>
          <w:b w:val="0"/>
          <w:color w:val="auto"/>
          <w:sz w:val="24"/>
          <w:szCs w:val="24"/>
          <w:highlight w:val="none"/>
        </w:rPr>
        <w:t>22.2 发包人违约</w:t>
      </w:r>
      <w:bookmarkEnd w:id="1157"/>
      <w:bookmarkEnd w:id="1158"/>
      <w:bookmarkEnd w:id="1159"/>
      <w:bookmarkEnd w:id="1160"/>
      <w:bookmarkEnd w:id="1161"/>
    </w:p>
    <w:p w14:paraId="4C6C25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4F9AB2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在履行合同过程中发生的下列情形，属发包人违约：</w:t>
      </w:r>
    </w:p>
    <w:p w14:paraId="3BF918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（1）发包人未能按合同约定支付预付款或合同价款，或拖延、拒绝批准付款申请和支付凭证，导致付款延误的； </w:t>
      </w:r>
    </w:p>
    <w:p w14:paraId="493214C1">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（2）发包人原因造成停工的；</w:t>
      </w:r>
    </w:p>
    <w:p w14:paraId="5ADEB5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（3）监理人无正当理由没有在约定期限内发出复工指示，导致承包人无法复工的；</w:t>
      </w:r>
    </w:p>
    <w:p w14:paraId="50AE79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（4）发包人无法继续履行或明确表示不履行或实质上已停止履行合同的；</w:t>
      </w:r>
    </w:p>
    <w:p w14:paraId="11D36228">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（5）发包人不履行合同约定其他义务的。</w:t>
      </w:r>
    </w:p>
    <w:p w14:paraId="311872E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22.2.2 </w:t>
      </w:r>
      <w:r>
        <w:rPr>
          <w:rFonts w:hint="default" w:ascii="Times New Roman" w:hAnsi="Times New Roman" w:eastAsia="黑体" w:cs="Times New Roman"/>
          <w:color w:val="auto"/>
          <w:sz w:val="24"/>
          <w:highlight w:val="none"/>
        </w:rPr>
        <w:t>承包人有权暂停施工</w:t>
      </w:r>
    </w:p>
    <w:p w14:paraId="17A776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199B691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22.2.3 </w:t>
      </w:r>
      <w:r>
        <w:rPr>
          <w:rFonts w:hint="default" w:ascii="Times New Roman" w:hAnsi="Times New Roman" w:eastAsia="黑体" w:cs="Times New Roman"/>
          <w:color w:val="auto"/>
          <w:sz w:val="24"/>
          <w:highlight w:val="none"/>
        </w:rPr>
        <w:t>发包人违约解除合同</w:t>
      </w:r>
      <w:r>
        <w:rPr>
          <w:rFonts w:hint="default" w:ascii="Times New Roman" w:hAnsi="Times New Roman" w:cs="Times New Roman"/>
          <w:color w:val="auto"/>
          <w:sz w:val="24"/>
          <w:highlight w:val="none"/>
        </w:rPr>
        <w:t xml:space="preserve"> </w:t>
      </w:r>
    </w:p>
    <w:p w14:paraId="433D34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（1）发生第22.2.1（4）目的违约情况时，承包人可书面通知发包人解除合同。   </w:t>
      </w:r>
    </w:p>
    <w:p w14:paraId="7412D3BB">
      <w:pPr>
        <w:pageBreakBefore w:val="0"/>
        <w:tabs>
          <w:tab w:val="left" w:pos="720"/>
          <w:tab w:val="left" w:pos="90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049F2F9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 xml:space="preserve"> 解除合同后的付款</w:t>
      </w:r>
    </w:p>
    <w:p w14:paraId="389C04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因发包人违约解除合同的，发包人应在解除合同后28天内向承包人支付下列金额，承包人应在此期限内及时向发包人提交要求支付下列金额的有关资料和凭证：</w:t>
      </w:r>
    </w:p>
    <w:p w14:paraId="523969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（1）合同解除日以前所完成工作的价款；</w:t>
      </w:r>
    </w:p>
    <w:p w14:paraId="3758A1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（2）承包人为该工程施工订购并已付款的材料、工程设备和其他物品的金额。发包人付还后，该材料、工程设备和其他物品归发包人所有；</w:t>
      </w:r>
    </w:p>
    <w:p w14:paraId="3FD3B0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（3）承包人为完成工程所发生的，而发包人未支付的金额；</w:t>
      </w:r>
    </w:p>
    <w:p w14:paraId="5C530F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（4）承包人撤离施工场地以及遣散承包人人员的金额；</w:t>
      </w:r>
    </w:p>
    <w:p w14:paraId="068F4AD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（5）由于解除合同应赔偿的承包人损失；</w:t>
      </w:r>
    </w:p>
    <w:p w14:paraId="5099B52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（6）按合同约定在合同解除日前应支付给承包人的其他金额。</w:t>
      </w:r>
    </w:p>
    <w:p w14:paraId="6380BF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发包人应按本项约定支付上述金额并退还质量保证金和履约担保，但有权要求承包人支付应偿还给发包人的各项金额。</w:t>
      </w:r>
    </w:p>
    <w:p w14:paraId="12E786EE">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22.2.5 解除合同后的承包人撤离</w:t>
      </w:r>
    </w:p>
    <w:p w14:paraId="5B2C19D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617E6D5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62" w:name="_Toc5779"/>
      <w:bookmarkStart w:id="1163" w:name="_Toc1197"/>
      <w:bookmarkStart w:id="1164" w:name="_Toc27072"/>
      <w:bookmarkStart w:id="1165" w:name="_Toc5244"/>
      <w:bookmarkStart w:id="1166" w:name="_Toc234833112"/>
      <w:r>
        <w:rPr>
          <w:rFonts w:hint="default" w:ascii="Times New Roman" w:hAnsi="Times New Roman" w:eastAsia="黑体" w:cs="Times New Roman"/>
          <w:b w:val="0"/>
          <w:color w:val="auto"/>
          <w:sz w:val="24"/>
          <w:szCs w:val="24"/>
          <w:highlight w:val="none"/>
        </w:rPr>
        <w:t>22.3第三人造成的违约</w:t>
      </w:r>
      <w:bookmarkEnd w:id="1162"/>
      <w:bookmarkEnd w:id="1163"/>
      <w:bookmarkEnd w:id="1164"/>
      <w:bookmarkEnd w:id="1165"/>
      <w:bookmarkEnd w:id="1166"/>
    </w:p>
    <w:p w14:paraId="50294D0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在履行合同过程中，一方当事人因第三人的原因造成违约的，应当向对方当事人承担违约责任。一方当事人和第三人之间的纠纷，依照法律规定或者按照约定解决。</w:t>
      </w:r>
    </w:p>
    <w:p w14:paraId="54D6570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67" w:name="_Toc27731"/>
      <w:bookmarkStart w:id="1168" w:name="_Toc29983"/>
      <w:bookmarkStart w:id="1169" w:name="_Toc20829"/>
      <w:bookmarkStart w:id="1170" w:name="_Toc15487"/>
      <w:bookmarkStart w:id="1171" w:name="_Toc234833113"/>
      <w:r>
        <w:rPr>
          <w:rFonts w:hint="default" w:ascii="Times New Roman" w:hAnsi="Times New Roman" w:eastAsia="黑体" w:cs="Times New Roman"/>
          <w:b w:val="0"/>
          <w:color w:val="auto"/>
          <w:sz w:val="28"/>
          <w:szCs w:val="28"/>
          <w:highlight w:val="none"/>
        </w:rPr>
        <w:t>23. 索赔</w:t>
      </w:r>
      <w:bookmarkEnd w:id="1167"/>
      <w:bookmarkEnd w:id="1168"/>
      <w:bookmarkEnd w:id="1169"/>
      <w:bookmarkEnd w:id="1170"/>
      <w:bookmarkEnd w:id="1171"/>
    </w:p>
    <w:p w14:paraId="1CD2BF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72" w:name="_Toc8289"/>
      <w:bookmarkStart w:id="1173" w:name="_Toc234833114"/>
      <w:bookmarkStart w:id="1174" w:name="_Toc24590"/>
      <w:bookmarkStart w:id="1175" w:name="_Toc31146"/>
      <w:bookmarkStart w:id="1176" w:name="_Toc3879"/>
      <w:r>
        <w:rPr>
          <w:rFonts w:hint="default" w:ascii="Times New Roman" w:hAnsi="Times New Roman" w:eastAsia="黑体" w:cs="Times New Roman"/>
          <w:b w:val="0"/>
          <w:color w:val="auto"/>
          <w:sz w:val="24"/>
          <w:szCs w:val="24"/>
          <w:highlight w:val="none"/>
        </w:rPr>
        <w:t>23.1 承包人索赔的提出</w:t>
      </w:r>
      <w:bookmarkEnd w:id="1172"/>
      <w:bookmarkEnd w:id="1173"/>
      <w:bookmarkEnd w:id="1174"/>
      <w:bookmarkEnd w:id="1175"/>
      <w:bookmarkEnd w:id="1176"/>
    </w:p>
    <w:p w14:paraId="1CD97D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根据合同约定，承包人认为有权得到追加付款和（或）延长工期的，应按以下程序向发包人提出索赔：</w:t>
      </w:r>
    </w:p>
    <w:p w14:paraId="438933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211E53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（2）承包人应在发出索赔意向通知书后28天内，向监理人正式递交索赔通知书。索赔通知书应详细说明索赔理由以及要求追加的付款金额和（或）延长的工期，并附必要的记录和证明材料；</w:t>
      </w:r>
    </w:p>
    <w:p w14:paraId="6262D6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（3）索赔事件具有连续影响的，承包人应按合理时间间隔继续递交延续索赔通知，说明连续影响的实际情况和记录，列出累计的追加付款金额和（或）工期延长天数；</w:t>
      </w:r>
    </w:p>
    <w:p w14:paraId="37DFE51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（4）在索赔事件影响结束后的28天内，承包人应向监理人递交最终索赔通知书，说明最终要求索赔的追加付款金额和延长的工期，并附必要的记录和证明材料。</w:t>
      </w:r>
    </w:p>
    <w:p w14:paraId="7140E69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77" w:name="_Toc17762"/>
      <w:bookmarkStart w:id="1178" w:name="_Toc18819"/>
      <w:bookmarkStart w:id="1179" w:name="_Toc31313"/>
      <w:bookmarkStart w:id="1180" w:name="_Toc3967"/>
      <w:bookmarkStart w:id="1181" w:name="_Toc234833115"/>
      <w:r>
        <w:rPr>
          <w:rFonts w:hint="default" w:ascii="Times New Roman" w:hAnsi="Times New Roman" w:eastAsia="黑体" w:cs="Times New Roman"/>
          <w:b w:val="0"/>
          <w:color w:val="auto"/>
          <w:sz w:val="24"/>
          <w:szCs w:val="24"/>
          <w:highlight w:val="none"/>
        </w:rPr>
        <w:t>23.2 承包人索赔处理程序</w:t>
      </w:r>
      <w:bookmarkEnd w:id="1177"/>
      <w:bookmarkEnd w:id="1178"/>
      <w:bookmarkEnd w:id="1179"/>
      <w:bookmarkEnd w:id="1180"/>
      <w:bookmarkEnd w:id="1181"/>
    </w:p>
    <w:p w14:paraId="151833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（1）监理人收到承包人提交的索赔通知书后，应及时审查索赔通知书的内容、查验承包人的记录和证明材料，必要时监理人可要求承包人提交全部原始记录副本。</w:t>
      </w:r>
    </w:p>
    <w:p w14:paraId="76BBEC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（2）监理人应按第3.5款商定或确定追加的付款和（或）延长的工期，并在收到上述索赔通知书或有关索赔的进一步证明材料后的42天内，将索赔处理结果答复承包人。</w:t>
      </w:r>
    </w:p>
    <w:p w14:paraId="3B1191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（3）承包人接受索赔处理结果的，发包人应在作出索赔处理结果答复后28天内完成赔付。承包人不接受索赔处理结果的，按第24条的约定办理。</w:t>
      </w:r>
    </w:p>
    <w:p w14:paraId="57C0AE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82" w:name="_Toc3852"/>
      <w:bookmarkStart w:id="1183" w:name="_Toc234833116"/>
      <w:bookmarkStart w:id="1184" w:name="_Toc25742"/>
      <w:bookmarkStart w:id="1185" w:name="_Toc616"/>
      <w:bookmarkStart w:id="1186" w:name="_Toc19947"/>
      <w:r>
        <w:rPr>
          <w:rFonts w:hint="default" w:ascii="Times New Roman" w:hAnsi="Times New Roman" w:eastAsia="黑体" w:cs="Times New Roman"/>
          <w:b w:val="0"/>
          <w:color w:val="auto"/>
          <w:sz w:val="24"/>
          <w:szCs w:val="24"/>
          <w:highlight w:val="none"/>
        </w:rPr>
        <w:t>23.3 承包人提出索赔的期限</w:t>
      </w:r>
      <w:bookmarkEnd w:id="1182"/>
      <w:bookmarkEnd w:id="1183"/>
      <w:bookmarkEnd w:id="1184"/>
      <w:bookmarkEnd w:id="1185"/>
      <w:bookmarkEnd w:id="1186"/>
    </w:p>
    <w:p w14:paraId="6F294CC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23.3.1 承包人按第17.5款的约定接受了竣工付款证书后，应被认为已无权再提出在合同工程接收证书颁发前所发生的任何索赔。</w:t>
      </w:r>
    </w:p>
    <w:p w14:paraId="7B0956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23.3.2 承包人按第17.6款的约定提交的最终结清申请单中，只限于提出工程接收证书颁发后发生的索赔。提出索赔的期限自接受最终结清证书时终止。</w:t>
      </w:r>
    </w:p>
    <w:p w14:paraId="166D009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87" w:name="_Toc2347"/>
      <w:bookmarkStart w:id="1188" w:name="_Toc234833117"/>
      <w:bookmarkStart w:id="1189" w:name="_Toc9765"/>
      <w:bookmarkStart w:id="1190" w:name="_Toc6508"/>
      <w:bookmarkStart w:id="1191" w:name="_Toc6220"/>
      <w:r>
        <w:rPr>
          <w:rFonts w:hint="default" w:ascii="Times New Roman" w:hAnsi="Times New Roman" w:eastAsia="黑体" w:cs="Times New Roman"/>
          <w:b w:val="0"/>
          <w:color w:val="auto"/>
          <w:sz w:val="24"/>
          <w:szCs w:val="24"/>
          <w:highlight w:val="none"/>
        </w:rPr>
        <w:t>23.4 发包人的索赔</w:t>
      </w:r>
      <w:bookmarkEnd w:id="1187"/>
      <w:bookmarkEnd w:id="1188"/>
      <w:bookmarkEnd w:id="1189"/>
      <w:bookmarkEnd w:id="1190"/>
      <w:bookmarkEnd w:id="1191"/>
      <w:r>
        <w:rPr>
          <w:rFonts w:hint="default" w:ascii="Times New Roman" w:hAnsi="Times New Roman" w:eastAsia="黑体" w:cs="Times New Roman"/>
          <w:b w:val="0"/>
          <w:color w:val="auto"/>
          <w:sz w:val="24"/>
          <w:szCs w:val="24"/>
          <w:highlight w:val="none"/>
        </w:rPr>
        <w:t xml:space="preserve">                            </w:t>
      </w:r>
    </w:p>
    <w:p w14:paraId="44E8783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129DC6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025692FE">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92" w:name="_Toc27984"/>
      <w:bookmarkStart w:id="1193" w:name="_Toc15563"/>
      <w:bookmarkStart w:id="1194" w:name="_Toc234833118"/>
      <w:bookmarkStart w:id="1195" w:name="_Toc30654"/>
      <w:bookmarkStart w:id="1196" w:name="_Toc31922"/>
      <w:r>
        <w:rPr>
          <w:rFonts w:hint="default" w:ascii="Times New Roman" w:hAnsi="Times New Roman" w:eastAsia="黑体" w:cs="Times New Roman"/>
          <w:b w:val="0"/>
          <w:color w:val="auto"/>
          <w:sz w:val="28"/>
          <w:szCs w:val="28"/>
          <w:highlight w:val="none"/>
        </w:rPr>
        <w:t>24. 争议的解决</w:t>
      </w:r>
      <w:bookmarkEnd w:id="1192"/>
      <w:bookmarkEnd w:id="1193"/>
      <w:bookmarkEnd w:id="1194"/>
      <w:bookmarkEnd w:id="1195"/>
      <w:bookmarkEnd w:id="1196"/>
    </w:p>
    <w:p w14:paraId="5B5FD5C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97" w:name="_Toc30045"/>
      <w:bookmarkStart w:id="1198" w:name="_Toc21148"/>
      <w:bookmarkStart w:id="1199" w:name="_Toc1723"/>
      <w:bookmarkStart w:id="1200" w:name="_Toc234833119"/>
      <w:bookmarkStart w:id="1201" w:name="_Toc32049"/>
      <w:r>
        <w:rPr>
          <w:rFonts w:hint="default" w:ascii="Times New Roman" w:hAnsi="Times New Roman" w:eastAsia="黑体" w:cs="Times New Roman"/>
          <w:b w:val="0"/>
          <w:color w:val="auto"/>
          <w:sz w:val="24"/>
          <w:szCs w:val="24"/>
          <w:highlight w:val="none"/>
        </w:rPr>
        <w:t>24.1 争议的解决方式</w:t>
      </w:r>
      <w:bookmarkEnd w:id="1197"/>
      <w:bookmarkEnd w:id="1198"/>
      <w:bookmarkEnd w:id="1199"/>
      <w:bookmarkEnd w:id="1200"/>
      <w:bookmarkEnd w:id="1201"/>
    </w:p>
    <w:p w14:paraId="5BBD31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365BEA2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（1）向约定的仲裁委员会申请仲裁；</w:t>
      </w:r>
    </w:p>
    <w:p w14:paraId="1ECB48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（2）向有管辖权的人民法院提起诉讼。</w:t>
      </w:r>
    </w:p>
    <w:p w14:paraId="1B0D809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02" w:name="_Toc25861"/>
      <w:bookmarkStart w:id="1203" w:name="_Toc4677"/>
      <w:bookmarkStart w:id="1204" w:name="_Toc28189"/>
      <w:bookmarkStart w:id="1205" w:name="_Toc21235"/>
      <w:bookmarkStart w:id="1206" w:name="_Toc234833120"/>
      <w:r>
        <w:rPr>
          <w:rFonts w:hint="default" w:ascii="Times New Roman" w:hAnsi="Times New Roman" w:eastAsia="黑体" w:cs="Times New Roman"/>
          <w:b w:val="0"/>
          <w:color w:val="auto"/>
          <w:sz w:val="24"/>
          <w:szCs w:val="24"/>
          <w:highlight w:val="none"/>
        </w:rPr>
        <w:t>24.2 友好解决</w:t>
      </w:r>
      <w:bookmarkEnd w:id="1202"/>
      <w:bookmarkEnd w:id="1203"/>
      <w:bookmarkEnd w:id="1204"/>
      <w:bookmarkEnd w:id="1205"/>
      <w:bookmarkEnd w:id="1206"/>
    </w:p>
    <w:p w14:paraId="0D0E8DA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在提请争议评审、仲裁或者诉讼前，以及在争议评审、仲裁或诉讼过程中，发包人和承包人均可共同努力友好协商解决争议。</w:t>
      </w:r>
    </w:p>
    <w:p w14:paraId="591008C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07" w:name="_Toc20198"/>
      <w:bookmarkStart w:id="1208" w:name="_Toc24796"/>
      <w:bookmarkStart w:id="1209" w:name="_Toc234833121"/>
      <w:bookmarkStart w:id="1210" w:name="_Toc28601"/>
      <w:bookmarkStart w:id="1211" w:name="_Toc17586"/>
      <w:r>
        <w:rPr>
          <w:rFonts w:hint="default" w:ascii="Times New Roman" w:hAnsi="Times New Roman" w:eastAsia="黑体" w:cs="Times New Roman"/>
          <w:b w:val="0"/>
          <w:color w:val="auto"/>
          <w:sz w:val="24"/>
          <w:szCs w:val="24"/>
          <w:highlight w:val="none"/>
        </w:rPr>
        <w:t>24.3 争议评审</w:t>
      </w:r>
      <w:bookmarkEnd w:id="1207"/>
      <w:bookmarkEnd w:id="1208"/>
      <w:bookmarkEnd w:id="1209"/>
      <w:bookmarkEnd w:id="1210"/>
      <w:bookmarkEnd w:id="1211"/>
    </w:p>
    <w:p w14:paraId="1AA6F2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24.3.1采用争议评审的，发包人和承包人应在开工日后的28天内或在争议发生后，协商成立争议评审组。争议评审组由有合同管理和工程实践经验的专家组成。</w:t>
      </w:r>
    </w:p>
    <w:p w14:paraId="2B3F37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24.3.2 合同双方的争议，应首先由申请人向争议评审组提交一份详细的评审申请报告，并附必要的文件、图纸和证明材料，申请人还应将上述报告的副本同时提交给被申请人和监理人。</w:t>
      </w:r>
    </w:p>
    <w:p w14:paraId="572979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24.3.3 被申请人在收到申请人评审申请报告副本后的28天内，向争议评审组提交一份答辩报告，并附证明材料。被申请人应将答辩报告的副本同时提交给申请人和监理人。</w:t>
      </w:r>
    </w:p>
    <w:p w14:paraId="72F78D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365495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770CCF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24.3.6 发包人和承包人接受评审意见的，由监理人根据评审意见拟定执行协议，经争议双方签字后作为合同的补充文件，并遵照执行。</w:t>
      </w:r>
    </w:p>
    <w:p w14:paraId="2305D5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5A59B5A0">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69F4ED33">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77F9D82C">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61F3F399">
      <w:pPr>
        <w:pageBreakBefore w:val="0"/>
        <w:kinsoku/>
        <w:wordWrap w:val="0"/>
        <w:bidi w:val="0"/>
        <w:spacing w:before="240" w:after="240" w:line="380" w:lineRule="atLeast"/>
        <w:outlineLvl w:val="9"/>
        <w:rPr>
          <w:rFonts w:hint="default" w:ascii="Times New Roman" w:hAnsi="Times New Roman" w:cs="Times New Roman"/>
          <w:color w:val="auto"/>
          <w:sz w:val="20"/>
          <w:szCs w:val="20"/>
          <w:highlight w:val="none"/>
        </w:rPr>
      </w:pPr>
    </w:p>
    <w:p w14:paraId="071177B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32"/>
          <w:szCs w:val="32"/>
          <w:highlight w:val="none"/>
        </w:rPr>
        <w:br w:type="page"/>
      </w:r>
      <w:bookmarkStart w:id="1212" w:name="_Toc234833122"/>
    </w:p>
    <w:p w14:paraId="5E9D8D4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93E74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631676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18FF6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67E71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F1C577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94F942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410FFF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98F7E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48647E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E281D14">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1213" w:name="_Toc22779"/>
      <w:bookmarkStart w:id="1214" w:name="_Toc21883"/>
      <w:bookmarkStart w:id="1215" w:name="_Toc9532"/>
      <w:r>
        <w:rPr>
          <w:rFonts w:hint="default" w:ascii="Times New Roman" w:hAnsi="Times New Roman" w:eastAsia="黑体" w:cs="Times New Roman"/>
          <w:b w:val="0"/>
          <w:color w:val="auto"/>
          <w:sz w:val="42"/>
          <w:szCs w:val="42"/>
          <w:highlight w:val="none"/>
        </w:rPr>
        <w:t>第二节  专用合同条款</w:t>
      </w:r>
      <w:bookmarkEnd w:id="1212"/>
      <w:bookmarkEnd w:id="1213"/>
      <w:bookmarkEnd w:id="1214"/>
      <w:bookmarkEnd w:id="1215"/>
    </w:p>
    <w:p w14:paraId="5090C205">
      <w:pPr>
        <w:pStyle w:val="2"/>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1216" w:name="_Toc29088"/>
      <w:bookmarkStart w:id="1217" w:name="_Toc234833123"/>
      <w:bookmarkStart w:id="1218" w:name="_Toc3511"/>
      <w:bookmarkStart w:id="1219" w:name="_Toc22882"/>
      <w:r>
        <w:rPr>
          <w:rFonts w:hint="default" w:ascii="Times New Roman" w:hAnsi="Times New Roman" w:eastAsia="黑体" w:cs="Times New Roman"/>
          <w:b w:val="0"/>
          <w:color w:val="auto"/>
          <w:sz w:val="32"/>
          <w:szCs w:val="32"/>
          <w:highlight w:val="none"/>
        </w:rPr>
        <w:t>A. 公路工程专用合同条款</w:t>
      </w:r>
      <w:bookmarkEnd w:id="1216"/>
      <w:bookmarkEnd w:id="1217"/>
      <w:bookmarkEnd w:id="1218"/>
      <w:bookmarkEnd w:id="1219"/>
    </w:p>
    <w:p w14:paraId="1F84FF3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p>
    <w:p w14:paraId="19F8749E">
      <w:pPr>
        <w:pStyle w:val="2"/>
        <w:pageBreakBefore w:val="0"/>
        <w:kinsoku/>
        <w:wordWrap w:val="0"/>
        <w:bidi w:val="0"/>
        <w:spacing w:before="240" w:after="240" w:line="380" w:lineRule="atLeast"/>
        <w:outlineLvl w:val="2"/>
        <w:rPr>
          <w:rFonts w:hint="default" w:ascii="Times New Roman" w:hAnsi="Times New Roman" w:eastAsia="黑体" w:cs="Times New Roman"/>
          <w:b w:val="0"/>
          <w:color w:val="auto"/>
          <w:sz w:val="28"/>
          <w:szCs w:val="28"/>
          <w:highlight w:val="none"/>
        </w:rPr>
      </w:pPr>
      <w:bookmarkStart w:id="1220" w:name="_Toc12763"/>
      <w:bookmarkStart w:id="1221" w:name="_Toc8341"/>
      <w:bookmarkStart w:id="1222" w:name="_Toc18793"/>
      <w:bookmarkStart w:id="1223" w:name="_Toc8680"/>
      <w:bookmarkStart w:id="1224" w:name="_Toc234833124"/>
      <w:r>
        <w:rPr>
          <w:rFonts w:hint="default" w:ascii="Times New Roman" w:hAnsi="Times New Roman" w:eastAsia="黑体" w:cs="Times New Roman"/>
          <w:b w:val="0"/>
          <w:color w:val="auto"/>
          <w:sz w:val="28"/>
          <w:szCs w:val="28"/>
          <w:highlight w:val="none"/>
        </w:rPr>
        <w:t>1. 一般约定</w:t>
      </w:r>
      <w:bookmarkEnd w:id="1220"/>
      <w:bookmarkEnd w:id="1221"/>
      <w:bookmarkEnd w:id="1222"/>
      <w:bookmarkEnd w:id="1223"/>
      <w:bookmarkEnd w:id="1224"/>
      <w:r>
        <w:rPr>
          <w:rFonts w:hint="default" w:ascii="Times New Roman" w:hAnsi="Times New Roman" w:eastAsia="黑体" w:cs="Times New Roman"/>
          <w:b w:val="0"/>
          <w:color w:val="auto"/>
          <w:sz w:val="28"/>
          <w:szCs w:val="28"/>
          <w:highlight w:val="none"/>
        </w:rPr>
        <w:tab/>
      </w:r>
    </w:p>
    <w:p w14:paraId="0E9152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25" w:name="_Toc12594"/>
      <w:bookmarkStart w:id="1226" w:name="_Toc16083"/>
      <w:bookmarkStart w:id="1227" w:name="_Toc31844"/>
      <w:bookmarkStart w:id="1228" w:name="_Toc234833125"/>
      <w:bookmarkStart w:id="1229" w:name="_Toc9796"/>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1225"/>
      <w:bookmarkEnd w:id="1226"/>
      <w:bookmarkEnd w:id="1227"/>
      <w:bookmarkEnd w:id="1228"/>
      <w:bookmarkEnd w:id="1229"/>
    </w:p>
    <w:p w14:paraId="2CA364F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1.1.1 </w:t>
      </w:r>
      <w:r>
        <w:rPr>
          <w:rFonts w:hint="default" w:ascii="Times New Roman" w:hAnsi="Times New Roman" w:eastAsia="黑体" w:cs="Times New Roman"/>
          <w:color w:val="auto"/>
          <w:sz w:val="24"/>
          <w:highlight w:val="none"/>
        </w:rPr>
        <w:t>合同</w:t>
      </w:r>
    </w:p>
    <w:p w14:paraId="5260CE9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第1.1.1.6目细化为：</w:t>
      </w:r>
    </w:p>
    <w:p w14:paraId="1E64C68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技术规范：指本合同所约定的技术标准和要求，是合同文件的组成部分。通用合同条款中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技术标准和要求</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A29E84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第1.1.1.8目细化为：</w:t>
      </w:r>
    </w:p>
    <w:p w14:paraId="6BF0EEA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5.1～表5.5）。</w:t>
      </w:r>
    </w:p>
    <w:p w14:paraId="56E7C67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本项补充第1.1.1.10目：</w:t>
      </w:r>
    </w:p>
    <w:p w14:paraId="6BA22CE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1.1.1.10 补遗书：指发出招标文件之后由招标人向已取得招标文件的投标人发出的、编号的对招标文件所作的澄清、修改书。</w:t>
      </w:r>
    </w:p>
    <w:p w14:paraId="78F9821C">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1.1.2 </w:t>
      </w:r>
      <w:r>
        <w:rPr>
          <w:rFonts w:hint="default" w:ascii="Times New Roman" w:hAnsi="Times New Roman" w:eastAsia="黑体" w:cs="Times New Roman"/>
          <w:color w:val="auto"/>
          <w:sz w:val="24"/>
          <w:highlight w:val="none"/>
        </w:rPr>
        <w:t>合同当事人和人员</w:t>
      </w:r>
    </w:p>
    <w:p w14:paraId="25C69E9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本项补充第1.1.2.8目：</w:t>
      </w:r>
    </w:p>
    <w:p w14:paraId="238C066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1.1.2.8 承包人项目总工：指由承包人书面委派常驻现场负责管理本合同工程的总工程师或技术总负责人。</w:t>
      </w:r>
    </w:p>
    <w:p w14:paraId="61D9BC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1.1.3 </w:t>
      </w:r>
      <w:r>
        <w:rPr>
          <w:rFonts w:hint="default" w:ascii="Times New Roman" w:hAnsi="Times New Roman" w:eastAsia="黑体" w:cs="Times New Roman"/>
          <w:color w:val="auto"/>
          <w:sz w:val="24"/>
          <w:highlight w:val="none"/>
        </w:rPr>
        <w:t>工程和设备</w:t>
      </w:r>
    </w:p>
    <w:p w14:paraId="3C85E72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第1.1.3.4目细化为：</w:t>
      </w:r>
    </w:p>
    <w:p w14:paraId="4C2AFE7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单位工程：指在建设项目中，根据签订的合同，具有独立施工条件的工程。</w:t>
      </w:r>
    </w:p>
    <w:p w14:paraId="3EFE650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第1.1.3.10目细化为： </w:t>
      </w:r>
    </w:p>
    <w:p w14:paraId="28AE3D0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永久占地：指为实施本合同工程而需要的一切永久占用的土地，包括公路两侧路权范围内的用地。</w:t>
      </w:r>
    </w:p>
    <w:p w14:paraId="237C633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第1.1.3.11目细化为：</w:t>
      </w:r>
    </w:p>
    <w:p w14:paraId="0459C0F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临时占地：指为实施本合同工程而需要的一切临时占用的土地，包括施工所用的临时支线、便道、便桥和现场的临时出入通道，以及生产（办公）、生活等临时设施用地等。</w:t>
      </w:r>
    </w:p>
    <w:p w14:paraId="73FC46D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本项补充第1.1.3.12目、第1.1.3.13目：</w:t>
      </w:r>
    </w:p>
    <w:p w14:paraId="7C166EC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1.1.3.12 分部工程：指在单位工程中，按结构部位、路段长度及施工特点或施工任务划分的若干个工程。</w:t>
      </w:r>
    </w:p>
    <w:p w14:paraId="3FB59BD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1.1.3.13 分项工程：指在分部工程中，按不同的施工方法、材料、工序及路段长度等划分的若干个工程。</w:t>
      </w:r>
    </w:p>
    <w:p w14:paraId="39DC88E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bookmarkStart w:id="1230" w:name="OLE_LINK18"/>
      <w:r>
        <w:rPr>
          <w:rFonts w:hint="default" w:ascii="Times New Roman" w:hAnsi="Times New Roman" w:cs="Times New Roman"/>
          <w:color w:val="auto"/>
          <w:sz w:val="24"/>
          <w:highlight w:val="none"/>
        </w:rPr>
        <w:t xml:space="preserve">1.1.6 </w:t>
      </w:r>
      <w:r>
        <w:rPr>
          <w:rFonts w:hint="default" w:ascii="Times New Roman" w:hAnsi="Times New Roman" w:eastAsia="黑体" w:cs="Times New Roman"/>
          <w:color w:val="auto"/>
          <w:sz w:val="24"/>
          <w:highlight w:val="none"/>
        </w:rPr>
        <w:t>其他</w:t>
      </w:r>
    </w:p>
    <w:p w14:paraId="2B28E94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本项补充第1.1.6.2目～第1.1.6.9目：</w:t>
      </w:r>
    </w:p>
    <w:p w14:paraId="4DE4112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1.1.6.2 竣工验收：指《公路工程竣（交）工验收办法》中的竣工验收。通用合同条款中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国家验收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66A70B3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1.1.6.3交工：指《公路工程竣（交）工验收办法》中的交工。通用合同条款中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186B67B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1.1.6.4交工验收：指《公路工程竣（交）工验收办法》中的交工验收。通用合同条款中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22EE9B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1.1.6.5交工验收证书：指《公路工程竣（交）工验收办法》中的交工验收证书。通用合同条款中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工程接收证书</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bookmarkEnd w:id="1230"/>
    <w:p w14:paraId="4CB1633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1.1.6.6转包：指承包人违反法律和不履行合同规定的责任和义务，将中标工程全部委托或以专业分包的名义将中标工程肢解后全部委托给其他施工企业施工的行为。</w:t>
      </w:r>
    </w:p>
    <w:p w14:paraId="0E322DD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1.1.6.7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3E5AE8D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1.1.6.8劳务分包：指承包人与具有施工劳务资质的劳务企业签订劳务分包合同，由劳务企业提供劳务人员及机具，由承包人统一组织施工、统一控制工程质量、施工进度、材料采购、生产安全的施工行为。</w:t>
      </w:r>
    </w:p>
    <w:p w14:paraId="0F09B3B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1.1.6.9雇用民工：指承包人与具有相应劳动能力的自然人签订劳动合同，由承包人统一组织管理，从事分项工程施工或配套工程施工的行为。</w:t>
      </w:r>
    </w:p>
    <w:p w14:paraId="23A9D1E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1" w:name="_Toc27402"/>
      <w:bookmarkStart w:id="1232" w:name="_Toc20079"/>
      <w:bookmarkStart w:id="1233" w:name="_Toc234833126"/>
      <w:bookmarkStart w:id="1234" w:name="_Toc1907"/>
      <w:bookmarkStart w:id="1235" w:name="_Toc18641"/>
      <w:r>
        <w:rPr>
          <w:rFonts w:hint="default" w:ascii="Times New Roman" w:hAnsi="Times New Roman" w:eastAsia="黑体" w:cs="Times New Roman"/>
          <w:b w:val="0"/>
          <w:color w:val="auto"/>
          <w:sz w:val="24"/>
          <w:szCs w:val="24"/>
          <w:highlight w:val="none"/>
        </w:rPr>
        <w:t>1.4 合同文件的优先顺序</w:t>
      </w:r>
      <w:bookmarkEnd w:id="1231"/>
      <w:bookmarkEnd w:id="1232"/>
      <w:bookmarkEnd w:id="1233"/>
      <w:bookmarkEnd w:id="1234"/>
      <w:bookmarkEnd w:id="1235"/>
    </w:p>
    <w:p w14:paraId="3A15F9C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64997DD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组成合同的各项文件应互相解释，互为说明。除项目专用合同条款另有约定外，解释合同文件的优先顺序如下：</w:t>
      </w:r>
    </w:p>
    <w:p w14:paraId="7CBF108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（1）合同协议书及各种合同附件（含评标期间和合同谈判过程中的澄清文件和补充资料）；</w:t>
      </w:r>
    </w:p>
    <w:p w14:paraId="687114F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76C26DA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7F44181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（4）项目专用合同条款；</w:t>
      </w:r>
    </w:p>
    <w:p w14:paraId="439857F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（5）公路工程专用合同条款；</w:t>
      </w:r>
    </w:p>
    <w:p w14:paraId="7CC5E060">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42C33B5B">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5F95B51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（8）技术规范；</w:t>
      </w:r>
    </w:p>
    <w:p w14:paraId="1CF61A1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（9）图纸；</w:t>
      </w:r>
    </w:p>
    <w:p w14:paraId="2123060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（10）已标价工程量清单；</w:t>
      </w:r>
    </w:p>
    <w:p w14:paraId="126681E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（11）承包人有关人员、设备投入的承诺及投标文件中的施工组织设计；</w:t>
      </w:r>
    </w:p>
    <w:p w14:paraId="502FF96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（12）其他合同文件。</w:t>
      </w:r>
    </w:p>
    <w:p w14:paraId="3D1ED98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6" w:name="_Toc13917"/>
      <w:bookmarkStart w:id="1237" w:name="_Toc234833127"/>
      <w:bookmarkStart w:id="1238" w:name="_Toc28459"/>
      <w:bookmarkStart w:id="1239" w:name="_Toc17521"/>
      <w:bookmarkStart w:id="1240" w:name="_Toc7187"/>
      <w:r>
        <w:rPr>
          <w:rFonts w:hint="default" w:ascii="Times New Roman" w:hAnsi="Times New Roman" w:eastAsia="黑体" w:cs="Times New Roman"/>
          <w:b w:val="0"/>
          <w:color w:val="auto"/>
          <w:sz w:val="24"/>
          <w:szCs w:val="24"/>
          <w:highlight w:val="none"/>
        </w:rPr>
        <w:t>1.5 合同协议书</w:t>
      </w:r>
      <w:bookmarkEnd w:id="1236"/>
      <w:bookmarkEnd w:id="1237"/>
      <w:bookmarkEnd w:id="1238"/>
      <w:bookmarkEnd w:id="1239"/>
      <w:bookmarkEnd w:id="1240"/>
    </w:p>
    <w:p w14:paraId="0994986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563F818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制备本合同文件的费用由发包人承担。在合同协议书签订并生效之前，投标函和中标通知书将对双方具有约束力。</w:t>
      </w:r>
    </w:p>
    <w:p w14:paraId="6035694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41" w:name="_Toc234833128"/>
      <w:bookmarkStart w:id="1242" w:name="_Toc5981"/>
      <w:bookmarkStart w:id="1243" w:name="_Toc2156"/>
      <w:bookmarkStart w:id="1244" w:name="_Toc12395"/>
      <w:bookmarkStart w:id="1245" w:name="_Toc21351"/>
      <w:r>
        <w:rPr>
          <w:rFonts w:hint="default" w:ascii="Times New Roman" w:hAnsi="Times New Roman" w:eastAsia="黑体" w:cs="Times New Roman"/>
          <w:b w:val="0"/>
          <w:color w:val="auto"/>
          <w:sz w:val="24"/>
          <w:szCs w:val="24"/>
          <w:highlight w:val="none"/>
        </w:rPr>
        <w:t>1.6 图纸和承包人文件</w:t>
      </w:r>
      <w:bookmarkEnd w:id="1241"/>
      <w:bookmarkEnd w:id="1242"/>
      <w:bookmarkEnd w:id="1243"/>
      <w:bookmarkEnd w:id="1244"/>
      <w:bookmarkEnd w:id="1245"/>
    </w:p>
    <w:p w14:paraId="66E71F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1.6.1 </w:t>
      </w:r>
      <w:r>
        <w:rPr>
          <w:rFonts w:hint="default" w:ascii="Times New Roman" w:hAnsi="Times New Roman" w:eastAsia="黑体" w:cs="Times New Roman"/>
          <w:color w:val="auto"/>
          <w:sz w:val="24"/>
          <w:highlight w:val="none"/>
        </w:rPr>
        <w:t>图纸的提供</w:t>
      </w:r>
    </w:p>
    <w:p w14:paraId="7905021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24BCAC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2F37D6F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 xml:space="preserve"> 承包人提供的文件</w:t>
      </w:r>
    </w:p>
    <w:p w14:paraId="6384071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E88A91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有下列情形之一的，承包人应免费向监理人提交相关部分工程的施工图纸3份，并附必要的计算书、技术资料，或施工工艺图、设备安装图及安装设备的使用和维护手册各2份供监理人批准。</w:t>
      </w:r>
    </w:p>
    <w:p w14:paraId="6114C80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（1）为使第1.6.1项所述的施工图纸适合于经施工测量后的纵、横断面；</w:t>
      </w:r>
    </w:p>
    <w:p w14:paraId="0414A83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（2）为使第1.6.1项所述的施工图纸适合于现场具体地形；</w:t>
      </w:r>
    </w:p>
    <w:p w14:paraId="05751DF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（3）为使第1.6.1项所述的施工图纸适合于因尺寸与位置变化而引起局部变更；</w:t>
      </w:r>
    </w:p>
    <w:p w14:paraId="241268A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（4）由于合同要求与施工需要。</w:t>
      </w:r>
    </w:p>
    <w:p w14:paraId="0323715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类图纸应按监理人规定的格式和图幅绘制。监理人在收到由承包人绘制的上述工程、工艺图纸、计算书和有关技术资料后14天内应予批准或提出修改要求，承包人应按监理人提出的要求作出修改，重新向监理人提交，监理人应在7天内批准或提出进一步的修改意见。</w:t>
      </w:r>
    </w:p>
    <w:p w14:paraId="0D8EFAE1">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1.6.4 </w:t>
      </w:r>
      <w:r>
        <w:rPr>
          <w:rFonts w:hint="default" w:ascii="Times New Roman" w:hAnsi="Times New Roman" w:eastAsia="黑体" w:cs="Times New Roman"/>
          <w:color w:val="auto"/>
          <w:sz w:val="24"/>
          <w:highlight w:val="none"/>
        </w:rPr>
        <w:t>图纸的错误</w:t>
      </w:r>
    </w:p>
    <w:p w14:paraId="7C61956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5FF5814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承包人在查阅合同文件或在本合同工程实施过程中，发现有关的工程设计、技术规范、图纸或其他资料中的任何差错、遗漏或缺陷后，应及时通知监理人。监理人接到该通知后，应立即就此作出决定，并通知承包人和发包人。</w:t>
      </w:r>
    </w:p>
    <w:p w14:paraId="3B65B53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46" w:name="_Toc5360"/>
      <w:bookmarkStart w:id="1247" w:name="_Toc16791"/>
      <w:bookmarkStart w:id="1248" w:name="_Toc29704"/>
      <w:bookmarkStart w:id="1249" w:name="_Toc23783"/>
      <w:bookmarkStart w:id="1250" w:name="_Toc234833129"/>
      <w:r>
        <w:rPr>
          <w:rFonts w:hint="default" w:ascii="Times New Roman" w:hAnsi="Times New Roman" w:eastAsia="黑体" w:cs="Times New Roman"/>
          <w:b w:val="0"/>
          <w:color w:val="auto"/>
          <w:sz w:val="24"/>
          <w:szCs w:val="24"/>
          <w:highlight w:val="none"/>
        </w:rPr>
        <w:t>1.9 严禁贿赂</w:t>
      </w:r>
      <w:bookmarkEnd w:id="1246"/>
      <w:bookmarkEnd w:id="1247"/>
      <w:bookmarkEnd w:id="1248"/>
      <w:bookmarkEnd w:id="1249"/>
      <w:bookmarkEnd w:id="1250"/>
    </w:p>
    <w:p w14:paraId="30750DC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34C0485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40A4A18A">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51" w:name="_Toc234833130"/>
      <w:bookmarkStart w:id="1252" w:name="_Toc21468"/>
      <w:bookmarkStart w:id="1253" w:name="_Toc15632"/>
      <w:bookmarkStart w:id="1254" w:name="_Toc3220"/>
      <w:bookmarkStart w:id="1255" w:name="_Toc1766"/>
      <w:r>
        <w:rPr>
          <w:rFonts w:hint="default" w:ascii="Times New Roman" w:hAnsi="Times New Roman" w:eastAsia="黑体" w:cs="Times New Roman"/>
          <w:b w:val="0"/>
          <w:color w:val="auto"/>
          <w:sz w:val="28"/>
          <w:szCs w:val="28"/>
          <w:highlight w:val="none"/>
        </w:rPr>
        <w:t>2. 发包人义务</w:t>
      </w:r>
      <w:bookmarkEnd w:id="1251"/>
      <w:bookmarkEnd w:id="1252"/>
      <w:bookmarkEnd w:id="1253"/>
      <w:bookmarkEnd w:id="1254"/>
      <w:bookmarkEnd w:id="1255"/>
    </w:p>
    <w:p w14:paraId="3B5F0B2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56" w:name="_Toc234833131"/>
      <w:bookmarkStart w:id="1257" w:name="_Toc14471"/>
      <w:bookmarkStart w:id="1258" w:name="_Toc8131"/>
      <w:bookmarkStart w:id="1259" w:name="_Toc27735"/>
      <w:bookmarkStart w:id="1260" w:name="_Toc21651"/>
      <w:r>
        <w:rPr>
          <w:rFonts w:hint="default" w:ascii="Times New Roman" w:hAnsi="Times New Roman" w:eastAsia="黑体" w:cs="Times New Roman"/>
          <w:b w:val="0"/>
          <w:color w:val="auto"/>
          <w:sz w:val="24"/>
          <w:szCs w:val="24"/>
          <w:highlight w:val="none"/>
        </w:rPr>
        <w:t>2.3 提供施工场地</w:t>
      </w:r>
      <w:bookmarkEnd w:id="1256"/>
      <w:bookmarkEnd w:id="1257"/>
      <w:bookmarkEnd w:id="1258"/>
      <w:bookmarkEnd w:id="1259"/>
      <w:bookmarkEnd w:id="1260"/>
    </w:p>
    <w:p w14:paraId="0A908C8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296E89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用，应由承包人承担。</w:t>
      </w:r>
    </w:p>
    <w:p w14:paraId="5EBDCC5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4F8458C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61" w:name="_Toc25338"/>
      <w:bookmarkStart w:id="1262" w:name="_Toc18195"/>
      <w:bookmarkStart w:id="1263" w:name="_Toc17755"/>
      <w:bookmarkStart w:id="1264" w:name="_Toc18127"/>
      <w:bookmarkStart w:id="1265" w:name="_Toc234833132"/>
      <w:r>
        <w:rPr>
          <w:rFonts w:hint="default" w:ascii="Times New Roman" w:hAnsi="Times New Roman" w:eastAsia="黑体" w:cs="Times New Roman"/>
          <w:b w:val="0"/>
          <w:color w:val="auto"/>
          <w:sz w:val="28"/>
          <w:szCs w:val="28"/>
          <w:highlight w:val="none"/>
        </w:rPr>
        <w:t>3. 监理人</w:t>
      </w:r>
      <w:bookmarkEnd w:id="1261"/>
      <w:bookmarkEnd w:id="1262"/>
      <w:bookmarkEnd w:id="1263"/>
      <w:bookmarkEnd w:id="1264"/>
      <w:bookmarkEnd w:id="1265"/>
    </w:p>
    <w:p w14:paraId="38745D3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66" w:name="_Toc234833133"/>
      <w:bookmarkStart w:id="1267" w:name="_Toc17494"/>
      <w:bookmarkStart w:id="1268" w:name="_Toc31502"/>
      <w:bookmarkStart w:id="1269" w:name="_Toc10320"/>
      <w:bookmarkStart w:id="1270" w:name="_Toc19048"/>
      <w:r>
        <w:rPr>
          <w:rFonts w:hint="default" w:ascii="Times New Roman" w:hAnsi="Times New Roman" w:eastAsia="黑体" w:cs="Times New Roman"/>
          <w:b w:val="0"/>
          <w:color w:val="auto"/>
          <w:sz w:val="24"/>
          <w:szCs w:val="24"/>
          <w:highlight w:val="none"/>
        </w:rPr>
        <w:t>3.1 监理人的职责和权力</w:t>
      </w:r>
      <w:bookmarkEnd w:id="1266"/>
      <w:bookmarkEnd w:id="1267"/>
      <w:bookmarkEnd w:id="1268"/>
      <w:bookmarkEnd w:id="1269"/>
      <w:bookmarkEnd w:id="1270"/>
      <w:r>
        <w:rPr>
          <w:rFonts w:hint="default" w:ascii="Times New Roman" w:hAnsi="Times New Roman" w:eastAsia="黑体" w:cs="Times New Roman"/>
          <w:b w:val="0"/>
          <w:color w:val="auto"/>
          <w:sz w:val="24"/>
          <w:szCs w:val="24"/>
          <w:highlight w:val="none"/>
        </w:rPr>
        <w:t xml:space="preserve"> </w:t>
      </w:r>
    </w:p>
    <w:p w14:paraId="2E455F4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第3.1.1项补充：</w:t>
      </w:r>
    </w:p>
    <w:p w14:paraId="63745B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监理人在行使下列权力前需要经发包人事先批准：</w:t>
      </w:r>
    </w:p>
    <w:p w14:paraId="291CCE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（1）根据第4.3款，同意分包本工程的某些非关键性工作或者适合专业化队伍施工的专项工程；</w:t>
      </w:r>
    </w:p>
    <w:p w14:paraId="013B25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（2）确定第4.11款下产生的费用增加额；</w:t>
      </w:r>
    </w:p>
    <w:p w14:paraId="603F9B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（3）根据第11.1款、第12.3款、第12.4款发布开工通知、暂停施工指示或复工通知；</w:t>
      </w:r>
    </w:p>
    <w:p w14:paraId="66654D4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（4）决定第11.3款、第11.4款下的工期延长；</w:t>
      </w:r>
    </w:p>
    <w:p w14:paraId="307534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（5）审查批准技术方案或设计的变更；</w:t>
      </w:r>
    </w:p>
    <w:p w14:paraId="5AFA0B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（6）根据第15.3款发出的变更指示，其单项工程变更或累计变更涉及的金额超过了项目专用合同条款数据表中规定的金额； </w:t>
      </w:r>
    </w:p>
    <w:p w14:paraId="4AA14D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（7）确定第15.4款下变更工作的单价；</w:t>
      </w:r>
    </w:p>
    <w:p w14:paraId="09BF96D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（8）按照第15.6款决定有关暂列金额的使用； </w:t>
      </w:r>
    </w:p>
    <w:p w14:paraId="5EAFB2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（9）确定第15.8款下的暂估价金额；</w:t>
      </w:r>
    </w:p>
    <w:p w14:paraId="1896FF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（10）确定第23.1款下的索赔额。</w:t>
      </w:r>
    </w:p>
    <w:p w14:paraId="02606340">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4534396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71" w:name="_Toc5389"/>
      <w:bookmarkStart w:id="1272" w:name="_Toc24088"/>
      <w:bookmarkStart w:id="1273" w:name="_Toc22142"/>
      <w:bookmarkStart w:id="1274" w:name="_Toc234833134"/>
      <w:bookmarkStart w:id="1275" w:name="_Toc11325"/>
      <w:r>
        <w:rPr>
          <w:rFonts w:hint="default" w:ascii="Times New Roman" w:hAnsi="Times New Roman" w:eastAsia="黑体" w:cs="Times New Roman"/>
          <w:b w:val="0"/>
          <w:color w:val="auto"/>
          <w:sz w:val="24"/>
          <w:szCs w:val="24"/>
          <w:highlight w:val="none"/>
        </w:rPr>
        <w:t>3.5商定或确定</w:t>
      </w:r>
      <w:bookmarkEnd w:id="1271"/>
      <w:bookmarkEnd w:id="1272"/>
      <w:bookmarkEnd w:id="1273"/>
      <w:bookmarkEnd w:id="1274"/>
      <w:bookmarkEnd w:id="1275"/>
    </w:p>
    <w:p w14:paraId="4F4322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第3.5.1项补充：</w:t>
      </w:r>
    </w:p>
    <w:p w14:paraId="0D7EB2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如果这项商定或确定导致费用增加和（或）工期延长，或者涉及确定变更工程的价格，则总监理工程师在发出通知前，应征得发包人的同意。</w:t>
      </w:r>
    </w:p>
    <w:p w14:paraId="3E144ABC">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76" w:name="_Toc11613"/>
      <w:bookmarkStart w:id="1277" w:name="_Toc234833135"/>
      <w:bookmarkStart w:id="1278" w:name="_Toc9107"/>
      <w:bookmarkStart w:id="1279" w:name="_Toc32621"/>
      <w:bookmarkStart w:id="1280" w:name="_Toc8992"/>
      <w:r>
        <w:rPr>
          <w:rFonts w:hint="default" w:ascii="Times New Roman" w:hAnsi="Times New Roman" w:eastAsia="黑体" w:cs="Times New Roman"/>
          <w:b w:val="0"/>
          <w:color w:val="auto"/>
          <w:sz w:val="28"/>
          <w:szCs w:val="28"/>
          <w:highlight w:val="none"/>
        </w:rPr>
        <w:t>4. 承包人</w:t>
      </w:r>
      <w:bookmarkEnd w:id="1276"/>
      <w:bookmarkEnd w:id="1277"/>
      <w:bookmarkEnd w:id="1278"/>
      <w:bookmarkEnd w:id="1279"/>
      <w:bookmarkEnd w:id="1280"/>
    </w:p>
    <w:p w14:paraId="16C0CD8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81" w:name="_Toc10533"/>
      <w:bookmarkStart w:id="1282" w:name="_Toc234833136"/>
      <w:bookmarkStart w:id="1283" w:name="_Toc9712"/>
      <w:bookmarkStart w:id="1284" w:name="_Toc1637"/>
      <w:bookmarkStart w:id="1285" w:name="_Toc31924"/>
      <w:r>
        <w:rPr>
          <w:rFonts w:hint="default" w:ascii="Times New Roman" w:hAnsi="Times New Roman" w:eastAsia="黑体" w:cs="Times New Roman"/>
          <w:b w:val="0"/>
          <w:color w:val="auto"/>
          <w:sz w:val="24"/>
          <w:szCs w:val="24"/>
          <w:highlight w:val="none"/>
        </w:rPr>
        <w:t>4.1 承包人的一般义务</w:t>
      </w:r>
      <w:bookmarkEnd w:id="1281"/>
      <w:bookmarkEnd w:id="1282"/>
      <w:bookmarkEnd w:id="1283"/>
      <w:bookmarkEnd w:id="1284"/>
      <w:bookmarkEnd w:id="1285"/>
    </w:p>
    <w:p w14:paraId="53532D3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4.1.9 </w:t>
      </w:r>
      <w:r>
        <w:rPr>
          <w:rFonts w:hint="default" w:ascii="Times New Roman" w:hAnsi="Times New Roman" w:eastAsia="黑体" w:cs="Times New Roman"/>
          <w:color w:val="auto"/>
          <w:sz w:val="24"/>
          <w:highlight w:val="none"/>
        </w:rPr>
        <w:t xml:space="preserve">工程的维护和照管 </w:t>
      </w:r>
    </w:p>
    <w:p w14:paraId="634FABD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DDEBDA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1A17A23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承包人负责照管与维护期间，如果本工程或材料、设备等发生损失或损害，除不可抗力原因之外，承包人均应自费弥补，并达到合同要求。承包人还应对按第19条规定而实施作业过程中由承包人造成的对工程的任何损失或损害负责。</w:t>
      </w:r>
    </w:p>
    <w:p w14:paraId="3436AE5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07D2EE2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13886BF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临时占地由承包人向当地政府土地管理部门申请，并办理租用手续，承包人按有关规定直接支付其费用，发包人对此将予以协调。</w:t>
      </w:r>
    </w:p>
    <w:p w14:paraId="4297340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临时占地范围包括承包人驻地的办公室、食堂、宿舍、道路和机械设备停放场、材料堆放场地、弃土场、预制场、拌和场、仓库、进场临时道路、临时便道、便桥等。承包人应在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临时占地计划表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第100章中由承包人按总额报价。</w:t>
      </w:r>
    </w:p>
    <w:p w14:paraId="6AADAEA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退还前，承包人应自费恢复到临时占地使用前的状况。如因承包人撤离后未按要求对临时占地进行恢复或虽进行了恢复但未达到使用标准的，将由发包人委托第三方对其恢复，所发生的费用将从应付给承包人的任何款项内扣除。</w:t>
      </w:r>
    </w:p>
    <w:p w14:paraId="115FDB1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除项目专用合同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1C3D606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5EE3BD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包工头</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或其他不具备用工主体资格的组织和个人。</w:t>
      </w:r>
    </w:p>
    <w:p w14:paraId="6F297F3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工资支付表应如实记录支付单位、支付时间、支付对象、支付数额、支付对象的身份证号和签字等信息。民工花名册和工资支付表应报监理人备查。</w:t>
      </w:r>
    </w:p>
    <w:p w14:paraId="6E91826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分解工程价款中的人工费用，在工程项目所在地银行开设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04E29FA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100章中。</w:t>
      </w:r>
    </w:p>
    <w:p w14:paraId="710BCA0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（6）承包人应履行项目专用合同条款约定的其他义务。</w:t>
      </w:r>
    </w:p>
    <w:p w14:paraId="5C89618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86" w:name="_Toc29645"/>
      <w:bookmarkStart w:id="1287" w:name="_Toc5952"/>
      <w:bookmarkStart w:id="1288" w:name="_Toc16581"/>
      <w:bookmarkStart w:id="1289" w:name="_Toc19692"/>
      <w:bookmarkStart w:id="1290" w:name="_Toc234833137"/>
      <w:r>
        <w:rPr>
          <w:rFonts w:hint="default" w:ascii="Times New Roman" w:hAnsi="Times New Roman" w:eastAsia="黑体" w:cs="Times New Roman"/>
          <w:b w:val="0"/>
          <w:color w:val="auto"/>
          <w:sz w:val="24"/>
          <w:szCs w:val="24"/>
          <w:highlight w:val="none"/>
        </w:rPr>
        <w:t>4.2 履约保证金</w:t>
      </w:r>
      <w:bookmarkEnd w:id="1286"/>
      <w:bookmarkEnd w:id="1287"/>
      <w:bookmarkEnd w:id="1288"/>
      <w:bookmarkEnd w:id="1289"/>
    </w:p>
    <w:p w14:paraId="217B572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4B27E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承包人应保证其履约保证金在发包人签发交工验收证书且承包人按照合同约定缴纳质量保证金前一直有效。发包人应在收到承包人缴纳的质量保证金后28天内将履约保证金退还给承包人。</w:t>
      </w:r>
    </w:p>
    <w:p w14:paraId="7C65B9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承包人拒绝按照本合同约定缴纳质量保证金的，发包人有权从交工付款证书中扣留相应金额作为质量保证金，或者直接将履约保证金金额用于保证承包人在缺陷责任期内履行缺陷修复义务。</w:t>
      </w:r>
    </w:p>
    <w:p w14:paraId="52FC7C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1" w:name="_Toc31152"/>
      <w:bookmarkStart w:id="1292" w:name="_Toc25400"/>
      <w:bookmarkStart w:id="1293" w:name="_Toc32680"/>
      <w:bookmarkStart w:id="1294" w:name="_Toc1237"/>
      <w:r>
        <w:rPr>
          <w:rFonts w:hint="default" w:ascii="Times New Roman" w:hAnsi="Times New Roman" w:eastAsia="黑体" w:cs="Times New Roman"/>
          <w:b w:val="0"/>
          <w:color w:val="auto"/>
          <w:sz w:val="24"/>
          <w:szCs w:val="24"/>
          <w:highlight w:val="none"/>
        </w:rPr>
        <w:t>4.3 分包</w:t>
      </w:r>
      <w:bookmarkEnd w:id="1290"/>
      <w:bookmarkEnd w:id="1291"/>
      <w:bookmarkEnd w:id="1292"/>
      <w:bookmarkEnd w:id="1293"/>
      <w:bookmarkEnd w:id="1294"/>
    </w:p>
    <w:p w14:paraId="1379EFF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第4.3.2项～第4.3.4项细化为：</w:t>
      </w:r>
    </w:p>
    <w:p w14:paraId="0E6EC7D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 承包人不得将《辽宁省公路工程施工分包管理实施细则》（辽交公路规〔2025〕1号）规定的负面清单所列主体和关键性工作分包给第三人。经发包人同意，承包人可将工程的其他部分或工作分包给第三人。分包包括专业分包和劳务分包。</w:t>
      </w:r>
    </w:p>
    <w:p w14:paraId="2790C6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 专业分包</w:t>
      </w:r>
    </w:p>
    <w:p w14:paraId="64E31C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在工程施工过程中，承包人进行专业分包必须遵守以下规定：</w:t>
      </w:r>
    </w:p>
    <w:p w14:paraId="4A218A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（1）允许专业分包的工程范围仅限于《辽宁省公路工程施工分包管理实施细则》（辽交公路规〔2025〕1号）</w:t>
      </w:r>
      <w:r>
        <w:rPr>
          <w:rFonts w:hint="eastAsia" w:cs="Times New Roman"/>
          <w:color w:val="auto"/>
          <w:sz w:val="24"/>
          <w:highlight w:val="none"/>
          <w:lang w:val="en-US" w:eastAsia="zh-CN"/>
        </w:rPr>
        <w:t>规定的负面清单以外的部分单位工程、分部工程或者分项工程</w:t>
      </w:r>
      <w:r>
        <w:rPr>
          <w:rFonts w:hint="default" w:ascii="Times New Roman" w:hAnsi="Times New Roman" w:cs="Times New Roman"/>
          <w:color w:val="auto"/>
          <w:sz w:val="24"/>
          <w:highlight w:val="none"/>
        </w:rPr>
        <w:t>。</w:t>
      </w:r>
    </w:p>
    <w:p w14:paraId="175ADE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（2）专业分包人的资格能力（含安全生产能力）应与其分包工程的标准和规模相适应，且应当具备如下条件：</w:t>
      </w:r>
    </w:p>
    <w:p w14:paraId="5D7E83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具有经依法登记的法人资格；</w:t>
      </w:r>
    </w:p>
    <w:p w14:paraId="5F6707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b. 具有从事类似工程经验的管理与技术人员； </w:t>
      </w:r>
    </w:p>
    <w:p w14:paraId="2130C8BD">
      <w:pPr>
        <w:pageBreakBefore w:val="0"/>
        <w:kinsoku/>
        <w:wordWrap w:val="0"/>
        <w:bidi w:val="0"/>
        <w:spacing w:line="400" w:lineRule="atLeast"/>
        <w:ind w:firstLine="480" w:firstLineChars="200"/>
        <w:rPr>
          <w:rFonts w:hint="eastAsia" w:cs="Times New Roman"/>
          <w:color w:val="auto"/>
          <w:sz w:val="24"/>
          <w:highlight w:val="none"/>
          <w:lang w:eastAsia="zh-CN"/>
        </w:rPr>
      </w:pPr>
      <w:r>
        <w:rPr>
          <w:rFonts w:hint="default" w:ascii="Times New Roman" w:hAnsi="Times New Roman" w:cs="Times New Roman"/>
          <w:color w:val="auto"/>
          <w:sz w:val="24"/>
          <w:highlight w:val="none"/>
        </w:rPr>
        <w:t>c. 具有（自有或者租赁）分包工程所需的施工设备和辅助设施</w:t>
      </w:r>
      <w:r>
        <w:rPr>
          <w:rFonts w:hint="eastAsia" w:cs="Times New Roman"/>
          <w:color w:val="auto"/>
          <w:sz w:val="24"/>
          <w:highlight w:val="none"/>
          <w:lang w:eastAsia="zh-CN"/>
        </w:rPr>
        <w:t>；</w:t>
      </w:r>
    </w:p>
    <w:p w14:paraId="2370EE7B">
      <w:pPr>
        <w:pageBreakBefore w:val="0"/>
        <w:kinsoku/>
        <w:wordWrap w:val="0"/>
        <w:bidi w:val="0"/>
        <w:spacing w:line="400" w:lineRule="atLeas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d.单位工程设有资质要求的，单位工程及所含分部工程、分项工程的分包人，应当具备国家规定的相应专业承包资质条件;</w:t>
      </w:r>
    </w:p>
    <w:p w14:paraId="6F1160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e.其他单位工程及所含分部工程、分项工程的分包人，应当具备发包人确定的资格条件，但不得违反法律法规等相关规定</w:t>
      </w:r>
      <w:r>
        <w:rPr>
          <w:rFonts w:hint="default" w:ascii="Times New Roman" w:hAnsi="Times New Roman" w:cs="Times New Roman"/>
          <w:color w:val="auto"/>
          <w:sz w:val="24"/>
          <w:highlight w:val="none"/>
        </w:rPr>
        <w:t>。</w:t>
      </w:r>
    </w:p>
    <w:p w14:paraId="1AB153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承包人应向监理人提交专业分包人的资格能力证明材料，经监理人审查并报发包人批准后，可以将相应专业工程分包给该专业分包人。</w:t>
      </w:r>
    </w:p>
    <w:p w14:paraId="233343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（3）专业分包工程不得再次分包。</w:t>
      </w:r>
    </w:p>
    <w:p w14:paraId="3B3D629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431D2E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7BE119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当建立健全相关分包管理制度和台账，对专业分包工程的质量、安全、进度和专业分包人的行为等实施全过程管理，按照合同约定对专业分包工程的实施向发包人负责，并承担赔偿责任。专业分包合同不免除承包合同中规定的承包人的责任或者义务。</w:t>
      </w:r>
    </w:p>
    <w:p w14:paraId="3CF935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644C43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7EEC81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3FCF6E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 劳务分包</w:t>
      </w:r>
    </w:p>
    <w:p w14:paraId="6FB7D8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在工程施工过程中，承包人进行劳务分包必须遵守以下规定：</w:t>
      </w:r>
    </w:p>
    <w:p w14:paraId="76593C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（1）劳务分包人应具有施工劳务资质。</w:t>
      </w:r>
    </w:p>
    <w:p w14:paraId="20B06B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4D6641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雇用的劳务作业应加入到承包人的施工班组统一管理。有关施工质量、施工安全、施工进度、环境保护、技术方案、试验检测、材料保管与供应、机械设备等都必须由承包人管理与调配，不得以包代管。</w:t>
      </w:r>
    </w:p>
    <w:p w14:paraId="0DB13F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（4）承包人应当对劳务分包人员进行安全培训和管理，劳务分包人不得将其分包的劳务作业再次分包。</w:t>
      </w:r>
    </w:p>
    <w:p w14:paraId="232CA5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750F43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本款补充第4.3.6项、第4.3.7项：</w:t>
      </w:r>
    </w:p>
    <w:p w14:paraId="45CC17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4.3.6 发包人对承包人与分包人之间的法律与经济纠纷不承担任何责任和义务。</w:t>
      </w:r>
    </w:p>
    <w:p w14:paraId="52F18E4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4.3.7 本项目的各项分包工作均应遵守《公路工程施工分包管理办法》的有关规定。</w:t>
      </w:r>
    </w:p>
    <w:p w14:paraId="4542A2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5" w:name="_Toc234833138"/>
      <w:bookmarkStart w:id="1296" w:name="_Toc29009"/>
      <w:bookmarkStart w:id="1297" w:name="_Toc13827"/>
      <w:bookmarkStart w:id="1298" w:name="_Toc32168"/>
      <w:bookmarkStart w:id="1299" w:name="_Toc29289"/>
      <w:r>
        <w:rPr>
          <w:rFonts w:hint="default" w:ascii="Times New Roman" w:hAnsi="Times New Roman" w:eastAsia="黑体" w:cs="Times New Roman"/>
          <w:b w:val="0"/>
          <w:color w:val="auto"/>
          <w:sz w:val="24"/>
          <w:szCs w:val="24"/>
          <w:highlight w:val="none"/>
        </w:rPr>
        <w:t>4.4联合体</w:t>
      </w:r>
      <w:bookmarkEnd w:id="1295"/>
      <w:bookmarkEnd w:id="1296"/>
      <w:bookmarkEnd w:id="1297"/>
      <w:bookmarkEnd w:id="1298"/>
      <w:bookmarkEnd w:id="1299"/>
    </w:p>
    <w:p w14:paraId="35BDA5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本款补充第4.4.4项：</w:t>
      </w:r>
    </w:p>
    <w:p w14:paraId="40E504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4.4.4未经发包人事先同意，联合体的组成与结构不得变动。</w:t>
      </w:r>
    </w:p>
    <w:p w14:paraId="7D0534E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00" w:name="_Toc13104"/>
      <w:bookmarkStart w:id="1301" w:name="_Toc2858"/>
      <w:bookmarkStart w:id="1302" w:name="_Toc13791"/>
      <w:bookmarkStart w:id="1303" w:name="_Toc12253"/>
      <w:bookmarkStart w:id="1304" w:name="_Toc234833139"/>
      <w:r>
        <w:rPr>
          <w:rFonts w:hint="default" w:ascii="Times New Roman" w:hAnsi="Times New Roman" w:eastAsia="黑体" w:cs="Times New Roman"/>
          <w:b w:val="0"/>
          <w:color w:val="auto"/>
          <w:sz w:val="24"/>
          <w:szCs w:val="24"/>
          <w:highlight w:val="none"/>
        </w:rPr>
        <w:t>4.6 承包人人员的管理</w:t>
      </w:r>
      <w:bookmarkEnd w:id="1300"/>
      <w:bookmarkEnd w:id="1301"/>
      <w:bookmarkEnd w:id="1302"/>
      <w:bookmarkEnd w:id="1303"/>
      <w:bookmarkEnd w:id="1304"/>
    </w:p>
    <w:p w14:paraId="192634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第4.6.3项细化为：</w:t>
      </w:r>
    </w:p>
    <w:p w14:paraId="750FB5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3B2FBD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本款补充第4.6.5项：</w:t>
      </w:r>
    </w:p>
    <w:p w14:paraId="0FBA0A6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4.6.5 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p>
    <w:p w14:paraId="75714CE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05" w:name="_Toc234833140"/>
      <w:bookmarkStart w:id="1306" w:name="_Toc16403"/>
      <w:bookmarkStart w:id="1307" w:name="_Toc20923"/>
      <w:bookmarkStart w:id="1308" w:name="_Toc6774"/>
      <w:bookmarkStart w:id="1309" w:name="_Toc3046"/>
      <w:r>
        <w:rPr>
          <w:rFonts w:hint="default" w:ascii="Times New Roman" w:hAnsi="Times New Roman" w:eastAsia="黑体" w:cs="Times New Roman"/>
          <w:b w:val="0"/>
          <w:color w:val="auto"/>
          <w:sz w:val="24"/>
          <w:szCs w:val="24"/>
          <w:highlight w:val="none"/>
        </w:rPr>
        <w:t>4.7 撤换承包人项目经理和其他人员</w:t>
      </w:r>
      <w:bookmarkEnd w:id="1305"/>
      <w:bookmarkEnd w:id="1306"/>
      <w:bookmarkEnd w:id="1307"/>
      <w:bookmarkEnd w:id="1308"/>
      <w:bookmarkEnd w:id="1309"/>
    </w:p>
    <w:p w14:paraId="77ED67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83D1B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354A34F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10" w:name="_Toc6730"/>
      <w:bookmarkStart w:id="1311" w:name="_Toc234833141"/>
      <w:bookmarkStart w:id="1312" w:name="_Toc4005"/>
      <w:bookmarkStart w:id="1313" w:name="_Toc5979"/>
      <w:bookmarkStart w:id="1314" w:name="_Toc22693"/>
      <w:r>
        <w:rPr>
          <w:rFonts w:hint="default" w:ascii="Times New Roman" w:hAnsi="Times New Roman" w:eastAsia="黑体" w:cs="Times New Roman"/>
          <w:b w:val="0"/>
          <w:color w:val="auto"/>
          <w:sz w:val="24"/>
          <w:szCs w:val="24"/>
          <w:highlight w:val="none"/>
        </w:rPr>
        <w:t>4.9 工程价款应专款专用</w:t>
      </w:r>
      <w:bookmarkEnd w:id="1310"/>
      <w:bookmarkEnd w:id="1311"/>
      <w:bookmarkEnd w:id="1312"/>
      <w:bookmarkEnd w:id="1313"/>
      <w:bookmarkEnd w:id="1314"/>
    </w:p>
    <w:p w14:paraId="3997FC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3625A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326FAFB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15" w:name="_Toc23321"/>
      <w:bookmarkStart w:id="1316" w:name="_Toc5299"/>
      <w:bookmarkStart w:id="1317" w:name="_Toc234833142"/>
      <w:bookmarkStart w:id="1318" w:name="_Toc2824"/>
      <w:bookmarkStart w:id="1319" w:name="_Toc14913"/>
      <w:r>
        <w:rPr>
          <w:rFonts w:hint="default" w:ascii="Times New Roman" w:hAnsi="Times New Roman" w:eastAsia="黑体" w:cs="Times New Roman"/>
          <w:b w:val="0"/>
          <w:color w:val="auto"/>
          <w:sz w:val="24"/>
          <w:szCs w:val="24"/>
          <w:highlight w:val="none"/>
        </w:rPr>
        <w:t>4.10 承包人现场查勘</w:t>
      </w:r>
      <w:bookmarkEnd w:id="1315"/>
      <w:bookmarkEnd w:id="1316"/>
      <w:bookmarkEnd w:id="1317"/>
      <w:bookmarkEnd w:id="1318"/>
      <w:bookmarkEnd w:id="1319"/>
      <w:r>
        <w:rPr>
          <w:rFonts w:hint="default" w:ascii="Times New Roman" w:hAnsi="Times New Roman" w:eastAsia="黑体" w:cs="Times New Roman"/>
          <w:b w:val="0"/>
          <w:color w:val="auto"/>
          <w:sz w:val="24"/>
          <w:szCs w:val="24"/>
          <w:highlight w:val="none"/>
        </w:rPr>
        <w:t xml:space="preserve">    </w:t>
      </w:r>
    </w:p>
    <w:p w14:paraId="526D299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第4.10.1项细化为：</w:t>
      </w:r>
      <w:r>
        <w:rPr>
          <w:rStyle w:val="47"/>
          <w:rFonts w:hint="default" w:ascii="Times New Roman" w:hAnsi="Times New Roman" w:cs="Times New Roman"/>
          <w:color w:val="auto"/>
          <w:sz w:val="24"/>
          <w:highlight w:val="none"/>
        </w:rPr>
        <w:footnoteReference w:id="40"/>
      </w:r>
    </w:p>
    <w:p w14:paraId="06CFEB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责任。</w:t>
      </w:r>
    </w:p>
    <w:p w14:paraId="0E249F1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20" w:name="_Toc15362"/>
      <w:bookmarkStart w:id="1321" w:name="_Toc26327"/>
      <w:bookmarkStart w:id="1322" w:name="_Toc234833143"/>
      <w:bookmarkStart w:id="1323" w:name="_Toc29003"/>
      <w:bookmarkStart w:id="1324" w:name="_Toc29737"/>
      <w:r>
        <w:rPr>
          <w:rFonts w:hint="default" w:ascii="Times New Roman" w:hAnsi="Times New Roman" w:eastAsia="黑体" w:cs="Times New Roman"/>
          <w:b w:val="0"/>
          <w:color w:val="auto"/>
          <w:sz w:val="24"/>
          <w:szCs w:val="24"/>
          <w:highlight w:val="none"/>
        </w:rPr>
        <w:t>4.11 不利物质条件</w:t>
      </w:r>
      <w:bookmarkEnd w:id="1320"/>
      <w:bookmarkEnd w:id="1321"/>
      <w:bookmarkEnd w:id="1322"/>
      <w:bookmarkEnd w:id="1323"/>
      <w:bookmarkEnd w:id="1324"/>
    </w:p>
    <w:p w14:paraId="059164E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第4.11.2项细化为：</w:t>
      </w:r>
    </w:p>
    <w:p w14:paraId="26D980F7">
      <w:pPr>
        <w:pageBreakBefore w:val="0"/>
        <w:kinsoku/>
        <w:wordWrap w:val="0"/>
        <w:bidi w:val="0"/>
        <w:spacing w:line="400" w:lineRule="atLeast"/>
        <w:ind w:firstLine="42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 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258EA714">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本款补充第4.11.3项：</w:t>
      </w:r>
    </w:p>
    <w:p w14:paraId="7C298A0C">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4.11.3 可预见的不利物质条件</w:t>
      </w:r>
    </w:p>
    <w:p w14:paraId="4E283EED">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（1）对于项目专用合同条款中已经明确指出的不利物质条件无论承包人是否有其经历和经验均视为承包人在接受合同时已预见其影响，并已在签约合同价中计入因其影响而可能发生的一切费用。</w:t>
      </w:r>
    </w:p>
    <w:p w14:paraId="20158CB0">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（2）对于项目专用合同条款未明确指出，但是在不利物质条件发生之前，监理人已经指示承包人有可能发生，但承包人未能及时采取有效措施，而导致的损失和后果均由承包人承担。</w:t>
      </w:r>
    </w:p>
    <w:p w14:paraId="0EA4AD0E">
      <w:pPr>
        <w:pageBreakBefore w:val="0"/>
        <w:kinsoku/>
        <w:wordWrap w:val="0"/>
        <w:bidi w:val="0"/>
        <w:spacing w:line="400" w:lineRule="atLeast"/>
        <w:rPr>
          <w:rFonts w:hint="default" w:ascii="Times New Roman" w:hAnsi="Times New Roman" w:cs="Times New Roman"/>
          <w:color w:val="auto"/>
          <w:sz w:val="24"/>
          <w:highlight w:val="none"/>
        </w:rPr>
      </w:pPr>
    </w:p>
    <w:p w14:paraId="79D7F8F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补充第4.12款、第4.13款：</w:t>
      </w:r>
    </w:p>
    <w:p w14:paraId="6E2FF07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25" w:name="_Toc30842"/>
      <w:bookmarkStart w:id="1326" w:name="_Toc13171"/>
      <w:bookmarkStart w:id="1327" w:name="_Toc6244"/>
      <w:bookmarkStart w:id="1328" w:name="_Toc4142"/>
      <w:bookmarkStart w:id="1329" w:name="_Toc234833144"/>
      <w:r>
        <w:rPr>
          <w:rFonts w:hint="default" w:ascii="Times New Roman" w:hAnsi="Times New Roman" w:eastAsia="黑体" w:cs="Times New Roman"/>
          <w:b w:val="0"/>
          <w:color w:val="auto"/>
          <w:sz w:val="24"/>
          <w:szCs w:val="24"/>
          <w:highlight w:val="none"/>
        </w:rPr>
        <w:t>4.12 投标文件的完备性</w:t>
      </w:r>
      <w:bookmarkEnd w:id="1325"/>
      <w:bookmarkEnd w:id="1326"/>
      <w:bookmarkEnd w:id="1327"/>
      <w:bookmarkEnd w:id="1328"/>
      <w:bookmarkEnd w:id="1329"/>
    </w:p>
    <w:p w14:paraId="5520C2B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7C70584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30" w:name="_Toc4019"/>
      <w:bookmarkStart w:id="1331" w:name="_Toc18033"/>
      <w:bookmarkStart w:id="1332" w:name="_Toc31801"/>
      <w:bookmarkStart w:id="1333" w:name="_Toc14467"/>
      <w:r>
        <w:rPr>
          <w:rFonts w:hint="default" w:ascii="Times New Roman" w:hAnsi="Times New Roman" w:eastAsia="黑体" w:cs="Times New Roman"/>
          <w:b w:val="0"/>
          <w:color w:val="auto"/>
          <w:sz w:val="24"/>
          <w:szCs w:val="24"/>
          <w:highlight w:val="none"/>
        </w:rPr>
        <w:t>4.13 开展党建工作要求</w:t>
      </w:r>
      <w:bookmarkEnd w:id="1330"/>
      <w:bookmarkEnd w:id="1331"/>
      <w:bookmarkEnd w:id="1332"/>
      <w:bookmarkEnd w:id="1333"/>
    </w:p>
    <w:p w14:paraId="3CA3D3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211CBF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167D0DB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34" w:name="_Toc17097"/>
      <w:bookmarkStart w:id="1335" w:name="_Toc26645"/>
      <w:bookmarkStart w:id="1336" w:name="_Toc21286"/>
      <w:bookmarkStart w:id="1337" w:name="_Toc234833145"/>
      <w:bookmarkStart w:id="1338" w:name="_Toc29830"/>
      <w:r>
        <w:rPr>
          <w:rFonts w:hint="default" w:ascii="Times New Roman" w:hAnsi="Times New Roman" w:eastAsia="黑体" w:cs="Times New Roman"/>
          <w:b w:val="0"/>
          <w:color w:val="auto"/>
          <w:sz w:val="28"/>
          <w:szCs w:val="28"/>
          <w:highlight w:val="none"/>
        </w:rPr>
        <w:t>5. 材料和工程设备</w:t>
      </w:r>
      <w:bookmarkEnd w:id="1334"/>
      <w:bookmarkEnd w:id="1335"/>
      <w:bookmarkEnd w:id="1336"/>
      <w:bookmarkEnd w:id="1337"/>
      <w:bookmarkEnd w:id="1338"/>
    </w:p>
    <w:p w14:paraId="4CE40D9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39" w:name="_Toc234833146"/>
      <w:bookmarkStart w:id="1340" w:name="_Toc6846"/>
      <w:bookmarkStart w:id="1341" w:name="_Toc24736"/>
      <w:bookmarkStart w:id="1342" w:name="_Toc25834"/>
      <w:bookmarkStart w:id="1343" w:name="_Toc25319"/>
      <w:r>
        <w:rPr>
          <w:rFonts w:hint="default" w:ascii="Times New Roman" w:hAnsi="Times New Roman" w:eastAsia="黑体" w:cs="Times New Roman"/>
          <w:b w:val="0"/>
          <w:color w:val="auto"/>
          <w:sz w:val="24"/>
          <w:szCs w:val="24"/>
          <w:highlight w:val="none"/>
        </w:rPr>
        <w:t>5.2 发包人提供的材料和工程设备</w:t>
      </w:r>
      <w:bookmarkEnd w:id="1339"/>
      <w:bookmarkEnd w:id="1340"/>
      <w:bookmarkEnd w:id="1341"/>
      <w:bookmarkEnd w:id="1342"/>
      <w:bookmarkEnd w:id="1343"/>
    </w:p>
    <w:p w14:paraId="5385FB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第5.2.3项补充：</w:t>
      </w:r>
    </w:p>
    <w:p w14:paraId="40DA5B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70A5F97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44" w:name="_Toc234833147"/>
      <w:bookmarkStart w:id="1345" w:name="_Toc19827"/>
      <w:bookmarkStart w:id="1346" w:name="_Toc11578"/>
      <w:bookmarkStart w:id="1347" w:name="_Toc7033"/>
      <w:bookmarkStart w:id="1348" w:name="_Toc11315"/>
      <w:r>
        <w:rPr>
          <w:rFonts w:hint="default" w:ascii="Times New Roman" w:hAnsi="Times New Roman" w:eastAsia="黑体" w:cs="Times New Roman"/>
          <w:b w:val="0"/>
          <w:color w:val="auto"/>
          <w:sz w:val="28"/>
          <w:szCs w:val="28"/>
          <w:highlight w:val="none"/>
        </w:rPr>
        <w:t>6. 施工设备和临时设施</w:t>
      </w:r>
      <w:bookmarkEnd w:id="1344"/>
      <w:bookmarkEnd w:id="1345"/>
      <w:bookmarkEnd w:id="1346"/>
      <w:bookmarkEnd w:id="1347"/>
      <w:bookmarkEnd w:id="1348"/>
      <w:r>
        <w:rPr>
          <w:rFonts w:hint="default" w:ascii="Times New Roman" w:hAnsi="Times New Roman" w:eastAsia="黑体" w:cs="Times New Roman"/>
          <w:b w:val="0"/>
          <w:color w:val="auto"/>
          <w:sz w:val="28"/>
          <w:szCs w:val="28"/>
          <w:highlight w:val="none"/>
        </w:rPr>
        <w:t xml:space="preserve"> </w:t>
      </w:r>
    </w:p>
    <w:p w14:paraId="25C31B7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49" w:name="_Toc26020"/>
      <w:bookmarkStart w:id="1350" w:name="_Toc24564"/>
      <w:bookmarkStart w:id="1351" w:name="_Toc234833148"/>
      <w:bookmarkStart w:id="1352" w:name="_Toc13056"/>
      <w:bookmarkStart w:id="1353" w:name="_Toc24822"/>
      <w:r>
        <w:rPr>
          <w:rFonts w:hint="default" w:ascii="Times New Roman" w:hAnsi="Times New Roman" w:eastAsia="黑体" w:cs="Times New Roman"/>
          <w:b w:val="0"/>
          <w:color w:val="auto"/>
          <w:sz w:val="24"/>
          <w:szCs w:val="24"/>
          <w:highlight w:val="none"/>
        </w:rPr>
        <w:t>6.1 承包人提供的施工设备和临时设施</w:t>
      </w:r>
      <w:bookmarkEnd w:id="1349"/>
      <w:bookmarkEnd w:id="1350"/>
      <w:bookmarkEnd w:id="1351"/>
      <w:bookmarkEnd w:id="1352"/>
      <w:bookmarkEnd w:id="1353"/>
    </w:p>
    <w:p w14:paraId="4E8C389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第6.1.2项约定为：</w:t>
      </w:r>
    </w:p>
    <w:p w14:paraId="635552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承包人应自行承担修建临时设施的费用，需要临时占地的，应由承包人按第4.1.10项（1）目的规定办理。</w:t>
      </w:r>
    </w:p>
    <w:p w14:paraId="054E82A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54" w:name="_Toc17575"/>
      <w:bookmarkStart w:id="1355" w:name="_Toc28402"/>
      <w:bookmarkStart w:id="1356" w:name="_Toc234833149"/>
      <w:bookmarkStart w:id="1357" w:name="_Toc15629"/>
      <w:bookmarkStart w:id="1358" w:name="_Toc10697"/>
      <w:r>
        <w:rPr>
          <w:rFonts w:hint="default" w:ascii="Times New Roman" w:hAnsi="Times New Roman" w:eastAsia="黑体" w:cs="Times New Roman"/>
          <w:b w:val="0"/>
          <w:color w:val="auto"/>
          <w:sz w:val="24"/>
          <w:szCs w:val="24"/>
          <w:highlight w:val="none"/>
        </w:rPr>
        <w:t>6.3 要求承包人增加或更换施工设备</w:t>
      </w:r>
      <w:bookmarkEnd w:id="1354"/>
      <w:bookmarkEnd w:id="1355"/>
      <w:bookmarkEnd w:id="1356"/>
      <w:bookmarkEnd w:id="1357"/>
      <w:bookmarkEnd w:id="1358"/>
    </w:p>
    <w:p w14:paraId="3B4ED6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19B23A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承诺的施工设备必须按时到达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1C28FFE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59" w:name="_Toc13743"/>
      <w:bookmarkStart w:id="1360" w:name="_Toc28894"/>
      <w:bookmarkStart w:id="1361" w:name="_Toc234833150"/>
      <w:bookmarkStart w:id="1362" w:name="_Toc31348"/>
      <w:bookmarkStart w:id="1363" w:name="_Toc30626"/>
      <w:r>
        <w:rPr>
          <w:rFonts w:hint="default" w:ascii="Times New Roman" w:hAnsi="Times New Roman" w:eastAsia="黑体" w:cs="Times New Roman"/>
          <w:b w:val="0"/>
          <w:color w:val="auto"/>
          <w:sz w:val="28"/>
          <w:szCs w:val="28"/>
          <w:highlight w:val="none"/>
        </w:rPr>
        <w:t>7. 交通运输</w:t>
      </w:r>
      <w:bookmarkEnd w:id="1359"/>
      <w:bookmarkEnd w:id="1360"/>
      <w:bookmarkEnd w:id="1361"/>
      <w:bookmarkEnd w:id="1362"/>
      <w:bookmarkEnd w:id="1363"/>
      <w:r>
        <w:rPr>
          <w:rFonts w:hint="default" w:ascii="Times New Roman" w:hAnsi="Times New Roman" w:eastAsia="黑体" w:cs="Times New Roman"/>
          <w:b w:val="0"/>
          <w:color w:val="auto"/>
          <w:sz w:val="28"/>
          <w:szCs w:val="28"/>
          <w:highlight w:val="none"/>
        </w:rPr>
        <w:t xml:space="preserve"> </w:t>
      </w:r>
    </w:p>
    <w:p w14:paraId="7C65AE7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64" w:name="_Toc9360"/>
      <w:bookmarkStart w:id="1365" w:name="_Toc24391"/>
      <w:bookmarkStart w:id="1366" w:name="_Toc3580"/>
      <w:bookmarkStart w:id="1367" w:name="_Toc234833151"/>
      <w:bookmarkStart w:id="1368" w:name="_Toc23400"/>
      <w:r>
        <w:rPr>
          <w:rFonts w:hint="default" w:ascii="Times New Roman" w:hAnsi="Times New Roman" w:eastAsia="黑体" w:cs="Times New Roman"/>
          <w:b w:val="0"/>
          <w:color w:val="auto"/>
          <w:sz w:val="24"/>
          <w:szCs w:val="24"/>
          <w:highlight w:val="none"/>
        </w:rPr>
        <w:t>7.1 道路通行权和场外设施</w:t>
      </w:r>
      <w:bookmarkEnd w:id="1364"/>
      <w:bookmarkEnd w:id="1365"/>
      <w:bookmarkEnd w:id="1366"/>
      <w:bookmarkEnd w:id="1367"/>
      <w:bookmarkEnd w:id="1368"/>
    </w:p>
    <w:p w14:paraId="29690338">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0F1B45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4C72E8F8">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69" w:name="_Toc13868"/>
      <w:bookmarkStart w:id="1370" w:name="_Toc31528"/>
      <w:bookmarkStart w:id="1371" w:name="_Toc5379"/>
      <w:bookmarkStart w:id="1372" w:name="_Toc6333"/>
      <w:bookmarkStart w:id="1373" w:name="_Toc234833152"/>
      <w:r>
        <w:rPr>
          <w:rFonts w:hint="default" w:ascii="Times New Roman" w:hAnsi="Times New Roman" w:eastAsia="黑体" w:cs="Times New Roman"/>
          <w:b w:val="0"/>
          <w:color w:val="auto"/>
          <w:sz w:val="28"/>
          <w:szCs w:val="28"/>
          <w:highlight w:val="none"/>
        </w:rPr>
        <w:t>8. 测量放线</w:t>
      </w:r>
      <w:bookmarkEnd w:id="1369"/>
      <w:bookmarkEnd w:id="1370"/>
      <w:bookmarkEnd w:id="1371"/>
      <w:bookmarkEnd w:id="1372"/>
      <w:bookmarkEnd w:id="1373"/>
    </w:p>
    <w:p w14:paraId="1CCE5AA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74" w:name="_Toc26436"/>
      <w:bookmarkStart w:id="1375" w:name="_Toc14863"/>
      <w:bookmarkStart w:id="1376" w:name="_Toc234833153"/>
      <w:bookmarkStart w:id="1377" w:name="_Toc6917"/>
      <w:bookmarkStart w:id="1378" w:name="_Toc26266"/>
      <w:r>
        <w:rPr>
          <w:rFonts w:hint="default" w:ascii="Times New Roman" w:hAnsi="Times New Roman" w:eastAsia="黑体" w:cs="Times New Roman"/>
          <w:b w:val="0"/>
          <w:color w:val="auto"/>
          <w:sz w:val="24"/>
          <w:szCs w:val="24"/>
          <w:highlight w:val="none"/>
        </w:rPr>
        <w:t>8.4 监理人使用施工控制网</w:t>
      </w:r>
      <w:bookmarkEnd w:id="1374"/>
      <w:bookmarkEnd w:id="1375"/>
      <w:bookmarkEnd w:id="1376"/>
      <w:bookmarkEnd w:id="1377"/>
      <w:bookmarkEnd w:id="1378"/>
    </w:p>
    <w:p w14:paraId="63C6A07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04C9D9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经监理人批准，其他相关承包人也可免费使用施工控制网。</w:t>
      </w:r>
    </w:p>
    <w:p w14:paraId="1C25E4D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79" w:name="_Toc31525"/>
      <w:bookmarkStart w:id="1380" w:name="_Toc18932"/>
      <w:bookmarkStart w:id="1381" w:name="_Toc234833154"/>
      <w:bookmarkStart w:id="1382" w:name="_Toc13649"/>
      <w:bookmarkStart w:id="1383" w:name="_Toc22517"/>
      <w:r>
        <w:rPr>
          <w:rFonts w:hint="default" w:ascii="Times New Roman" w:hAnsi="Times New Roman" w:eastAsia="黑体" w:cs="Times New Roman"/>
          <w:b w:val="0"/>
          <w:color w:val="auto"/>
          <w:sz w:val="28"/>
          <w:szCs w:val="28"/>
          <w:highlight w:val="none"/>
        </w:rPr>
        <w:t>9. 施工安全、治安保卫和环境保护</w:t>
      </w:r>
      <w:bookmarkEnd w:id="1379"/>
      <w:bookmarkEnd w:id="1380"/>
      <w:bookmarkEnd w:id="1381"/>
      <w:bookmarkEnd w:id="1382"/>
      <w:bookmarkEnd w:id="1383"/>
    </w:p>
    <w:p w14:paraId="005BC0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84" w:name="_Toc13960"/>
      <w:bookmarkStart w:id="1385" w:name="_Toc12442"/>
      <w:bookmarkStart w:id="1386" w:name="_Toc234833155"/>
      <w:bookmarkStart w:id="1387" w:name="_Toc22581"/>
      <w:bookmarkStart w:id="1388" w:name="_Toc15856"/>
      <w:r>
        <w:rPr>
          <w:rFonts w:hint="default" w:ascii="Times New Roman" w:hAnsi="Times New Roman" w:eastAsia="黑体" w:cs="Times New Roman"/>
          <w:b w:val="0"/>
          <w:color w:val="auto"/>
          <w:sz w:val="24"/>
          <w:szCs w:val="24"/>
          <w:highlight w:val="none"/>
        </w:rPr>
        <w:t>9.2 承包人的施工安全责任</w:t>
      </w:r>
      <w:bookmarkEnd w:id="1384"/>
      <w:bookmarkEnd w:id="1385"/>
      <w:bookmarkEnd w:id="1386"/>
      <w:bookmarkEnd w:id="1387"/>
      <w:bookmarkEnd w:id="1388"/>
    </w:p>
    <w:p w14:paraId="7FBBB3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第9.2.1项细化为：</w:t>
      </w:r>
    </w:p>
    <w:p w14:paraId="6D4AD9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10ABF1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096CFA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本项目需要编制专项施工方案的工程包括但不限于以下内容：</w:t>
      </w:r>
    </w:p>
    <w:p w14:paraId="04CD99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（1）不良地质条件下有潜在危险性的土方、石方开挖；</w:t>
      </w:r>
    </w:p>
    <w:p w14:paraId="42B713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（2）滑坡和高边坡处理；</w:t>
      </w:r>
    </w:p>
    <w:p w14:paraId="7AFF59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（3）桩基础、挡墙基础、深水基础及围堰工程；</w:t>
      </w:r>
    </w:p>
    <w:p w14:paraId="619AD8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（4）桥梁工程中的梁、拱、柱等构件施工等；</w:t>
      </w:r>
    </w:p>
    <w:p w14:paraId="6202A7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（5）隧道工程中的不良地质隧道、高瓦斯隧道等；</w:t>
      </w:r>
    </w:p>
    <w:p w14:paraId="7A3842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（6）水上工程中的打桩船作业、施工船作业、外海孤岛作业、边通航边施工作业等；</w:t>
      </w:r>
    </w:p>
    <w:p w14:paraId="48F5BB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（7）水下工程中的水下焊接、混凝土浇筑、爆破工程等；</w:t>
      </w:r>
    </w:p>
    <w:p w14:paraId="7B2C7A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（8）爆破工程；</w:t>
      </w:r>
    </w:p>
    <w:p w14:paraId="5581C21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（9）大型临时工程中的大型支架、模板、便桥的架设与拆除；桥梁、码头的加固与拆除；</w:t>
      </w:r>
    </w:p>
    <w:p w14:paraId="5BE9BE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（10）其他危险性较大的工程。</w:t>
      </w:r>
    </w:p>
    <w:p w14:paraId="16E614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监理人和发包人在检查中发现有安全问题或有违反安全管理规章制度的情况时，可视为承包人违约，应按第22.1款的规定办理。</w:t>
      </w:r>
    </w:p>
    <w:p w14:paraId="14E17145">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第9.2.5项细化为：</w:t>
      </w:r>
    </w:p>
    <w:p w14:paraId="1BE5A0B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p>
    <w:p w14:paraId="5A1F34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本款补充第9.2.8项~第9.2.11项：</w:t>
      </w:r>
    </w:p>
    <w:p w14:paraId="527370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9.2.8 承包人应充分关注和保障所有在现场工作的人员的安全，采取以下有效措施，使现场和本合同工程的实施保持有条不紊，以免使上述人员的安全受到威胁。</w:t>
      </w:r>
    </w:p>
    <w:p w14:paraId="766708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（1）按《公路水运工程安全生产监督管理办法》规定的最低数量和资质条件配备专职安全生产管理人员；</w:t>
      </w:r>
    </w:p>
    <w:p w14:paraId="0DE2FB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5C7108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（3）所有施工机具设备和高空作业设备均应定期检查，并有安全员的签字记录；</w:t>
      </w:r>
    </w:p>
    <w:p w14:paraId="213C02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（4）根据本合同各单位工程的施工特点，严格执行《公路水运工程安全生产监督管理办法》《公路工程施工安全技术规范》等有关规定。</w:t>
      </w:r>
    </w:p>
    <w:p w14:paraId="7EA6B04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9.2.9 为了保护本合同工程免遭损坏，或为了现场附近和过往群众的安全与方便，在确有必要的时候和地方，或当监理人或有关主管部门要求时，承包人应自费提供照明、警卫、护栅、警告标志等安全防护设施。</w:t>
      </w:r>
    </w:p>
    <w:p w14:paraId="06A217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9.2.10 在通航水域施工时，承包人应与当地主管部门取得联系，设置必要的导航标志，及时发布航行通告，确保施工水域安全。</w:t>
      </w:r>
    </w:p>
    <w:p w14:paraId="1A7EC8F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9.2.11 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3C50A89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89" w:name="_Toc22668"/>
      <w:bookmarkStart w:id="1390" w:name="_Toc4067"/>
      <w:bookmarkStart w:id="1391" w:name="_Toc23200"/>
      <w:bookmarkStart w:id="1392" w:name="_Toc234833156"/>
      <w:bookmarkStart w:id="1393" w:name="_Toc3892"/>
      <w:r>
        <w:rPr>
          <w:rFonts w:hint="default" w:ascii="Times New Roman" w:hAnsi="Times New Roman" w:eastAsia="黑体" w:cs="Times New Roman"/>
          <w:b w:val="0"/>
          <w:color w:val="auto"/>
          <w:sz w:val="24"/>
          <w:szCs w:val="24"/>
          <w:highlight w:val="none"/>
        </w:rPr>
        <w:t>9.4 环境保护</w:t>
      </w:r>
      <w:bookmarkEnd w:id="1389"/>
      <w:bookmarkEnd w:id="1390"/>
      <w:bookmarkEnd w:id="1391"/>
      <w:bookmarkEnd w:id="1392"/>
      <w:bookmarkEnd w:id="1393"/>
    </w:p>
    <w:p w14:paraId="4A0C0D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本款补充第9.4.7项~第9.4.11项：</w:t>
      </w:r>
    </w:p>
    <w:p w14:paraId="69ED43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9.4.7 承包人应切实执行技术规范中有关环境保护方面的条款和规定。</w:t>
      </w:r>
    </w:p>
    <w:p w14:paraId="01C571B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01F0687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（2）对于公路施工中粉尘污染的主要污染源――灰土拌和、施工车辆和筑路机械运行及运输产生的扬尘，应采取有效措施减轻其对施工现场的大气污染，保护人民健康，如：</w:t>
      </w:r>
    </w:p>
    <w:p w14:paraId="34A0D8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拌和设备应有较好的密封，或有防尘设备。</w:t>
      </w:r>
    </w:p>
    <w:p w14:paraId="6A1642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施工通道、沥青混凝土拌和站及灰土拌和站应经常进行洒水降尘。</w:t>
      </w:r>
    </w:p>
    <w:p w14:paraId="2AB75B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路面施工应注意保持水分，以免扬尘。</w:t>
      </w:r>
    </w:p>
    <w:p w14:paraId="1E2241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 隧道出渣和桥梁钻孔灌注桩施工时排出的泥浆要进行妥善处理，严禁向河流或农田排放。</w:t>
      </w:r>
    </w:p>
    <w:p w14:paraId="3CB61A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（3）采取可靠措施保证原有交通的正常通行，维持沿线村镇的居民饮水、农田灌溉、生产生活用电及通信等管线的正常使用。</w:t>
      </w:r>
    </w:p>
    <w:p w14:paraId="251D52A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9.4.8 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1AC259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9.4.9在施工期间，承包人应随时保持现场整洁，施工设备和材料、工程设备应整齐妥善存放和储存，废料与垃圾及不再需要的临时设施应及时从现场清除、拆除并运走。</w:t>
      </w:r>
    </w:p>
    <w:p w14:paraId="3F79933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9.4.10 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428CA5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14:paraId="06FFA64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94" w:name="_Toc234833157"/>
      <w:bookmarkStart w:id="1395" w:name="_Toc4201"/>
      <w:bookmarkStart w:id="1396" w:name="_Toc31300"/>
      <w:bookmarkStart w:id="1397" w:name="_Toc14910"/>
      <w:bookmarkStart w:id="1398" w:name="_Toc2443"/>
      <w:r>
        <w:rPr>
          <w:rFonts w:hint="default" w:ascii="Times New Roman" w:hAnsi="Times New Roman" w:eastAsia="黑体" w:cs="Times New Roman"/>
          <w:b w:val="0"/>
          <w:color w:val="auto"/>
          <w:sz w:val="28"/>
          <w:szCs w:val="28"/>
          <w:highlight w:val="none"/>
        </w:rPr>
        <w:t>10. 进度计划</w:t>
      </w:r>
      <w:bookmarkEnd w:id="1394"/>
      <w:bookmarkEnd w:id="1395"/>
      <w:bookmarkEnd w:id="1396"/>
      <w:bookmarkEnd w:id="1397"/>
      <w:bookmarkEnd w:id="1398"/>
    </w:p>
    <w:p w14:paraId="7773AB7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99" w:name="_Toc31463"/>
      <w:bookmarkStart w:id="1400" w:name="_Toc234833158"/>
      <w:bookmarkStart w:id="1401" w:name="_Toc19701"/>
      <w:bookmarkStart w:id="1402" w:name="_Toc30665"/>
      <w:bookmarkStart w:id="1403" w:name="_Toc13304"/>
      <w:r>
        <w:rPr>
          <w:rFonts w:hint="default" w:ascii="Times New Roman" w:hAnsi="Times New Roman" w:eastAsia="黑体" w:cs="Times New Roman"/>
          <w:b w:val="0"/>
          <w:color w:val="auto"/>
          <w:sz w:val="24"/>
          <w:szCs w:val="24"/>
          <w:highlight w:val="none"/>
        </w:rPr>
        <w:t>10.1 合同进度计划</w:t>
      </w:r>
      <w:bookmarkEnd w:id="1399"/>
      <w:bookmarkEnd w:id="1400"/>
      <w:bookmarkEnd w:id="1401"/>
      <w:bookmarkEnd w:id="1402"/>
      <w:bookmarkEnd w:id="1403"/>
    </w:p>
    <w:p w14:paraId="50CDF2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9AAAA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承包人编制施工方案说明的内容见项目专用合同条款。</w:t>
      </w:r>
    </w:p>
    <w:p w14:paraId="4F7886E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承包人向监理人报送施工进度计划和施工方案说明的期限：签订合同协议书后28天之内。</w:t>
      </w:r>
    </w:p>
    <w:p w14:paraId="4FDD6B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监理人应在14天内对承包人施工进度计划和施工方案说明予以批复或提出修改意见。</w:t>
      </w:r>
    </w:p>
    <w:p w14:paraId="2670B03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合同进度计划应按照关键线路网络图和主要工作横道图两种形式分别编绘，并应包括每月预计完成的工作量和形象进度。</w:t>
      </w:r>
    </w:p>
    <w:p w14:paraId="66C16ED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04" w:name="_Toc22600"/>
      <w:bookmarkStart w:id="1405" w:name="_Toc6817"/>
      <w:bookmarkStart w:id="1406" w:name="_Toc16914"/>
      <w:bookmarkStart w:id="1407" w:name="_Toc24615"/>
      <w:bookmarkStart w:id="1408" w:name="_Toc234833159"/>
      <w:r>
        <w:rPr>
          <w:rFonts w:hint="default" w:ascii="Times New Roman" w:hAnsi="Times New Roman" w:eastAsia="黑体" w:cs="Times New Roman"/>
          <w:b w:val="0"/>
          <w:color w:val="auto"/>
          <w:sz w:val="24"/>
          <w:szCs w:val="24"/>
          <w:highlight w:val="none"/>
        </w:rPr>
        <w:t>10.2 合同进度计划的修订</w:t>
      </w:r>
      <w:bookmarkEnd w:id="1404"/>
      <w:bookmarkEnd w:id="1405"/>
      <w:bookmarkEnd w:id="1406"/>
      <w:bookmarkEnd w:id="1407"/>
      <w:bookmarkEnd w:id="1408"/>
    </w:p>
    <w:p w14:paraId="75B27F3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141AB3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承包人提交合同进度计划修订申请报告，并附有关措施和相关资料的期限：实际进度发生滞后的当月25日前。</w:t>
      </w:r>
    </w:p>
    <w:p w14:paraId="51FE900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监理人批复修订合同进度计划的期限：收到修订合同进度计划后14天内。</w:t>
      </w:r>
    </w:p>
    <w:p w14:paraId="59D66B19">
      <w:pPr>
        <w:pageBreakBefore w:val="0"/>
        <w:kinsoku/>
        <w:wordWrap w:val="0"/>
        <w:bidi w:val="0"/>
        <w:spacing w:before="240" w:beforeLines="10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本条补充第10.3款、第10.4款：</w:t>
      </w:r>
    </w:p>
    <w:p w14:paraId="3FE42D6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09" w:name="_Toc638"/>
      <w:bookmarkStart w:id="1410" w:name="_Toc6499"/>
      <w:bookmarkStart w:id="1411" w:name="_Toc234833160"/>
      <w:bookmarkStart w:id="1412" w:name="_Toc5845"/>
      <w:bookmarkStart w:id="1413" w:name="_Toc12343"/>
      <w:r>
        <w:rPr>
          <w:rFonts w:hint="default" w:ascii="Times New Roman" w:hAnsi="Times New Roman" w:eastAsia="黑体" w:cs="Times New Roman"/>
          <w:b w:val="0"/>
          <w:color w:val="auto"/>
          <w:sz w:val="24"/>
          <w:szCs w:val="24"/>
          <w:highlight w:val="none"/>
        </w:rPr>
        <w:t>10.3 年度施工计划</w:t>
      </w:r>
      <w:bookmarkEnd w:id="1409"/>
      <w:bookmarkEnd w:id="1410"/>
      <w:bookmarkEnd w:id="1411"/>
      <w:bookmarkEnd w:id="1412"/>
      <w:bookmarkEnd w:id="1413"/>
    </w:p>
    <w:p w14:paraId="775610B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6B30555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14" w:name="_Toc26059"/>
      <w:bookmarkStart w:id="1415" w:name="_Toc234833161"/>
      <w:bookmarkStart w:id="1416" w:name="_Toc20652"/>
      <w:bookmarkStart w:id="1417" w:name="_Toc3557"/>
      <w:bookmarkStart w:id="1418" w:name="_Toc28266"/>
      <w:r>
        <w:rPr>
          <w:rFonts w:hint="default" w:ascii="Times New Roman" w:hAnsi="Times New Roman" w:eastAsia="黑体" w:cs="Times New Roman"/>
          <w:b w:val="0"/>
          <w:color w:val="auto"/>
          <w:sz w:val="24"/>
          <w:szCs w:val="24"/>
          <w:highlight w:val="none"/>
        </w:rPr>
        <w:t>10.4 合同用款计划</w:t>
      </w:r>
      <w:bookmarkEnd w:id="1414"/>
      <w:bookmarkEnd w:id="1415"/>
      <w:bookmarkEnd w:id="1416"/>
      <w:bookmarkEnd w:id="1417"/>
      <w:bookmarkEnd w:id="1418"/>
    </w:p>
    <w:p w14:paraId="765A8E9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23AA14AE">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19" w:name="_Toc16858"/>
      <w:bookmarkStart w:id="1420" w:name="_Toc5080"/>
      <w:bookmarkStart w:id="1421" w:name="_Toc24381"/>
      <w:bookmarkStart w:id="1422" w:name="_Toc234833162"/>
      <w:bookmarkStart w:id="1423" w:name="_Toc29145"/>
      <w:r>
        <w:rPr>
          <w:rFonts w:hint="default" w:ascii="Times New Roman" w:hAnsi="Times New Roman" w:eastAsia="黑体" w:cs="Times New Roman"/>
          <w:b w:val="0"/>
          <w:color w:val="auto"/>
          <w:sz w:val="28"/>
          <w:szCs w:val="28"/>
          <w:highlight w:val="none"/>
        </w:rPr>
        <w:t>11. 开工和交工</w:t>
      </w:r>
      <w:bookmarkEnd w:id="1419"/>
      <w:bookmarkEnd w:id="1420"/>
      <w:bookmarkEnd w:id="1421"/>
      <w:bookmarkEnd w:id="1422"/>
      <w:bookmarkEnd w:id="1423"/>
    </w:p>
    <w:p w14:paraId="0BD8E28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24" w:name="_Toc234833163"/>
      <w:bookmarkStart w:id="1425" w:name="_Toc21034"/>
      <w:bookmarkStart w:id="1426" w:name="_Toc211"/>
      <w:bookmarkStart w:id="1427" w:name="_Toc17449"/>
      <w:bookmarkStart w:id="1428" w:name="_Toc23342"/>
      <w:r>
        <w:rPr>
          <w:rFonts w:hint="default" w:ascii="Times New Roman" w:hAnsi="Times New Roman" w:eastAsia="黑体" w:cs="Times New Roman"/>
          <w:b w:val="0"/>
          <w:color w:val="auto"/>
          <w:sz w:val="24"/>
          <w:szCs w:val="24"/>
          <w:highlight w:val="none"/>
        </w:rPr>
        <w:t>11.1 开工</w:t>
      </w:r>
      <w:bookmarkEnd w:id="1424"/>
      <w:bookmarkEnd w:id="1425"/>
      <w:bookmarkEnd w:id="1426"/>
      <w:bookmarkEnd w:id="1427"/>
      <w:bookmarkEnd w:id="1428"/>
    </w:p>
    <w:p w14:paraId="247413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第11.1.2项补充：</w:t>
      </w:r>
    </w:p>
    <w:p w14:paraId="4B04DEC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承包人应在分部工程开工前14天向监理人提交分部工程开工报审表，若承包人的开工准备、工作计划和质量控制方法是可接受的且已获得批准，则经监理人书面同意，分部工程才能开工。</w:t>
      </w:r>
    </w:p>
    <w:p w14:paraId="640F96D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29" w:name="_Toc2188"/>
      <w:bookmarkStart w:id="1430" w:name="_Toc8362"/>
      <w:bookmarkStart w:id="1431" w:name="_Toc26339"/>
      <w:bookmarkStart w:id="1432" w:name="_Toc4642"/>
      <w:bookmarkStart w:id="1433" w:name="_Toc234833164"/>
      <w:r>
        <w:rPr>
          <w:rFonts w:hint="default" w:ascii="Times New Roman" w:hAnsi="Times New Roman" w:eastAsia="黑体" w:cs="Times New Roman"/>
          <w:b w:val="0"/>
          <w:color w:val="auto"/>
          <w:sz w:val="24"/>
          <w:szCs w:val="24"/>
          <w:highlight w:val="none"/>
        </w:rPr>
        <w:t>11.3 发包人的工期延误</w:t>
      </w:r>
      <w:bookmarkEnd w:id="1429"/>
      <w:bookmarkEnd w:id="1430"/>
      <w:bookmarkEnd w:id="1431"/>
      <w:bookmarkEnd w:id="1432"/>
      <w:bookmarkEnd w:id="1433"/>
    </w:p>
    <w:p w14:paraId="357DFC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17FED01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即使由于上述原因造成工期延误，如果受影响的工程并非处在工程施工进度网络计划的关键线路上，则承包人无权要求延长总工期。</w:t>
      </w:r>
    </w:p>
    <w:p w14:paraId="68543CD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34" w:name="_Toc3372"/>
      <w:bookmarkStart w:id="1435" w:name="_Toc234833165"/>
      <w:bookmarkStart w:id="1436" w:name="_Toc2448"/>
      <w:bookmarkStart w:id="1437" w:name="_Toc26694"/>
      <w:bookmarkStart w:id="1438" w:name="_Toc16417"/>
      <w:r>
        <w:rPr>
          <w:rFonts w:hint="default" w:ascii="Times New Roman" w:hAnsi="Times New Roman" w:eastAsia="黑体" w:cs="Times New Roman"/>
          <w:b w:val="0"/>
          <w:color w:val="auto"/>
          <w:sz w:val="24"/>
          <w:szCs w:val="24"/>
          <w:highlight w:val="none"/>
        </w:rPr>
        <w:t>11.4异常恶劣的气候条件</w:t>
      </w:r>
      <w:bookmarkEnd w:id="1434"/>
      <w:bookmarkEnd w:id="1435"/>
      <w:bookmarkEnd w:id="1436"/>
      <w:bookmarkEnd w:id="1437"/>
      <w:bookmarkEnd w:id="1438"/>
    </w:p>
    <w:p w14:paraId="05B8C9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4E069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异常气候是指项目所在地30年以上一遇的罕见气候现象（包括</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"http://baike.baidu.com/view/8193.htm" \t "_blank"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温度</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、降水、降雪、风等）。异常恶劣的气候条件在项目专用合同条款中作具体约定。</w:t>
      </w:r>
    </w:p>
    <w:p w14:paraId="6335B79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39" w:name="_Toc6870"/>
      <w:bookmarkStart w:id="1440" w:name="_Toc234833166"/>
      <w:bookmarkStart w:id="1441" w:name="_Toc13242"/>
      <w:bookmarkStart w:id="1442" w:name="_Toc19354"/>
      <w:bookmarkStart w:id="1443" w:name="_Toc7083"/>
      <w:r>
        <w:rPr>
          <w:rFonts w:hint="default" w:ascii="Times New Roman" w:hAnsi="Times New Roman" w:eastAsia="黑体" w:cs="Times New Roman"/>
          <w:b w:val="0"/>
          <w:color w:val="auto"/>
          <w:sz w:val="24"/>
          <w:szCs w:val="24"/>
          <w:highlight w:val="none"/>
        </w:rPr>
        <w:t>11.5 承包人的工期延误</w:t>
      </w:r>
      <w:bookmarkEnd w:id="1439"/>
      <w:bookmarkEnd w:id="1440"/>
      <w:bookmarkEnd w:id="1441"/>
      <w:bookmarkEnd w:id="1442"/>
      <w:bookmarkEnd w:id="1443"/>
    </w:p>
    <w:p w14:paraId="2A3532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2782B8C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严格执行监理人批准的合同进度计划，对工作量计划和形象进度计划分别控制。除第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26018D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699DF8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24F395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（4）承包人支付逾期交工违约金，不免除承包人完成工程及修补缺陷的义务。</w:t>
      </w:r>
    </w:p>
    <w:p w14:paraId="71714B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如果在合同工程完工之前，已对合同工程内按时完工的单位工程签发了交工验收证书，则合同工程的逾期交工违约金，应按已签发交工验收证书的单位工程的价值占合同工程价值的比例予以减少，但本规定不应影响逾期交工违约金的规定限额。</w:t>
      </w:r>
    </w:p>
    <w:p w14:paraId="1FF24FC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44" w:name="_Toc234833167"/>
      <w:bookmarkStart w:id="1445" w:name="_Toc8201"/>
      <w:bookmarkStart w:id="1446" w:name="_Toc21733"/>
      <w:bookmarkStart w:id="1447" w:name="_Toc25459"/>
      <w:bookmarkStart w:id="1448" w:name="_Toc5977"/>
      <w:r>
        <w:rPr>
          <w:rFonts w:hint="default" w:ascii="Times New Roman" w:hAnsi="Times New Roman" w:eastAsia="黑体" w:cs="Times New Roman"/>
          <w:b w:val="0"/>
          <w:color w:val="auto"/>
          <w:sz w:val="24"/>
          <w:szCs w:val="24"/>
          <w:highlight w:val="none"/>
        </w:rPr>
        <w:t>11.6 工期提前</w:t>
      </w:r>
      <w:bookmarkEnd w:id="1444"/>
      <w:bookmarkEnd w:id="1445"/>
      <w:bookmarkEnd w:id="1446"/>
      <w:bookmarkEnd w:id="1447"/>
      <w:bookmarkEnd w:id="1448"/>
    </w:p>
    <w:p w14:paraId="25508C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CF6441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发包人不得随意要求承包人提前交工，承包人也不得随意提出提前交工的建议。如遇特殊情况，确需将工期提前的，发包人和承包人必须采取有效措施，确保工程质量。</w:t>
      </w:r>
    </w:p>
    <w:p w14:paraId="239B008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27D36F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32DBD09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本条补充第11.7款：</w:t>
      </w:r>
    </w:p>
    <w:p w14:paraId="645215B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49" w:name="_Toc234833168"/>
      <w:bookmarkStart w:id="1450" w:name="_Toc29501"/>
      <w:bookmarkStart w:id="1451" w:name="_Toc14155"/>
      <w:bookmarkStart w:id="1452" w:name="_Toc11965"/>
      <w:bookmarkStart w:id="1453" w:name="_Toc31771"/>
      <w:r>
        <w:rPr>
          <w:rFonts w:hint="default" w:ascii="Times New Roman" w:hAnsi="Times New Roman" w:eastAsia="黑体" w:cs="Times New Roman"/>
          <w:b w:val="0"/>
          <w:color w:val="auto"/>
          <w:sz w:val="24"/>
          <w:szCs w:val="24"/>
          <w:highlight w:val="none"/>
        </w:rPr>
        <w:t>11.7 工作时间的限制</w:t>
      </w:r>
      <w:bookmarkEnd w:id="1449"/>
      <w:bookmarkEnd w:id="1450"/>
      <w:bookmarkEnd w:id="1451"/>
      <w:bookmarkEnd w:id="1452"/>
      <w:bookmarkEnd w:id="1453"/>
    </w:p>
    <w:p w14:paraId="20F531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承包人在夜间或国家规定的节假日进行永久工程的施工，应向监理人报告，以便监理人履行监理职责和义务。</w:t>
      </w:r>
    </w:p>
    <w:p w14:paraId="134DA7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但是，为了抢救生命或保护财产，或为了工程的安全、质量而不可避免地短暂作业，则不必事先向监理人报告。但承包人应在事后立即向监理人报告。</w:t>
      </w:r>
    </w:p>
    <w:p w14:paraId="45FDCE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本款规定不适用于习惯上或施工本身要求实行连续生产的作业。</w:t>
      </w:r>
    </w:p>
    <w:p w14:paraId="1B719D0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54" w:name="_Toc10404"/>
      <w:bookmarkStart w:id="1455" w:name="_Toc32362"/>
      <w:bookmarkStart w:id="1456" w:name="_Toc10095"/>
      <w:bookmarkStart w:id="1457" w:name="_Toc21568"/>
      <w:bookmarkStart w:id="1458" w:name="_Toc234833169"/>
      <w:r>
        <w:rPr>
          <w:rFonts w:hint="default" w:ascii="Times New Roman" w:hAnsi="Times New Roman" w:eastAsia="黑体" w:cs="Times New Roman"/>
          <w:b w:val="0"/>
          <w:color w:val="auto"/>
          <w:sz w:val="28"/>
          <w:szCs w:val="28"/>
          <w:highlight w:val="none"/>
        </w:rPr>
        <w:t>12. 暂停施工</w:t>
      </w:r>
      <w:bookmarkEnd w:id="1454"/>
      <w:bookmarkEnd w:id="1455"/>
      <w:bookmarkEnd w:id="1456"/>
      <w:bookmarkEnd w:id="1457"/>
      <w:bookmarkEnd w:id="1458"/>
    </w:p>
    <w:p w14:paraId="1BC6848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59" w:name="_Toc234833170"/>
      <w:bookmarkStart w:id="1460" w:name="_Toc686"/>
      <w:bookmarkStart w:id="1461" w:name="_Toc26479"/>
      <w:bookmarkStart w:id="1462" w:name="_Toc24281"/>
      <w:bookmarkStart w:id="1463" w:name="_Toc19976"/>
      <w:r>
        <w:rPr>
          <w:rFonts w:hint="default" w:ascii="Times New Roman" w:hAnsi="Times New Roman" w:eastAsia="黑体" w:cs="Times New Roman"/>
          <w:b w:val="0"/>
          <w:color w:val="auto"/>
          <w:sz w:val="24"/>
          <w:szCs w:val="24"/>
          <w:highlight w:val="none"/>
        </w:rPr>
        <w:t>12.1 承包人暂停施工的责任</w:t>
      </w:r>
      <w:bookmarkEnd w:id="1459"/>
      <w:bookmarkEnd w:id="1460"/>
      <w:bookmarkEnd w:id="1461"/>
      <w:bookmarkEnd w:id="1462"/>
      <w:bookmarkEnd w:id="1463"/>
    </w:p>
    <w:p w14:paraId="7D75BE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本款第（5）项细化为：</w:t>
      </w:r>
    </w:p>
    <w:p w14:paraId="1E52C7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（5）现场气候条件导致的必要停工（第11.4款约定的异常恶劣的气候条件除外）；</w:t>
      </w:r>
    </w:p>
    <w:p w14:paraId="17ADF63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（6）项目专用合同条款可能约定的由承包人承担的其他暂停施工。</w:t>
      </w:r>
    </w:p>
    <w:p w14:paraId="3F71929D">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64" w:name="_Toc139"/>
      <w:bookmarkStart w:id="1465" w:name="_Toc234833171"/>
      <w:bookmarkStart w:id="1466" w:name="_Toc6010"/>
      <w:bookmarkStart w:id="1467" w:name="_Toc12288"/>
      <w:bookmarkStart w:id="1468" w:name="_Toc22379"/>
      <w:r>
        <w:rPr>
          <w:rFonts w:hint="default" w:ascii="Times New Roman" w:hAnsi="Times New Roman" w:eastAsia="黑体" w:cs="Times New Roman"/>
          <w:b w:val="0"/>
          <w:color w:val="auto"/>
          <w:sz w:val="28"/>
          <w:szCs w:val="28"/>
          <w:highlight w:val="none"/>
        </w:rPr>
        <w:t>13. 工程质量</w:t>
      </w:r>
      <w:bookmarkEnd w:id="1464"/>
      <w:bookmarkEnd w:id="1465"/>
      <w:bookmarkEnd w:id="1466"/>
      <w:bookmarkEnd w:id="1467"/>
      <w:bookmarkEnd w:id="1468"/>
    </w:p>
    <w:p w14:paraId="58A37A1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69" w:name="_Toc30210"/>
      <w:bookmarkStart w:id="1470" w:name="_Toc234833172"/>
      <w:bookmarkStart w:id="1471" w:name="_Toc14295"/>
      <w:bookmarkStart w:id="1472" w:name="_Toc25773"/>
      <w:bookmarkStart w:id="1473" w:name="_Toc21819"/>
      <w:r>
        <w:rPr>
          <w:rFonts w:hint="default" w:ascii="Times New Roman" w:hAnsi="Times New Roman" w:eastAsia="黑体" w:cs="Times New Roman"/>
          <w:b w:val="0"/>
          <w:color w:val="auto"/>
          <w:sz w:val="24"/>
          <w:szCs w:val="24"/>
          <w:highlight w:val="none"/>
        </w:rPr>
        <w:t>13.1 工程质量要求</w:t>
      </w:r>
      <w:bookmarkEnd w:id="1469"/>
      <w:bookmarkEnd w:id="1470"/>
      <w:bookmarkEnd w:id="1471"/>
      <w:bookmarkEnd w:id="1472"/>
      <w:bookmarkEnd w:id="1473"/>
    </w:p>
    <w:p w14:paraId="245806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第13.1.1项约定为：</w:t>
      </w:r>
    </w:p>
    <w:p w14:paraId="5F827E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工程质量验收按技术规范及《公路工程质量检验评定标准》执行。</w:t>
      </w:r>
    </w:p>
    <w:p w14:paraId="6FEEC6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本款补充第13.1.4项、第13.1.5项：</w:t>
      </w:r>
    </w:p>
    <w:p w14:paraId="0C5859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13.1.4 发包人和承包人应严格遵守《关于严格落实公路工程质量责任制的若干意见》的相关规定，认真执行工程质量责任登记制度并</w:t>
      </w:r>
      <w:r>
        <w:rPr>
          <w:rFonts w:hint="default" w:ascii="Times New Roman" w:hAnsi="Times New Roman" w:cs="Times New Roman"/>
          <w:color w:val="auto"/>
          <w:kern w:val="0"/>
          <w:sz w:val="24"/>
          <w:highlight w:val="none"/>
        </w:rPr>
        <w:t>按要求填写工程质量责任登记表</w:t>
      </w:r>
      <w:r>
        <w:rPr>
          <w:rFonts w:hint="default" w:ascii="Times New Roman" w:hAnsi="Times New Roman" w:cs="Times New Roman"/>
          <w:color w:val="auto"/>
          <w:sz w:val="24"/>
          <w:highlight w:val="none"/>
        </w:rPr>
        <w:t>。</w:t>
      </w:r>
    </w:p>
    <w:p w14:paraId="4C447C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13.1.5 本项目严格执行质量责任追究制度。质量事故处理实行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原则：事故原因调查不清不放过；事故责任者没有受到教育不放过；没有防范措施不放过；相关责任人没受到处理不放过。</w:t>
      </w:r>
    </w:p>
    <w:p w14:paraId="0FB275F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74" w:name="_Toc8253"/>
      <w:bookmarkStart w:id="1475" w:name="_Toc234833173"/>
      <w:bookmarkStart w:id="1476" w:name="_Toc17602"/>
      <w:bookmarkStart w:id="1477" w:name="_Toc19759"/>
      <w:bookmarkStart w:id="1478" w:name="_Toc1003"/>
      <w:r>
        <w:rPr>
          <w:rFonts w:hint="default" w:ascii="Times New Roman" w:hAnsi="Times New Roman" w:eastAsia="黑体" w:cs="Times New Roman"/>
          <w:b w:val="0"/>
          <w:color w:val="auto"/>
          <w:sz w:val="24"/>
          <w:szCs w:val="24"/>
          <w:highlight w:val="none"/>
        </w:rPr>
        <w:t>13.2 承包人的质量管理</w:t>
      </w:r>
      <w:bookmarkEnd w:id="1474"/>
      <w:bookmarkEnd w:id="1475"/>
      <w:bookmarkEnd w:id="1476"/>
      <w:bookmarkEnd w:id="1477"/>
      <w:bookmarkEnd w:id="1478"/>
    </w:p>
    <w:p w14:paraId="4C3760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第13.2.1项补充：</w:t>
      </w:r>
    </w:p>
    <w:p w14:paraId="4A72C5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承包人提交工程质量保证措施文件的期限：签订合同协议书后28天之内。</w:t>
      </w:r>
    </w:p>
    <w:p w14:paraId="41F44D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本款补充第13.2.3项~第13.2.10项：</w:t>
      </w:r>
    </w:p>
    <w:p w14:paraId="004BA8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13.2.3 公路工程施行质量责任终身制。承包人应当书面明确相应的项目负责人和质量负责人。承包人的相关人员按照国家法律法规和有关规定在工程合理使用年限内承担相应的质量责任。</w:t>
      </w:r>
    </w:p>
    <w:p w14:paraId="69ADF6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13.2.4 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w:t>
      </w:r>
    </w:p>
    <w:p w14:paraId="3F222E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13.2.5 承包人对工程施工质量负责，应当按合同约定设立现场质量管理机构、配备工程技术人员和质量管理人员，落实工程施工质量责任制。</w:t>
      </w:r>
    </w:p>
    <w:p w14:paraId="27EEC9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13.2.6 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7C2F70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5EDA0C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13.2.8 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6C2050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13.2.9 承包人应当依法规范分包行为，并对承担的工程质量负总责，分包单位对分包合同范围内的工程质量负责。</w:t>
      </w:r>
    </w:p>
    <w:p w14:paraId="3C75028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13.2.10 承包人驻工程现场机构应在现场驻地和重要的分部、分项工程施工现场设置明显的工程质量责任登记表公示牌。</w:t>
      </w:r>
    </w:p>
    <w:p w14:paraId="21D6BE6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79" w:name="_Toc17725"/>
      <w:bookmarkStart w:id="1480" w:name="_Toc20957"/>
      <w:bookmarkStart w:id="1481" w:name="_Toc1148"/>
      <w:bookmarkStart w:id="1482" w:name="_Toc21708"/>
      <w:bookmarkStart w:id="1483" w:name="_Toc234833174"/>
      <w:r>
        <w:rPr>
          <w:rFonts w:hint="default" w:ascii="Times New Roman" w:hAnsi="Times New Roman" w:eastAsia="黑体" w:cs="Times New Roman"/>
          <w:b w:val="0"/>
          <w:color w:val="auto"/>
          <w:sz w:val="24"/>
          <w:szCs w:val="24"/>
          <w:highlight w:val="none"/>
        </w:rPr>
        <w:t>13.4 监理人的质量检查</w:t>
      </w:r>
      <w:bookmarkEnd w:id="1479"/>
      <w:bookmarkEnd w:id="1480"/>
      <w:bookmarkEnd w:id="1481"/>
      <w:bookmarkEnd w:id="1482"/>
      <w:bookmarkEnd w:id="1483"/>
    </w:p>
    <w:p w14:paraId="00979A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12A88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监理人及其委派的检验人员，应能进入工程现场，以及材料或工程设备的制造、加工或制配的车间和场所，包括不属于承包人的车间或场所进行检查，承包人应为此提供便利和协助。</w:t>
      </w:r>
    </w:p>
    <w:p w14:paraId="6A6A56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监理人可以将材料或工程设备的检查和检验委托给一家独立的有质量检验认证资格的检验单位。该独立检验单位的检验结果应视为监理人完成的。监理人应将这种委托的通知书不少于7天前交给承包人。</w:t>
      </w:r>
    </w:p>
    <w:p w14:paraId="7B3DF1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84" w:name="_Toc31604"/>
      <w:bookmarkStart w:id="1485" w:name="_Toc24829"/>
      <w:bookmarkStart w:id="1486" w:name="_Toc16459"/>
      <w:bookmarkStart w:id="1487" w:name="_Toc25352"/>
      <w:bookmarkStart w:id="1488" w:name="_Toc234833175"/>
      <w:r>
        <w:rPr>
          <w:rFonts w:hint="default" w:ascii="Times New Roman" w:hAnsi="Times New Roman" w:eastAsia="黑体" w:cs="Times New Roman"/>
          <w:b w:val="0"/>
          <w:color w:val="auto"/>
          <w:sz w:val="24"/>
          <w:szCs w:val="24"/>
          <w:highlight w:val="none"/>
        </w:rPr>
        <w:t>13.5 工程隐蔽部位覆盖前的检查</w:t>
      </w:r>
      <w:bookmarkEnd w:id="1484"/>
      <w:bookmarkEnd w:id="1485"/>
      <w:bookmarkEnd w:id="1486"/>
      <w:bookmarkEnd w:id="1487"/>
      <w:bookmarkEnd w:id="1488"/>
    </w:p>
    <w:p w14:paraId="21919F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第13.5.1项补充：</w:t>
      </w:r>
    </w:p>
    <w:p w14:paraId="34EAE7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当监理人有指令时，承包人应对重要隐蔽工程进行拍摄或照相并应保证监理人有充分的机会对将要覆盖或掩蔽的工程进行检查和量测，特别是在基础以上的任一部分工程修筑之前，对该基础进行检查。</w:t>
      </w:r>
    </w:p>
    <w:p w14:paraId="0F364DC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89" w:name="_Toc19441"/>
      <w:bookmarkStart w:id="1490" w:name="_Toc20396"/>
      <w:bookmarkStart w:id="1491" w:name="_Toc27156"/>
      <w:bookmarkStart w:id="1492" w:name="_Toc234833176"/>
      <w:bookmarkStart w:id="1493" w:name="_Toc1659"/>
      <w:r>
        <w:rPr>
          <w:rFonts w:hint="default" w:ascii="Times New Roman" w:hAnsi="Times New Roman" w:eastAsia="黑体" w:cs="Times New Roman"/>
          <w:b w:val="0"/>
          <w:color w:val="auto"/>
          <w:sz w:val="24"/>
          <w:szCs w:val="24"/>
          <w:highlight w:val="none"/>
        </w:rPr>
        <w:t>13.6 清除不合格工程</w:t>
      </w:r>
      <w:bookmarkEnd w:id="1489"/>
      <w:bookmarkEnd w:id="1490"/>
      <w:bookmarkEnd w:id="1491"/>
      <w:bookmarkEnd w:id="1492"/>
      <w:bookmarkEnd w:id="1493"/>
    </w:p>
    <w:p w14:paraId="57B260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第13.6.1项细化为：</w:t>
      </w:r>
    </w:p>
    <w:p w14:paraId="0B37B8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1E344E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（2）如果承包人未在规定时间内执行监理人的指示，发包人有权雇用他人执行，由此增加的费用和（或）工期延误由承包人承担。</w:t>
      </w:r>
    </w:p>
    <w:p w14:paraId="4ADAD16D">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94" w:name="_Toc10886"/>
      <w:bookmarkStart w:id="1495" w:name="_Toc12972"/>
      <w:bookmarkStart w:id="1496" w:name="_Toc17523"/>
      <w:bookmarkStart w:id="1497" w:name="_Toc26653"/>
      <w:bookmarkStart w:id="1498" w:name="_Toc234833177"/>
      <w:r>
        <w:rPr>
          <w:rFonts w:hint="default" w:ascii="Times New Roman" w:hAnsi="Times New Roman" w:eastAsia="黑体" w:cs="Times New Roman"/>
          <w:b w:val="0"/>
          <w:color w:val="auto"/>
          <w:sz w:val="28"/>
          <w:szCs w:val="28"/>
          <w:highlight w:val="none"/>
        </w:rPr>
        <w:t>14. 试验和检验</w:t>
      </w:r>
      <w:bookmarkEnd w:id="1494"/>
      <w:bookmarkEnd w:id="1495"/>
      <w:bookmarkEnd w:id="1496"/>
      <w:bookmarkEnd w:id="1497"/>
      <w:bookmarkEnd w:id="1498"/>
    </w:p>
    <w:p w14:paraId="65A61D0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本条补充第14.4款：</w:t>
      </w:r>
    </w:p>
    <w:p w14:paraId="114365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99" w:name="_Toc28540"/>
      <w:bookmarkStart w:id="1500" w:name="_Toc8486"/>
      <w:bookmarkStart w:id="1501" w:name="_Toc9837"/>
      <w:bookmarkStart w:id="1502" w:name="_Toc18957"/>
      <w:bookmarkStart w:id="1503" w:name="_Toc234833178"/>
      <w:r>
        <w:rPr>
          <w:rFonts w:hint="default" w:ascii="Times New Roman" w:hAnsi="Times New Roman" w:eastAsia="黑体" w:cs="Times New Roman"/>
          <w:b w:val="0"/>
          <w:color w:val="auto"/>
          <w:sz w:val="24"/>
          <w:szCs w:val="24"/>
          <w:highlight w:val="none"/>
        </w:rPr>
        <w:t>14.4 试验和检验费用</w:t>
      </w:r>
      <w:bookmarkEnd w:id="1499"/>
      <w:bookmarkEnd w:id="1500"/>
      <w:bookmarkEnd w:id="1501"/>
      <w:bookmarkEnd w:id="1502"/>
      <w:bookmarkEnd w:id="1503"/>
    </w:p>
    <w:p w14:paraId="1F64B8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（1）承包人应负责提供合同和技术规范规定的试验和检验所需的全部样品，并承担其费用。</w:t>
      </w:r>
    </w:p>
    <w:p w14:paraId="78BBDE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（2）在合同中明确规定的试验和检验，包括无须在工程量清单中单独列项和已在工程量清单中单独列项的试验和检验，其试验和检验的费用由承包人承担。</w:t>
      </w:r>
    </w:p>
    <w:p w14:paraId="2FC63F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608D613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04" w:name="_Toc234833179"/>
      <w:bookmarkStart w:id="1505" w:name="_Toc9387"/>
      <w:bookmarkStart w:id="1506" w:name="_Toc3751"/>
      <w:bookmarkStart w:id="1507" w:name="_Toc8627"/>
      <w:bookmarkStart w:id="1508" w:name="_Toc24940"/>
      <w:r>
        <w:rPr>
          <w:rFonts w:hint="default" w:ascii="Times New Roman" w:hAnsi="Times New Roman" w:eastAsia="黑体" w:cs="Times New Roman"/>
          <w:b w:val="0"/>
          <w:color w:val="auto"/>
          <w:sz w:val="28"/>
          <w:szCs w:val="28"/>
          <w:highlight w:val="none"/>
        </w:rPr>
        <w:t>15. 变更</w:t>
      </w:r>
      <w:bookmarkEnd w:id="1504"/>
      <w:bookmarkEnd w:id="1505"/>
      <w:bookmarkEnd w:id="1506"/>
      <w:bookmarkEnd w:id="1507"/>
      <w:bookmarkEnd w:id="1508"/>
    </w:p>
    <w:p w14:paraId="22152B8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09" w:name="_Toc11885"/>
      <w:bookmarkStart w:id="1510" w:name="_Toc9262"/>
      <w:bookmarkStart w:id="1511" w:name="_Toc234833180"/>
      <w:bookmarkStart w:id="1512" w:name="_Toc5311"/>
      <w:bookmarkStart w:id="1513" w:name="_Toc25196"/>
      <w:r>
        <w:rPr>
          <w:rFonts w:hint="default" w:ascii="Times New Roman" w:hAnsi="Times New Roman" w:eastAsia="黑体" w:cs="Times New Roman"/>
          <w:b w:val="0"/>
          <w:color w:val="auto"/>
          <w:sz w:val="24"/>
          <w:szCs w:val="24"/>
          <w:highlight w:val="none"/>
        </w:rPr>
        <w:t>15.1 变更的范围和内容</w:t>
      </w:r>
      <w:bookmarkEnd w:id="1509"/>
      <w:bookmarkEnd w:id="1510"/>
      <w:bookmarkEnd w:id="1511"/>
      <w:bookmarkEnd w:id="1512"/>
      <w:bookmarkEnd w:id="1513"/>
    </w:p>
    <w:p w14:paraId="5D5FC4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本款第（1）项细化为：</w:t>
      </w:r>
    </w:p>
    <w:p w14:paraId="0B91772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（1）取消合同中任何一项工作，但被取消的工作不能转由发包人或其他人实施，由于承包人违约造成的情况除外；</w:t>
      </w:r>
    </w:p>
    <w:p w14:paraId="52C499E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14" w:name="_Toc15909"/>
      <w:bookmarkStart w:id="1515" w:name="_Toc234833181"/>
      <w:bookmarkStart w:id="1516" w:name="_Toc4853"/>
      <w:bookmarkStart w:id="1517" w:name="_Toc26890"/>
      <w:bookmarkStart w:id="1518" w:name="_Toc11045"/>
      <w:r>
        <w:rPr>
          <w:rFonts w:hint="default" w:ascii="Times New Roman" w:hAnsi="Times New Roman" w:eastAsia="黑体" w:cs="Times New Roman"/>
          <w:b w:val="0"/>
          <w:color w:val="auto"/>
          <w:sz w:val="24"/>
          <w:szCs w:val="24"/>
          <w:highlight w:val="none"/>
        </w:rPr>
        <w:t>15.3 变更程序</w:t>
      </w:r>
      <w:bookmarkEnd w:id="1514"/>
      <w:bookmarkEnd w:id="1515"/>
      <w:bookmarkEnd w:id="1516"/>
      <w:bookmarkEnd w:id="1517"/>
      <w:bookmarkEnd w:id="1518"/>
    </w:p>
    <w:p w14:paraId="2C702A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本款补充第15.3.4项：</w:t>
      </w:r>
    </w:p>
    <w:p w14:paraId="4B3D3A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15.3.4 设计变更程序应执行《公路工程设计变更管理办法》的相关规定。</w:t>
      </w:r>
    </w:p>
    <w:p w14:paraId="6585C5F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19" w:name="_Toc234833182"/>
      <w:bookmarkStart w:id="1520" w:name="_Toc31295"/>
      <w:bookmarkStart w:id="1521" w:name="_Toc16771"/>
      <w:bookmarkStart w:id="1522" w:name="_Toc10432"/>
      <w:bookmarkStart w:id="1523" w:name="_Toc24386"/>
      <w:r>
        <w:rPr>
          <w:rFonts w:hint="default" w:ascii="Times New Roman" w:hAnsi="Times New Roman" w:eastAsia="黑体" w:cs="Times New Roman"/>
          <w:b w:val="0"/>
          <w:color w:val="auto"/>
          <w:sz w:val="24"/>
          <w:szCs w:val="24"/>
          <w:highlight w:val="none"/>
        </w:rPr>
        <w:t>15.4 变更的估价原则</w:t>
      </w:r>
      <w:bookmarkEnd w:id="1519"/>
      <w:bookmarkEnd w:id="1520"/>
      <w:bookmarkEnd w:id="1521"/>
      <w:bookmarkEnd w:id="1522"/>
      <w:bookmarkEnd w:id="1523"/>
      <w:r>
        <w:rPr>
          <w:rFonts w:hint="default" w:ascii="Times New Roman" w:hAnsi="Times New Roman" w:eastAsia="黑体" w:cs="Times New Roman"/>
          <w:b w:val="0"/>
          <w:color w:val="auto"/>
          <w:sz w:val="24"/>
          <w:szCs w:val="24"/>
          <w:highlight w:val="none"/>
        </w:rPr>
        <w:t xml:space="preserve"> </w:t>
      </w:r>
    </w:p>
    <w:p w14:paraId="710961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01ECAF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除项目专用合同条款另有约定外，因变更引起的价格调整按照本款约定处理。</w:t>
      </w:r>
    </w:p>
    <w:p w14:paraId="0B5571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 如果取消某项工作，则该项工作的总额价不予支付。</w:t>
      </w:r>
    </w:p>
    <w:p w14:paraId="0077BC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 已标价工程量清单中有适用于变更工作的子目的，采用该子目的单价。</w:t>
      </w:r>
    </w:p>
    <w:p w14:paraId="4047FB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 已标价工程量清单中无适用于变更工作的子目，但有类似子目的，可在合理范围内参照类似子目的单价，由监理人按第3.5款商定或确定变更工作的单价。</w:t>
      </w:r>
    </w:p>
    <w:p w14:paraId="0F5EC2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15.4.4 已标价工程量清单中无适用或类似子目的单价，可在综合考虑承包人在投标时所提供的单价分析表的基础上，由监理人按第3.5款商定或确定变更工作的单价。</w:t>
      </w:r>
    </w:p>
    <w:p w14:paraId="6080FA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15.4.5 如果本工程的变更指示是因承包人过错、承包人违反合同或承包人责任造成的，则这种违约引起的任何额外费用应由承包人承担。</w:t>
      </w:r>
    </w:p>
    <w:p w14:paraId="60B2F07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24" w:name="_Toc234833183"/>
      <w:bookmarkStart w:id="1525" w:name="_Toc31098"/>
      <w:bookmarkStart w:id="1526" w:name="_Toc11214"/>
      <w:bookmarkStart w:id="1527" w:name="_Toc31843"/>
      <w:bookmarkStart w:id="1528" w:name="_Toc24348"/>
      <w:r>
        <w:rPr>
          <w:rFonts w:hint="default" w:ascii="Times New Roman" w:hAnsi="Times New Roman" w:eastAsia="黑体" w:cs="Times New Roman"/>
          <w:b w:val="0"/>
          <w:color w:val="auto"/>
          <w:sz w:val="24"/>
          <w:szCs w:val="24"/>
          <w:highlight w:val="none"/>
        </w:rPr>
        <w:t>15.5 承包人的合理化建议</w:t>
      </w:r>
      <w:bookmarkEnd w:id="1524"/>
      <w:bookmarkEnd w:id="1525"/>
      <w:bookmarkEnd w:id="1526"/>
      <w:bookmarkEnd w:id="1527"/>
      <w:bookmarkEnd w:id="1528"/>
    </w:p>
    <w:p w14:paraId="4E65F6A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第15.5.2项约定为：</w:t>
      </w:r>
    </w:p>
    <w:p w14:paraId="1208ED5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承包人提出的合理化建议缩短了工期，发包人按第11.6款的规定给予奖励。</w:t>
      </w:r>
    </w:p>
    <w:p w14:paraId="34FF87B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承包人提出的合理化建议降低了合同价格或者提高了工程经济效益的，发包人按项目专用合同条款数据表中规定的金额给予奖励。</w:t>
      </w:r>
    </w:p>
    <w:p w14:paraId="7F9AC1E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29" w:name="_Toc10877"/>
      <w:bookmarkStart w:id="1530" w:name="_Toc18139"/>
      <w:bookmarkStart w:id="1531" w:name="_Toc234833184"/>
      <w:bookmarkStart w:id="1532" w:name="_Toc4473"/>
      <w:bookmarkStart w:id="1533" w:name="_Toc31508"/>
      <w:r>
        <w:rPr>
          <w:rFonts w:hint="default" w:ascii="Times New Roman" w:hAnsi="Times New Roman" w:eastAsia="黑体" w:cs="Times New Roman"/>
          <w:b w:val="0"/>
          <w:color w:val="auto"/>
          <w:sz w:val="24"/>
          <w:szCs w:val="24"/>
          <w:highlight w:val="none"/>
        </w:rPr>
        <w:t>15.6暂列金额</w:t>
      </w:r>
      <w:bookmarkEnd w:id="1529"/>
      <w:bookmarkEnd w:id="1530"/>
      <w:bookmarkEnd w:id="1531"/>
      <w:bookmarkEnd w:id="1532"/>
      <w:bookmarkEnd w:id="1533"/>
    </w:p>
    <w:p w14:paraId="577280C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1859619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15.6.1 暂列金额应由监理人报发包人批准后指令全部或部分地使用，或者根本不予动用。</w:t>
      </w:r>
    </w:p>
    <w:p w14:paraId="770C1E2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15.6.2 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4EAF5FC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15.6.3 当监理人提出要求时，承包人应提供有关暂列金额支出的所有报价单、发票、凭证和账单或收据，除非该工作是根据已标价工程量清单列明的单价或总额价进行的估价。</w:t>
      </w:r>
    </w:p>
    <w:p w14:paraId="6AE67B7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34" w:name="_Toc6229"/>
      <w:bookmarkStart w:id="1535" w:name="_Toc10292"/>
      <w:bookmarkStart w:id="1536" w:name="_Toc25734"/>
      <w:bookmarkStart w:id="1537" w:name="_Toc3192"/>
      <w:bookmarkStart w:id="1538" w:name="_Toc234833185"/>
      <w:r>
        <w:rPr>
          <w:rFonts w:hint="default" w:ascii="Times New Roman" w:hAnsi="Times New Roman" w:eastAsia="黑体" w:cs="Times New Roman"/>
          <w:b w:val="0"/>
          <w:color w:val="auto"/>
          <w:sz w:val="28"/>
          <w:szCs w:val="28"/>
          <w:highlight w:val="none"/>
        </w:rPr>
        <w:t>16. 价格调整</w:t>
      </w:r>
      <w:bookmarkEnd w:id="1534"/>
      <w:bookmarkEnd w:id="1535"/>
      <w:bookmarkEnd w:id="1536"/>
      <w:bookmarkEnd w:id="1537"/>
      <w:bookmarkEnd w:id="1538"/>
    </w:p>
    <w:p w14:paraId="7357285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39" w:name="_Toc925"/>
      <w:bookmarkStart w:id="1540" w:name="_Toc11157"/>
      <w:bookmarkStart w:id="1541" w:name="_Toc25323"/>
      <w:bookmarkStart w:id="1542" w:name="_Toc234833186"/>
      <w:bookmarkStart w:id="1543" w:name="_Toc11540"/>
      <w:r>
        <w:rPr>
          <w:rFonts w:hint="default" w:ascii="Times New Roman" w:hAnsi="Times New Roman" w:eastAsia="黑体" w:cs="Times New Roman"/>
          <w:b w:val="0"/>
          <w:color w:val="auto"/>
          <w:sz w:val="24"/>
          <w:szCs w:val="24"/>
          <w:highlight w:val="none"/>
        </w:rPr>
        <w:t>16.1 物价波动引起的价格调整</w:t>
      </w:r>
      <w:bookmarkEnd w:id="1539"/>
      <w:bookmarkEnd w:id="1540"/>
      <w:bookmarkEnd w:id="1541"/>
      <w:bookmarkEnd w:id="1542"/>
      <w:bookmarkEnd w:id="1543"/>
    </w:p>
    <w:p w14:paraId="3E2575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24718E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（1）除项目专用合同条款另有约定外，因物价波动引起的价格调整应按项目专用合同条款数据表的规定，按照第16.1.1项或第16.1.2项约定的原则处理；或者</w:t>
      </w:r>
    </w:p>
    <w:p w14:paraId="3262E5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（2）在合同执行期间（包括工期拖延期间）由于人工、材料和设备价格的上涨而引起工程施工成本增加的风险由承包人自行承担，合同价格不会因此而调整。</w:t>
      </w:r>
    </w:p>
    <w:p w14:paraId="23B5D0C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3DEE27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16.1.1.1 价格调整公式</w:t>
      </w:r>
    </w:p>
    <w:p w14:paraId="66B191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价格调整公式后增加备注如下：</w:t>
      </w:r>
    </w:p>
    <w:p w14:paraId="082EB49A">
      <w:pPr>
        <w:pageBreakBefore w:val="0"/>
        <w:kinsoku/>
        <w:wordWrap w:val="0"/>
        <w:bidi w:val="0"/>
        <w:spacing w:line="400" w:lineRule="atLeast"/>
        <w:ind w:firstLine="746" w:firstLineChars="311"/>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式中，</w:t>
      </w:r>
      <w:r>
        <w:rPr>
          <w:rFonts w:hint="default" w:ascii="Times New Roman" w:hAnsi="Times New Roman" w:cs="Times New Roman"/>
          <w:b/>
          <w:bCs/>
          <w:color w:val="auto"/>
          <w:sz w:val="24"/>
          <w:highlight w:val="none"/>
        </w:rPr>
        <w:t>A=1－（B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vertAlign w:val="subscript"/>
        </w:rPr>
        <w:t>……</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n</w:t>
      </w:r>
      <w:r>
        <w:rPr>
          <w:rFonts w:hint="default" w:ascii="Times New Roman" w:hAnsi="Times New Roman" w:cs="Times New Roman"/>
          <w:b/>
          <w:bCs/>
          <w:color w:val="auto"/>
          <w:sz w:val="24"/>
          <w:highlight w:val="none"/>
        </w:rPr>
        <w:t>）</w:t>
      </w:r>
      <w:r>
        <w:rPr>
          <w:rFonts w:hint="default" w:ascii="Times New Roman" w:hAnsi="Times New Roman" w:cs="Times New Roman"/>
          <w:color w:val="auto"/>
          <w:sz w:val="24"/>
          <w:highlight w:val="none"/>
        </w:rPr>
        <w:t>。</w:t>
      </w:r>
    </w:p>
    <w:p w14:paraId="3DC8DF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本目最后一段文字细化为：</w:t>
      </w:r>
    </w:p>
    <w:p w14:paraId="070CB8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在采用价格调整公式进行调价时，还应遵守以下规定：</w:t>
      </w:r>
    </w:p>
    <w:p w14:paraId="55C046DD">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480B1B07">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5CB106F3">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44" w:name="_Toc234833187"/>
      <w:bookmarkStart w:id="1545" w:name="_Toc12404"/>
      <w:bookmarkStart w:id="1546" w:name="_Toc18133"/>
      <w:bookmarkStart w:id="1547" w:name="_Toc13648"/>
      <w:bookmarkStart w:id="1548" w:name="_Toc29558"/>
      <w:r>
        <w:rPr>
          <w:rFonts w:hint="default" w:ascii="Times New Roman" w:hAnsi="Times New Roman" w:eastAsia="黑体" w:cs="Times New Roman"/>
          <w:b w:val="0"/>
          <w:color w:val="auto"/>
          <w:sz w:val="28"/>
          <w:szCs w:val="28"/>
          <w:highlight w:val="none"/>
        </w:rPr>
        <w:t>17. 计量与支付</w:t>
      </w:r>
      <w:bookmarkEnd w:id="1544"/>
      <w:bookmarkEnd w:id="1545"/>
      <w:bookmarkEnd w:id="1546"/>
      <w:bookmarkEnd w:id="1547"/>
      <w:bookmarkEnd w:id="1548"/>
    </w:p>
    <w:p w14:paraId="7398305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49" w:name="_Toc23776"/>
      <w:bookmarkStart w:id="1550" w:name="_Toc30341"/>
      <w:bookmarkStart w:id="1551" w:name="_Toc234833188"/>
      <w:bookmarkStart w:id="1552" w:name="_Toc10995"/>
      <w:bookmarkStart w:id="1553" w:name="_Toc22272"/>
      <w:r>
        <w:rPr>
          <w:rFonts w:hint="default" w:ascii="Times New Roman" w:hAnsi="Times New Roman" w:eastAsia="黑体" w:cs="Times New Roman"/>
          <w:b w:val="0"/>
          <w:color w:val="auto"/>
          <w:sz w:val="24"/>
          <w:szCs w:val="24"/>
          <w:highlight w:val="none"/>
        </w:rPr>
        <w:t>17.1 计量</w:t>
      </w:r>
      <w:bookmarkEnd w:id="1549"/>
      <w:bookmarkEnd w:id="1550"/>
      <w:bookmarkEnd w:id="1551"/>
      <w:bookmarkEnd w:id="1552"/>
      <w:bookmarkEnd w:id="1553"/>
      <w:r>
        <w:rPr>
          <w:rFonts w:hint="default" w:ascii="Times New Roman" w:hAnsi="Times New Roman" w:eastAsia="黑体" w:cs="Times New Roman"/>
          <w:b w:val="0"/>
          <w:color w:val="auto"/>
          <w:sz w:val="24"/>
          <w:szCs w:val="24"/>
          <w:highlight w:val="none"/>
        </w:rPr>
        <w:t xml:space="preserve"> </w:t>
      </w:r>
    </w:p>
    <w:p w14:paraId="1F9FA28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17.1.2 </w:t>
      </w:r>
      <w:r>
        <w:rPr>
          <w:rFonts w:hint="default" w:ascii="Times New Roman" w:hAnsi="Times New Roman" w:eastAsia="黑体" w:cs="Times New Roman"/>
          <w:color w:val="auto"/>
          <w:sz w:val="24"/>
          <w:highlight w:val="none"/>
        </w:rPr>
        <w:t>计量方法</w:t>
      </w:r>
    </w:p>
    <w:p w14:paraId="6DED9FE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5DD53BD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工程的计量应以净值为准，除非项目专用合同条款另有约定。工程量清单中各个子目的具体计量方法按本合同文件工程量清单计量规则中的规定执行。</w:t>
      </w:r>
    </w:p>
    <w:p w14:paraId="2F2A396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17.1.4 </w:t>
      </w:r>
      <w:r>
        <w:rPr>
          <w:rFonts w:hint="default" w:ascii="Times New Roman" w:hAnsi="Times New Roman" w:eastAsia="黑体" w:cs="Times New Roman"/>
          <w:color w:val="auto"/>
          <w:sz w:val="24"/>
          <w:highlight w:val="none"/>
        </w:rPr>
        <w:t>单价子目的计量</w:t>
      </w:r>
    </w:p>
    <w:p w14:paraId="551CE8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442F48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（7）承包人未在已标价工程量清单中填入单价或总额价的工程子目，将被认为其已包含在本合同的其他子目的单价和总额价中，发包人将不另行支付。</w:t>
      </w:r>
    </w:p>
    <w:p w14:paraId="6B28E13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17.1.5 </w:t>
      </w:r>
      <w:r>
        <w:rPr>
          <w:rFonts w:hint="default" w:ascii="Times New Roman" w:hAnsi="Times New Roman" w:eastAsia="黑体" w:cs="Times New Roman"/>
          <w:color w:val="auto"/>
          <w:sz w:val="24"/>
          <w:highlight w:val="none"/>
        </w:rPr>
        <w:t>总价子目的计量</w:t>
      </w:r>
    </w:p>
    <w:p w14:paraId="18403676">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本项补充：</w:t>
      </w:r>
    </w:p>
    <w:p w14:paraId="0E56E28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本项目工程量清单中要求承包人以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总额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方式报价的子目，各子目的支付原则和支付进度按项目专用合同条款的规定执行。</w:t>
      </w:r>
    </w:p>
    <w:p w14:paraId="747A2C7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54" w:name="_Toc15810"/>
      <w:bookmarkStart w:id="1555" w:name="_Toc10842"/>
      <w:bookmarkStart w:id="1556" w:name="_Toc1940"/>
      <w:bookmarkStart w:id="1557" w:name="_Toc234833189"/>
      <w:bookmarkStart w:id="1558" w:name="_Toc23977"/>
      <w:r>
        <w:rPr>
          <w:rFonts w:hint="default" w:ascii="Times New Roman" w:hAnsi="Times New Roman" w:eastAsia="黑体" w:cs="Times New Roman"/>
          <w:b w:val="0"/>
          <w:color w:val="auto"/>
          <w:sz w:val="24"/>
          <w:szCs w:val="24"/>
          <w:highlight w:val="none"/>
        </w:rPr>
        <w:t>17.2 预付款</w:t>
      </w:r>
      <w:bookmarkEnd w:id="1554"/>
      <w:bookmarkEnd w:id="1555"/>
      <w:bookmarkEnd w:id="1556"/>
      <w:bookmarkEnd w:id="1557"/>
      <w:bookmarkEnd w:id="1558"/>
    </w:p>
    <w:p w14:paraId="11431B2C">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412A92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2254AA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预付款包括开工预付款和材料、设备预付款。具体额度和预付办法如下：</w:t>
      </w:r>
    </w:p>
    <w:p w14:paraId="376EB3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（1）开工预付款的金额在项目专用合同条款数据表中约定。在承包人签订了合同协议书且承包人承诺的主要设备进场后，监理人应在当期进度付款证书中向承包人支付开工预付款。</w:t>
      </w:r>
    </w:p>
    <w:p w14:paraId="685EA8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承包人不得将该预付款用于与本工程无关的支出，监理人有权监督承包人对该项费用的使用，如经查实承包人滥用开工预付款，发包人有权立即向银行索赔履约保证金，并解除合同。</w:t>
      </w:r>
    </w:p>
    <w:p w14:paraId="6883E78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（2）材料、设备预付款按项目专用合同条款数据表中所列主要材料、设备单据费用（进口的材料、设备为到岸价，国内采购的为出厂价或销售价，地方材料为堆场价）的百分比支付。其预付条件为：</w:t>
      </w:r>
    </w:p>
    <w:p w14:paraId="632128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材料、设备符合规范要求并经监理人认可；</w:t>
      </w:r>
    </w:p>
    <w:p w14:paraId="7A6637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承包人已出具材料、设备费用凭证或支付单据；</w:t>
      </w:r>
    </w:p>
    <w:p w14:paraId="649902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材料、设备已在现场交货，且存储良好，监理人认为材料、设备的存储方法符合要求。</w:t>
      </w:r>
    </w:p>
    <w:p w14:paraId="3A0BB62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则监理人应将此项金额作为材料、设备预付款计入下一次的进度付款证书中。在预计交工前3个月，将不再支付材料、设备预付款。</w:t>
      </w:r>
    </w:p>
    <w:p w14:paraId="320274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17.2.2 </w:t>
      </w:r>
      <w:r>
        <w:rPr>
          <w:rFonts w:hint="default" w:ascii="Times New Roman" w:hAnsi="Times New Roman" w:eastAsia="黑体" w:cs="Times New Roman"/>
          <w:color w:val="auto"/>
          <w:sz w:val="24"/>
          <w:highlight w:val="none"/>
        </w:rPr>
        <w:t>预付款保函</w:t>
      </w:r>
    </w:p>
    <w:p w14:paraId="667D80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3DC2C74">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承包人无须向发包人提交预付款保函。发包人向承包人支付的预付款，应按照本合同第17.2.1项规定使用，承包人提交的履约保证金对预付款的正常使用承担保证责任。</w:t>
      </w:r>
    </w:p>
    <w:p w14:paraId="33EA409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17.2.3 </w:t>
      </w:r>
      <w:r>
        <w:rPr>
          <w:rFonts w:hint="default" w:ascii="Times New Roman" w:hAnsi="Times New Roman" w:eastAsia="黑体" w:cs="Times New Roman"/>
          <w:color w:val="auto"/>
          <w:sz w:val="24"/>
          <w:highlight w:val="none"/>
        </w:rPr>
        <w:t>预付款的扣回与还清</w:t>
      </w:r>
    </w:p>
    <w:p w14:paraId="07FD99CE">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215E290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5E9A2AFD">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（2）当材料、设备已用于或安装在永久工程之中时，材料、设备预付款应从进度付款证书中扣回，扣回期不超过3个月。已经支付材料、设备预付款的材料、设备的所有权应属于发包人。</w:t>
      </w:r>
    </w:p>
    <w:p w14:paraId="74E734B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59" w:name="_Toc32286"/>
      <w:bookmarkStart w:id="1560" w:name="_Toc30179"/>
      <w:bookmarkStart w:id="1561" w:name="_Toc27923"/>
      <w:bookmarkStart w:id="1562" w:name="_Toc234833190"/>
      <w:bookmarkStart w:id="1563" w:name="_Toc24114"/>
      <w:r>
        <w:rPr>
          <w:rFonts w:hint="default" w:ascii="Times New Roman" w:hAnsi="Times New Roman" w:eastAsia="黑体" w:cs="Times New Roman"/>
          <w:b w:val="0"/>
          <w:color w:val="auto"/>
          <w:sz w:val="24"/>
          <w:szCs w:val="24"/>
          <w:highlight w:val="none"/>
        </w:rPr>
        <w:t>17.3 工程进度付款</w:t>
      </w:r>
      <w:bookmarkEnd w:id="1559"/>
      <w:bookmarkEnd w:id="1560"/>
      <w:bookmarkEnd w:id="1561"/>
      <w:bookmarkEnd w:id="1562"/>
      <w:bookmarkEnd w:id="1563"/>
    </w:p>
    <w:p w14:paraId="066E0D1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17.3.3 </w:t>
      </w:r>
      <w:r>
        <w:rPr>
          <w:rFonts w:hint="default" w:ascii="Times New Roman" w:hAnsi="Times New Roman" w:eastAsia="黑体" w:cs="Times New Roman"/>
          <w:color w:val="auto"/>
          <w:sz w:val="24"/>
          <w:highlight w:val="none"/>
        </w:rPr>
        <w:t>进度付款证书和支付时间</w:t>
      </w:r>
    </w:p>
    <w:p w14:paraId="216B61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本项（1）目补充：</w:t>
      </w:r>
    </w:p>
    <w:p w14:paraId="7E9E10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11F09C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D4DDE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发包人应在监理人收到进度付款申请单且承包人提交了合格的增值税专用发票后的28天内，将进度应付款支付给承包人。</w:t>
      </w:r>
    </w:p>
    <w:p w14:paraId="0D4A01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发包人不按期支付的，按项目专用合同条款数据表中约定的利率向承包人支付逾期付款违约金。违约金计算基数为发包人的全部未付款额，时间从应付而未付该款额之日算起（不计复利）。</w:t>
      </w:r>
    </w:p>
    <w:p w14:paraId="264DAB8A">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本款补充第17.3.5项：</w:t>
      </w:r>
    </w:p>
    <w:p w14:paraId="35287F33">
      <w:pPr>
        <w:pageBreakBefore w:val="0"/>
        <w:kinsoku/>
        <w:wordWrap w:val="0"/>
        <w:bidi w:val="0"/>
        <w:spacing w:line="42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17.3.5 </w:t>
      </w:r>
      <w:r>
        <w:rPr>
          <w:rFonts w:hint="default" w:ascii="Times New Roman" w:hAnsi="Times New Roman" w:eastAsia="黑体" w:cs="Times New Roman"/>
          <w:color w:val="auto"/>
          <w:sz w:val="24"/>
          <w:highlight w:val="none"/>
        </w:rPr>
        <w:t>农民工工资保证金</w:t>
      </w:r>
    </w:p>
    <w:p w14:paraId="15D94E8B">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（1）为确保施工过程中农民工工资实时、足额发放到位，承包人应按照项目专用合同条款约定的时间和金额缴存农民工工资保证金。</w:t>
      </w:r>
    </w:p>
    <w:p w14:paraId="2C36889D">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（2）农民工工资保证金可采用银行保函或现金、支票形式。采用银行保函时，出具保函的银行须具有相应担保能力，且按照发包人批准的格式出具，所需费用由承包人承担。</w:t>
      </w:r>
    </w:p>
    <w:p w14:paraId="73038BCB">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（3）农民工工资保证金的扣留条件、返还时间按照项目专用合同条款的约定执行。</w:t>
      </w:r>
    </w:p>
    <w:p w14:paraId="30C0C84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64" w:name="_Toc29571"/>
      <w:bookmarkStart w:id="1565" w:name="_Toc31836"/>
      <w:bookmarkStart w:id="1566" w:name="_Toc4893"/>
      <w:bookmarkStart w:id="1567" w:name="_Toc29743"/>
      <w:bookmarkStart w:id="1568" w:name="_Toc234833191"/>
      <w:r>
        <w:rPr>
          <w:rFonts w:hint="default" w:ascii="Times New Roman" w:hAnsi="Times New Roman" w:eastAsia="黑体" w:cs="Times New Roman"/>
          <w:b w:val="0"/>
          <w:color w:val="auto"/>
          <w:sz w:val="24"/>
          <w:szCs w:val="24"/>
          <w:highlight w:val="none"/>
        </w:rPr>
        <w:t>17.4 质量保证金</w:t>
      </w:r>
      <w:bookmarkEnd w:id="1564"/>
      <w:bookmarkEnd w:id="1565"/>
      <w:bookmarkEnd w:id="1566"/>
      <w:bookmarkEnd w:id="1567"/>
      <w:bookmarkEnd w:id="1568"/>
    </w:p>
    <w:p w14:paraId="29C0572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第17.4.1项、第17.4.2项细化为：</w:t>
      </w:r>
    </w:p>
    <w:p w14:paraId="304935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 交工验收证书签发后14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14:paraId="152730E2">
      <w:pPr>
        <w:pageBreakBefore w:val="0"/>
        <w:kinsoku/>
        <w:wordWrap w:val="0"/>
        <w:bidi w:val="0"/>
        <w:spacing w:line="400" w:lineRule="atLeast"/>
        <w:ind w:firstLine="480" w:firstLineChars="200"/>
        <w:rPr>
          <w:rFonts w:hint="default" w:ascii="Times New Roman" w:hAnsi="Times New Roman" w:eastAsia="宋体 ，Arial" w:cs="Times New Roman"/>
          <w:color w:val="auto"/>
          <w:kern w:val="0"/>
          <w:sz w:val="24"/>
          <w:highlight w:val="none"/>
        </w:rPr>
      </w:pPr>
      <w:r>
        <w:rPr>
          <w:rFonts w:hint="default" w:ascii="Times New Roman" w:hAnsi="Times New Roman" w:cs="Times New Roman"/>
          <w:color w:val="auto"/>
          <w:sz w:val="24"/>
          <w:highlight w:val="none"/>
        </w:rPr>
        <w:t>质量保证金采用现金、支票形式提交的，发包人应在项目专用合同条款数据表中明确是否</w:t>
      </w:r>
      <w:r>
        <w:rPr>
          <w:rFonts w:hint="default" w:ascii="Times New Roman" w:hAnsi="Times New Roman" w:eastAsia="宋体 ，Arial" w:cs="Times New Roman"/>
          <w:color w:val="auto"/>
          <w:kern w:val="0"/>
          <w:sz w:val="24"/>
          <w:highlight w:val="none"/>
        </w:rPr>
        <w:t>计付利息以及利息的计算方式。</w:t>
      </w:r>
    </w:p>
    <w:p w14:paraId="0478A2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 在第1.1.4.5目约定的缺陷责任期满，且质量监督机构已按规定对工程质量检测鉴定合格，承包人向发包人申请到期应返还承包人剩余的质量保证金金额，发包人应在14天内会同承包人按照合同约定的内容核实承包人是否完成缺陷责任。如无异议，发包人应当在核实后将剩余保证金返还承包人。</w:t>
      </w:r>
    </w:p>
    <w:p w14:paraId="24C041D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69" w:name="_Toc3090"/>
      <w:bookmarkStart w:id="1570" w:name="_Toc14691"/>
      <w:bookmarkStart w:id="1571" w:name="_Toc1771"/>
      <w:bookmarkStart w:id="1572" w:name="_Toc1942"/>
      <w:bookmarkStart w:id="1573" w:name="_Toc234833192"/>
      <w:r>
        <w:rPr>
          <w:rFonts w:hint="default" w:ascii="Times New Roman" w:hAnsi="Times New Roman" w:eastAsia="黑体" w:cs="Times New Roman"/>
          <w:b w:val="0"/>
          <w:color w:val="auto"/>
          <w:sz w:val="24"/>
          <w:szCs w:val="24"/>
          <w:highlight w:val="none"/>
        </w:rPr>
        <w:t>17.5 交工结算</w:t>
      </w:r>
      <w:bookmarkEnd w:id="1569"/>
      <w:bookmarkEnd w:id="1570"/>
      <w:bookmarkEnd w:id="1571"/>
      <w:bookmarkEnd w:id="1572"/>
      <w:bookmarkEnd w:id="1573"/>
    </w:p>
    <w:p w14:paraId="4D1B980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17.5.1 </w:t>
      </w:r>
      <w:r>
        <w:rPr>
          <w:rFonts w:hint="default" w:ascii="Times New Roman" w:hAnsi="Times New Roman" w:eastAsia="黑体" w:cs="Times New Roman"/>
          <w:color w:val="auto"/>
          <w:sz w:val="24"/>
          <w:highlight w:val="none"/>
        </w:rPr>
        <w:t>交工付款申请单</w:t>
      </w:r>
    </w:p>
    <w:p w14:paraId="051856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045CAD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承包人向监理人提交交工付款申请单（包括相关证明材料）的份数在项目专用合同条款数据表中约定；期限：交工验收证书签发后42天内。</w:t>
      </w:r>
    </w:p>
    <w:p w14:paraId="4B2AD39D">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17.5.2 </w:t>
      </w:r>
      <w:r>
        <w:rPr>
          <w:rFonts w:hint="default" w:ascii="Times New Roman" w:hAnsi="Times New Roman" w:eastAsia="黑体" w:cs="Times New Roman"/>
          <w:color w:val="auto"/>
          <w:sz w:val="24"/>
          <w:highlight w:val="none"/>
        </w:rPr>
        <w:t>交工付款证书及支付时间</w:t>
      </w:r>
    </w:p>
    <w:p w14:paraId="3A93A77F">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本项（2）目细化为：</w:t>
      </w:r>
    </w:p>
    <w:p w14:paraId="043243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发包人应在监理人出具交工付款证书且承包人提交了合格的增值税专用发票后的14天内，将应支付款支付给承包人。发包人不按期支付的，按第17.3.3（2）目的约定，将逾期付款违约金支付给承包人。</w:t>
      </w:r>
    </w:p>
    <w:p w14:paraId="34ECFB8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74" w:name="_Toc11156"/>
      <w:bookmarkStart w:id="1575" w:name="_Toc11950"/>
      <w:bookmarkStart w:id="1576" w:name="_Toc792"/>
      <w:bookmarkStart w:id="1577" w:name="_Toc234833193"/>
      <w:bookmarkStart w:id="1578" w:name="_Toc19025"/>
      <w:r>
        <w:rPr>
          <w:rFonts w:hint="default" w:ascii="Times New Roman" w:hAnsi="Times New Roman" w:eastAsia="黑体" w:cs="Times New Roman"/>
          <w:b w:val="0"/>
          <w:color w:val="auto"/>
          <w:sz w:val="24"/>
          <w:szCs w:val="24"/>
          <w:highlight w:val="none"/>
        </w:rPr>
        <w:t>17.6 最终结清</w:t>
      </w:r>
      <w:bookmarkEnd w:id="1574"/>
      <w:bookmarkEnd w:id="1575"/>
      <w:bookmarkEnd w:id="1576"/>
      <w:bookmarkEnd w:id="1577"/>
      <w:bookmarkEnd w:id="1578"/>
    </w:p>
    <w:p w14:paraId="3759AEEC">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17.6.1 </w:t>
      </w:r>
      <w:r>
        <w:rPr>
          <w:rFonts w:hint="default" w:ascii="Times New Roman" w:hAnsi="Times New Roman" w:eastAsia="黑体" w:cs="Times New Roman"/>
          <w:color w:val="auto"/>
          <w:sz w:val="24"/>
          <w:highlight w:val="none"/>
        </w:rPr>
        <w:t>最终结清申请单</w:t>
      </w:r>
    </w:p>
    <w:p w14:paraId="75C481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7680AC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承包人向监理人提交最终结清申请单（包括相关证明材料）的份数在项目专用合同条款数据表中约定；期限：缺陷责任期终止证书签发后28天内。</w:t>
      </w:r>
    </w:p>
    <w:p w14:paraId="2919EF6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最终结清申请单中的总金额应认为是代表了根据合同规定应付给承包人的全部款项的最后结算。</w:t>
      </w:r>
    </w:p>
    <w:p w14:paraId="492D0D3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17.6.2 </w:t>
      </w:r>
      <w:r>
        <w:rPr>
          <w:rFonts w:hint="default" w:ascii="Times New Roman" w:hAnsi="Times New Roman" w:eastAsia="黑体" w:cs="Times New Roman"/>
          <w:color w:val="auto"/>
          <w:sz w:val="24"/>
          <w:highlight w:val="none"/>
        </w:rPr>
        <w:t>最终结清证书和支付时间</w:t>
      </w:r>
      <w:r>
        <w:rPr>
          <w:rFonts w:hint="default" w:ascii="Times New Roman" w:hAnsi="Times New Roman" w:cs="Times New Roman"/>
          <w:color w:val="auto"/>
          <w:sz w:val="24"/>
          <w:highlight w:val="none"/>
        </w:rPr>
        <w:t xml:space="preserve"> </w:t>
      </w:r>
    </w:p>
    <w:p w14:paraId="77D866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58F7B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（2）发包人应在监理人出具最终结清证书且承包人提交了合格的增值税专用发票后的14天内，将应支付款支付给承包人。发包人不按期支付的，按第17.3.3（2）目的约定，将逾期付款违约金支付给承包人。</w:t>
      </w:r>
    </w:p>
    <w:p w14:paraId="736CDE9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79" w:name="_Toc22331"/>
      <w:bookmarkStart w:id="1580" w:name="_Toc8009"/>
      <w:bookmarkStart w:id="1581" w:name="_Toc12621"/>
      <w:bookmarkStart w:id="1582" w:name="_Toc234833194"/>
      <w:bookmarkStart w:id="1583" w:name="_Toc24563"/>
      <w:r>
        <w:rPr>
          <w:rFonts w:hint="default" w:ascii="Times New Roman" w:hAnsi="Times New Roman" w:eastAsia="黑体" w:cs="Times New Roman"/>
          <w:b w:val="0"/>
          <w:color w:val="auto"/>
          <w:sz w:val="28"/>
          <w:szCs w:val="28"/>
          <w:highlight w:val="none"/>
        </w:rPr>
        <w:t>18. 交工验收</w:t>
      </w:r>
      <w:bookmarkEnd w:id="1579"/>
      <w:bookmarkEnd w:id="1580"/>
      <w:bookmarkEnd w:id="1581"/>
      <w:bookmarkEnd w:id="1582"/>
      <w:bookmarkEnd w:id="1583"/>
    </w:p>
    <w:p w14:paraId="146A4D9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84" w:name="_Toc234833195"/>
      <w:bookmarkStart w:id="1585" w:name="_Toc29033"/>
      <w:bookmarkStart w:id="1586" w:name="_Toc14002"/>
      <w:bookmarkStart w:id="1587" w:name="_Toc13694"/>
      <w:bookmarkStart w:id="1588" w:name="_Toc11196"/>
      <w:r>
        <w:rPr>
          <w:rFonts w:hint="default" w:ascii="Times New Roman" w:hAnsi="Times New Roman" w:eastAsia="黑体" w:cs="Times New Roman"/>
          <w:b w:val="0"/>
          <w:color w:val="auto"/>
          <w:sz w:val="24"/>
          <w:szCs w:val="24"/>
          <w:highlight w:val="none"/>
        </w:rPr>
        <w:t>18.2 交工验收申请报告</w:t>
      </w:r>
      <w:bookmarkEnd w:id="1584"/>
      <w:bookmarkEnd w:id="1585"/>
      <w:bookmarkEnd w:id="1586"/>
      <w:bookmarkEnd w:id="1587"/>
      <w:bookmarkEnd w:id="1588"/>
    </w:p>
    <w:p w14:paraId="0B0C0C2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本款第（2）项约定为：</w:t>
      </w:r>
    </w:p>
    <w:p w14:paraId="1CDB8E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竣工资料的内容：承包人应按照《公路工程竣（交）工验收办法》和相关规定编制竣工资料。</w:t>
      </w:r>
    </w:p>
    <w:p w14:paraId="37D9FC7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竣工资料的份数在项目专用合同条款数据表中约定。</w:t>
      </w:r>
    </w:p>
    <w:p w14:paraId="1381CEB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89" w:name="_Toc234833196"/>
      <w:bookmarkStart w:id="1590" w:name="_Toc4025"/>
      <w:bookmarkStart w:id="1591" w:name="_Toc15493"/>
      <w:bookmarkStart w:id="1592" w:name="_Toc11830"/>
      <w:bookmarkStart w:id="1593" w:name="_Toc2589"/>
      <w:r>
        <w:rPr>
          <w:rFonts w:hint="default" w:ascii="Times New Roman" w:hAnsi="Times New Roman" w:eastAsia="黑体" w:cs="Times New Roman"/>
          <w:b w:val="0"/>
          <w:color w:val="auto"/>
          <w:sz w:val="24"/>
          <w:szCs w:val="24"/>
          <w:highlight w:val="none"/>
        </w:rPr>
        <w:t>18.3 验收</w:t>
      </w:r>
      <w:bookmarkEnd w:id="1589"/>
      <w:bookmarkEnd w:id="1590"/>
      <w:bookmarkEnd w:id="1591"/>
      <w:bookmarkEnd w:id="1592"/>
      <w:bookmarkEnd w:id="1593"/>
    </w:p>
    <w:p w14:paraId="2329F6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第18.3.2项补充：</w:t>
      </w:r>
    </w:p>
    <w:p w14:paraId="07E7A9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交工验收由发包人主持，由发包人、监理人、质监、设计、施工、运营、管理养护等有关部门代表组成交工验收小组，对本项目的工程质量进行评定，并写出交工验收报告报交通运输主管部门备案。承包人应按发包人的要求提交竣工资料，完成交工验收准备工作。</w:t>
      </w:r>
    </w:p>
    <w:p w14:paraId="1C93B41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第18.3.5项约定为：</w:t>
      </w:r>
    </w:p>
    <w:p w14:paraId="47800D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经验收合格工程的实际交工日期，以最终提交交工验收申请报告的日期为准，并在交工验收证书中写明。</w:t>
      </w:r>
    </w:p>
    <w:p w14:paraId="212ECE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本款补充第18.3.7项：</w:t>
      </w:r>
    </w:p>
    <w:p w14:paraId="76E61B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组织办理交工验收和签发交工验收证书的费用由发包人承担。但按照第18.3.4项规定达不到合格标准的交工验收费用由承包人承担。</w:t>
      </w:r>
    </w:p>
    <w:p w14:paraId="50F0951B">
      <w:pPr>
        <w:pageBreakBefore w:val="0"/>
        <w:kinsoku/>
        <w:wordWrap w:val="0"/>
        <w:bidi w:val="0"/>
        <w:spacing w:before="240" w:beforeLines="100" w:line="400" w:lineRule="atLeas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本条补充第18.9款：</w:t>
      </w:r>
    </w:p>
    <w:p w14:paraId="5A96256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94" w:name="_Toc3682"/>
      <w:bookmarkStart w:id="1595" w:name="_Toc234833197"/>
      <w:bookmarkStart w:id="1596" w:name="_Toc7218"/>
      <w:bookmarkStart w:id="1597" w:name="_Toc21991"/>
      <w:bookmarkStart w:id="1598" w:name="_Toc25110"/>
      <w:r>
        <w:rPr>
          <w:rFonts w:hint="default" w:ascii="Times New Roman" w:hAnsi="Times New Roman" w:eastAsia="黑体" w:cs="Times New Roman"/>
          <w:b w:val="0"/>
          <w:color w:val="auto"/>
          <w:sz w:val="24"/>
          <w:szCs w:val="24"/>
          <w:highlight w:val="none"/>
        </w:rPr>
        <w:t>18.9 竣工文件</w:t>
      </w:r>
      <w:bookmarkEnd w:id="1594"/>
      <w:bookmarkEnd w:id="1595"/>
      <w:bookmarkEnd w:id="1596"/>
      <w:bookmarkEnd w:id="1597"/>
      <w:bookmarkEnd w:id="1598"/>
    </w:p>
    <w:p w14:paraId="43FAED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承包人应按照《公路工程竣（交）工验收办法》的相关规定，在缺陷责任期内为竣工验收补充竣工资料，并在签发缺陷责任期终止证书之前提交。</w:t>
      </w:r>
    </w:p>
    <w:p w14:paraId="4F8F2C0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99" w:name="_Toc16481"/>
      <w:bookmarkStart w:id="1600" w:name="_Toc27071"/>
      <w:bookmarkStart w:id="1601" w:name="_Toc5229"/>
      <w:bookmarkStart w:id="1602" w:name="_Toc11360"/>
      <w:bookmarkStart w:id="1603" w:name="_Toc234833198"/>
      <w:r>
        <w:rPr>
          <w:rFonts w:hint="default" w:ascii="Times New Roman" w:hAnsi="Times New Roman" w:eastAsia="黑体" w:cs="Times New Roman"/>
          <w:b w:val="0"/>
          <w:color w:val="auto"/>
          <w:sz w:val="28"/>
          <w:szCs w:val="28"/>
          <w:highlight w:val="none"/>
        </w:rPr>
        <w:t>19. 缺陷责任与保修责任</w:t>
      </w:r>
      <w:bookmarkEnd w:id="1599"/>
      <w:bookmarkEnd w:id="1600"/>
      <w:bookmarkEnd w:id="1601"/>
      <w:bookmarkEnd w:id="1602"/>
      <w:bookmarkEnd w:id="1603"/>
    </w:p>
    <w:p w14:paraId="2E2732B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04" w:name="_Toc32462"/>
      <w:bookmarkStart w:id="1605" w:name="_Toc28049"/>
      <w:bookmarkStart w:id="1606" w:name="_Toc234833199"/>
      <w:bookmarkStart w:id="1607" w:name="_Toc13979"/>
      <w:bookmarkStart w:id="1608" w:name="_Toc4936"/>
      <w:r>
        <w:rPr>
          <w:rFonts w:hint="default" w:ascii="Times New Roman" w:hAnsi="Times New Roman" w:eastAsia="黑体" w:cs="Times New Roman"/>
          <w:b w:val="0"/>
          <w:color w:val="auto"/>
          <w:sz w:val="24"/>
          <w:szCs w:val="24"/>
          <w:highlight w:val="none"/>
        </w:rPr>
        <w:t>19.2 缺陷责任</w:t>
      </w:r>
      <w:bookmarkEnd w:id="1604"/>
      <w:bookmarkEnd w:id="1605"/>
      <w:bookmarkEnd w:id="1606"/>
      <w:bookmarkEnd w:id="1607"/>
      <w:bookmarkEnd w:id="1608"/>
    </w:p>
    <w:p w14:paraId="24B359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第19.2.2项补充：</w:t>
      </w:r>
    </w:p>
    <w:p w14:paraId="459305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在缺陷责任期内，承包人应尽快完成在交工验收证书中写明的未完成工作，并完成对本工程缺陷的修复或监理人指令的修补工作。</w:t>
      </w:r>
    </w:p>
    <w:p w14:paraId="4CEAACE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09" w:name="_Toc6222"/>
      <w:bookmarkStart w:id="1610" w:name="_Toc17860"/>
      <w:bookmarkStart w:id="1611" w:name="_Toc8826"/>
      <w:bookmarkStart w:id="1612" w:name="_Toc17405"/>
      <w:bookmarkStart w:id="1613" w:name="_Toc234833200"/>
      <w:r>
        <w:rPr>
          <w:rFonts w:hint="default" w:ascii="Times New Roman" w:hAnsi="Times New Roman" w:eastAsia="黑体" w:cs="Times New Roman"/>
          <w:b w:val="0"/>
          <w:color w:val="auto"/>
          <w:sz w:val="24"/>
          <w:szCs w:val="24"/>
          <w:highlight w:val="none"/>
        </w:rPr>
        <w:t>19.5 承包人的进入权</w:t>
      </w:r>
      <w:bookmarkEnd w:id="1609"/>
      <w:bookmarkEnd w:id="1610"/>
      <w:bookmarkEnd w:id="1611"/>
      <w:bookmarkEnd w:id="1612"/>
      <w:bookmarkEnd w:id="1613"/>
      <w:r>
        <w:rPr>
          <w:rFonts w:hint="default" w:ascii="Times New Roman" w:hAnsi="Times New Roman" w:eastAsia="黑体" w:cs="Times New Roman"/>
          <w:b w:val="0"/>
          <w:color w:val="auto"/>
          <w:sz w:val="24"/>
          <w:szCs w:val="24"/>
          <w:highlight w:val="none"/>
        </w:rPr>
        <w:t xml:space="preserve"> </w:t>
      </w:r>
    </w:p>
    <w:p w14:paraId="17CB4C1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537BEE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承包人在缺陷修复施工过程中，应服从管养单位的有关安全管理规定，由于承包人自身原因造成的人员伤亡、设备和材料的损毁及罚款等责任由承包人自负。</w:t>
      </w:r>
    </w:p>
    <w:p w14:paraId="5A15E0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14" w:name="_Toc234833201"/>
      <w:bookmarkStart w:id="1615" w:name="_Toc22662"/>
      <w:bookmarkStart w:id="1616" w:name="_Toc17931"/>
      <w:bookmarkStart w:id="1617" w:name="_Toc7118"/>
      <w:bookmarkStart w:id="1618" w:name="_Toc13835"/>
      <w:r>
        <w:rPr>
          <w:rFonts w:hint="default" w:ascii="Times New Roman" w:hAnsi="Times New Roman" w:eastAsia="黑体" w:cs="Times New Roman"/>
          <w:b w:val="0"/>
          <w:color w:val="auto"/>
          <w:sz w:val="24"/>
          <w:szCs w:val="24"/>
          <w:highlight w:val="none"/>
        </w:rPr>
        <w:t>19.7 保修责任</w:t>
      </w:r>
      <w:bookmarkEnd w:id="1614"/>
      <w:bookmarkEnd w:id="1615"/>
      <w:bookmarkEnd w:id="1616"/>
      <w:bookmarkEnd w:id="1617"/>
      <w:bookmarkEnd w:id="1618"/>
    </w:p>
    <w:p w14:paraId="208ED5F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2E46AC0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1E309C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（2）在全部工程交工验收前，已经发包人提前验收的单位工程，其保修期的起算日期相应提前。</w:t>
      </w:r>
    </w:p>
    <w:p w14:paraId="01E467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（3）工程保修期终止后28天内，监理人签发保修期终止证书。</w:t>
      </w:r>
    </w:p>
    <w:p w14:paraId="478450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（4）若承包人不履行保修义务和责任，则承包人应承担由于违约造成的法律后果，并由发包人将其违约行为上报省级交通运输主管部门，作为不良记录纳入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047ABAE6">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19" w:name="_Toc234833202"/>
      <w:bookmarkStart w:id="1620" w:name="_Toc22022"/>
      <w:bookmarkStart w:id="1621" w:name="_Toc27979"/>
      <w:bookmarkStart w:id="1622" w:name="_Toc21318"/>
      <w:bookmarkStart w:id="1623" w:name="_Toc23441"/>
      <w:r>
        <w:rPr>
          <w:rFonts w:hint="default" w:ascii="Times New Roman" w:hAnsi="Times New Roman" w:eastAsia="黑体" w:cs="Times New Roman"/>
          <w:b w:val="0"/>
          <w:color w:val="auto"/>
          <w:sz w:val="28"/>
          <w:szCs w:val="28"/>
          <w:highlight w:val="none"/>
        </w:rPr>
        <w:t>20. 保险</w:t>
      </w:r>
      <w:bookmarkEnd w:id="1619"/>
      <w:bookmarkEnd w:id="1620"/>
      <w:bookmarkEnd w:id="1621"/>
      <w:bookmarkEnd w:id="1622"/>
      <w:bookmarkEnd w:id="1623"/>
    </w:p>
    <w:p w14:paraId="43F31E3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24" w:name="_Toc14820"/>
      <w:bookmarkStart w:id="1625" w:name="_Toc234833203"/>
      <w:bookmarkStart w:id="1626" w:name="_Toc18588"/>
      <w:bookmarkStart w:id="1627" w:name="_Toc27757"/>
      <w:bookmarkStart w:id="1628" w:name="_Toc20820"/>
      <w:r>
        <w:rPr>
          <w:rFonts w:hint="default" w:ascii="Times New Roman" w:hAnsi="Times New Roman" w:eastAsia="黑体" w:cs="Times New Roman"/>
          <w:b w:val="0"/>
          <w:color w:val="auto"/>
          <w:sz w:val="24"/>
          <w:szCs w:val="24"/>
          <w:highlight w:val="none"/>
        </w:rPr>
        <w:t>20.1工程保险</w:t>
      </w:r>
      <w:bookmarkEnd w:id="1624"/>
      <w:bookmarkEnd w:id="1625"/>
      <w:bookmarkEnd w:id="1626"/>
      <w:bookmarkEnd w:id="1627"/>
      <w:bookmarkEnd w:id="1628"/>
    </w:p>
    <w:p w14:paraId="79447E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14DD54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建筑工程一切险的投保内容：为本合同工程的永久工程、临时工程和设备及已运至施工工地用于永久工程的材料和设备所投的保险。</w:t>
      </w:r>
    </w:p>
    <w:p w14:paraId="39A02A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保险金额：工程量清单第100章（不含建筑工程一切险及第三者责任险的保险费）至第700章的合计金额。</w:t>
      </w:r>
    </w:p>
    <w:p w14:paraId="084FD0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保险费率：在项目专用合同条款数据表中约定。</w:t>
      </w:r>
    </w:p>
    <w:p w14:paraId="276296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保险期限：开工日起直至本合同工程签发缺陷责任期终止证书止（即合同工期＋缺陷责任期）。</w:t>
      </w:r>
    </w:p>
    <w:p w14:paraId="368998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承包人应以发包人和承包人的共同名义投保建筑工程一切险。建筑工程一切险的保险费由承包人报价时列入工程量清单第100章内。发包人在接到保险单后，将按照保险单的费用直接向承包人支付。</w:t>
      </w:r>
    </w:p>
    <w:p w14:paraId="2C981B8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29" w:name="_Toc28327"/>
      <w:bookmarkStart w:id="1630" w:name="_Toc234833204"/>
      <w:bookmarkStart w:id="1631" w:name="_Toc9762"/>
      <w:bookmarkStart w:id="1632" w:name="_Toc6160"/>
      <w:bookmarkStart w:id="1633" w:name="_Toc1174"/>
      <w:r>
        <w:rPr>
          <w:rFonts w:hint="default" w:ascii="Times New Roman" w:hAnsi="Times New Roman" w:eastAsia="黑体" w:cs="Times New Roman"/>
          <w:b w:val="0"/>
          <w:color w:val="auto"/>
          <w:sz w:val="24"/>
          <w:szCs w:val="24"/>
          <w:highlight w:val="none"/>
        </w:rPr>
        <w:t>20.4 第三者责任险</w:t>
      </w:r>
      <w:bookmarkEnd w:id="1629"/>
      <w:bookmarkEnd w:id="1630"/>
      <w:bookmarkEnd w:id="1631"/>
      <w:bookmarkEnd w:id="1632"/>
      <w:bookmarkEnd w:id="1633"/>
    </w:p>
    <w:p w14:paraId="1F0C49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第20.4.2项补充：</w:t>
      </w:r>
    </w:p>
    <w:p w14:paraId="21C5A1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第三者责任险的保险费由承包人报价时列入工程量清单第100章内。发包人在接到保险单后，将按照保险单的费用直接向承包人支付。</w:t>
      </w:r>
    </w:p>
    <w:p w14:paraId="4D86244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34" w:name="_Toc13808"/>
      <w:bookmarkStart w:id="1635" w:name="_Toc27537"/>
      <w:bookmarkStart w:id="1636" w:name="_Toc234833205"/>
      <w:bookmarkStart w:id="1637" w:name="_Toc4864"/>
      <w:bookmarkStart w:id="1638" w:name="_Toc5754"/>
      <w:r>
        <w:rPr>
          <w:rFonts w:hint="default" w:ascii="Times New Roman" w:hAnsi="Times New Roman" w:eastAsia="黑体" w:cs="Times New Roman"/>
          <w:b w:val="0"/>
          <w:color w:val="auto"/>
          <w:sz w:val="24"/>
          <w:szCs w:val="24"/>
          <w:highlight w:val="none"/>
        </w:rPr>
        <w:t>20.5 其他保险</w:t>
      </w:r>
      <w:bookmarkEnd w:id="1634"/>
      <w:bookmarkEnd w:id="1635"/>
      <w:bookmarkEnd w:id="1636"/>
      <w:bookmarkEnd w:id="1637"/>
      <w:bookmarkEnd w:id="1638"/>
    </w:p>
    <w:p w14:paraId="076A56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383A3476">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承包人应为其施工设备等办理保险，其投保金额应足以现场重置。办理本款保险的一切费用均由承包人承担，并包括在工程量清单的单价及总额价中，发包人不单独支付。</w:t>
      </w:r>
    </w:p>
    <w:p w14:paraId="609ECFF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39" w:name="_Toc1959"/>
      <w:bookmarkStart w:id="1640" w:name="_Toc19524"/>
      <w:bookmarkStart w:id="1641" w:name="_Toc22712"/>
      <w:bookmarkStart w:id="1642" w:name="_Toc32122"/>
      <w:bookmarkStart w:id="1643" w:name="_Toc234833206"/>
      <w:r>
        <w:rPr>
          <w:rFonts w:hint="default" w:ascii="Times New Roman" w:hAnsi="Times New Roman" w:eastAsia="黑体" w:cs="Times New Roman"/>
          <w:b w:val="0"/>
          <w:color w:val="auto"/>
          <w:sz w:val="24"/>
          <w:szCs w:val="24"/>
          <w:highlight w:val="none"/>
        </w:rPr>
        <w:t>20.6 对各项保险的一般要求</w:t>
      </w:r>
      <w:bookmarkEnd w:id="1639"/>
      <w:bookmarkEnd w:id="1640"/>
      <w:bookmarkEnd w:id="1641"/>
      <w:bookmarkEnd w:id="1642"/>
      <w:bookmarkEnd w:id="1643"/>
    </w:p>
    <w:p w14:paraId="1F1CEB6F">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20.6.1 保险凭证</w:t>
      </w:r>
    </w:p>
    <w:p w14:paraId="0BC6278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4B97522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承包人向发包人提交各项保险生效的证据和保险单副本的期限：开工后56天内。</w:t>
      </w:r>
    </w:p>
    <w:p w14:paraId="6CAFCB7A">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20.6.3 持续保险</w:t>
      </w:r>
    </w:p>
    <w:p w14:paraId="6A1283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231053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在整个合同期内，承包人应按合同条款规定保证足够的保险额。</w:t>
      </w:r>
    </w:p>
    <w:p w14:paraId="2C3C9975">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20.6.4 保险金不足的补偿</w:t>
      </w:r>
    </w:p>
    <w:p w14:paraId="3636171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FBA3A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保险金不足以补偿损失的（包括免赔额和超过赔偿限额的部分），应由承包人和（或）发包人按合同约定负责补偿。</w:t>
      </w:r>
    </w:p>
    <w:p w14:paraId="179501D2">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20.6.5 未按约定投保的补救</w:t>
      </w:r>
    </w:p>
    <w:p w14:paraId="2ED1BBF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C91A35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2A7A79F8">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44" w:name="_Toc23861"/>
      <w:bookmarkStart w:id="1645" w:name="_Toc10087"/>
      <w:bookmarkStart w:id="1646" w:name="_Toc234833207"/>
      <w:bookmarkStart w:id="1647" w:name="_Toc25592"/>
      <w:bookmarkStart w:id="1648" w:name="_Toc24331"/>
      <w:r>
        <w:rPr>
          <w:rFonts w:hint="default" w:ascii="Times New Roman" w:hAnsi="Times New Roman" w:eastAsia="黑体" w:cs="Times New Roman"/>
          <w:b w:val="0"/>
          <w:color w:val="auto"/>
          <w:sz w:val="28"/>
          <w:szCs w:val="28"/>
          <w:highlight w:val="none"/>
        </w:rPr>
        <w:t>21. 不可抗力</w:t>
      </w:r>
      <w:bookmarkEnd w:id="1644"/>
      <w:bookmarkEnd w:id="1645"/>
      <w:bookmarkEnd w:id="1646"/>
      <w:bookmarkEnd w:id="1647"/>
      <w:bookmarkEnd w:id="1648"/>
    </w:p>
    <w:p w14:paraId="6841AAA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49" w:name="_Toc234833208"/>
      <w:bookmarkStart w:id="1650" w:name="_Toc25698"/>
      <w:bookmarkStart w:id="1651" w:name="_Toc1192"/>
      <w:bookmarkStart w:id="1652" w:name="_Toc31397"/>
      <w:bookmarkStart w:id="1653" w:name="_Toc30052"/>
      <w:r>
        <w:rPr>
          <w:rFonts w:hint="default" w:ascii="Times New Roman" w:hAnsi="Times New Roman" w:eastAsia="黑体" w:cs="Times New Roman"/>
          <w:b w:val="0"/>
          <w:color w:val="auto"/>
          <w:sz w:val="24"/>
          <w:szCs w:val="24"/>
          <w:highlight w:val="none"/>
        </w:rPr>
        <w:t>21.1 不可抗力的确认</w:t>
      </w:r>
      <w:bookmarkEnd w:id="1649"/>
      <w:bookmarkEnd w:id="1650"/>
      <w:bookmarkEnd w:id="1651"/>
      <w:bookmarkEnd w:id="1652"/>
      <w:bookmarkEnd w:id="1653"/>
    </w:p>
    <w:p w14:paraId="2FD563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第21.1.1项细化为：</w:t>
      </w:r>
    </w:p>
    <w:p w14:paraId="115751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不可抗力是指承包人和发包人在订立合同时不可预见，在工程施工过程中不可避免发生并不能克服的自然灾害和社会性突发事件。包括但不限于：</w:t>
      </w:r>
    </w:p>
    <w:p w14:paraId="71DE94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（1）地震、海啸、火山爆发、泥石流、暴雨（雪）、台风、龙卷风、水灾等自然灾害；</w:t>
      </w:r>
    </w:p>
    <w:p w14:paraId="4EC451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（2）战争、骚乱、暴动，但纯属承包人或其分包人派遣与雇用的人员由于本合同工程施工原因引起者除外；</w:t>
      </w:r>
    </w:p>
    <w:p w14:paraId="23877B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（3）核反应、辐射或放射性污染；</w:t>
      </w:r>
    </w:p>
    <w:p w14:paraId="58C0ED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（4）空中飞行物体坠落或非发包人或承包人责任造成的爆炸、火灾；</w:t>
      </w:r>
    </w:p>
    <w:p w14:paraId="4B2C14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（5）瘟疫；</w:t>
      </w:r>
    </w:p>
    <w:p w14:paraId="77C22B4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（6）项目专用合同条款约定的其他情形。</w:t>
      </w:r>
    </w:p>
    <w:p w14:paraId="4CB125F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54" w:name="_Toc234833209"/>
      <w:bookmarkStart w:id="1655" w:name="_Toc5219"/>
      <w:bookmarkStart w:id="1656" w:name="_Toc26115"/>
      <w:bookmarkStart w:id="1657" w:name="_Toc1492"/>
      <w:bookmarkStart w:id="1658" w:name="_Toc30802"/>
      <w:r>
        <w:rPr>
          <w:rFonts w:hint="default" w:ascii="Times New Roman" w:hAnsi="Times New Roman" w:eastAsia="黑体" w:cs="Times New Roman"/>
          <w:b w:val="0"/>
          <w:color w:val="auto"/>
          <w:sz w:val="24"/>
          <w:szCs w:val="24"/>
          <w:highlight w:val="none"/>
        </w:rPr>
        <w:t>21.3 不可抗力后果及其处理</w:t>
      </w:r>
      <w:bookmarkEnd w:id="1654"/>
      <w:bookmarkEnd w:id="1655"/>
      <w:bookmarkEnd w:id="1656"/>
      <w:bookmarkEnd w:id="1657"/>
      <w:bookmarkEnd w:id="1658"/>
    </w:p>
    <w:p w14:paraId="7279F87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21.3.4 </w:t>
      </w:r>
      <w:r>
        <w:rPr>
          <w:rFonts w:hint="default" w:ascii="Times New Roman" w:hAnsi="Times New Roman" w:eastAsia="黑体" w:cs="Times New Roman"/>
          <w:color w:val="auto"/>
          <w:sz w:val="24"/>
          <w:highlight w:val="none"/>
        </w:rPr>
        <w:t>因不可抗力解除合同</w:t>
      </w:r>
    </w:p>
    <w:p w14:paraId="79911E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1F0B3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但由于解除合同应赔偿的承包人损失不予考虑。</w:t>
      </w:r>
    </w:p>
    <w:p w14:paraId="4C086585">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59" w:name="_Toc18919"/>
      <w:bookmarkStart w:id="1660" w:name="_Toc14650"/>
      <w:bookmarkStart w:id="1661" w:name="_Toc23055"/>
      <w:bookmarkStart w:id="1662" w:name="_Toc234833210"/>
      <w:bookmarkStart w:id="1663" w:name="_Toc3129"/>
      <w:r>
        <w:rPr>
          <w:rFonts w:hint="default" w:ascii="Times New Roman" w:hAnsi="Times New Roman" w:eastAsia="黑体" w:cs="Times New Roman"/>
          <w:b w:val="0"/>
          <w:color w:val="auto"/>
          <w:sz w:val="28"/>
          <w:szCs w:val="28"/>
          <w:highlight w:val="none"/>
        </w:rPr>
        <w:t>22. 违约</w:t>
      </w:r>
      <w:bookmarkEnd w:id="1659"/>
      <w:bookmarkEnd w:id="1660"/>
      <w:bookmarkEnd w:id="1661"/>
      <w:bookmarkEnd w:id="1662"/>
      <w:bookmarkEnd w:id="1663"/>
    </w:p>
    <w:p w14:paraId="5F17014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64" w:name="_Toc7490"/>
      <w:bookmarkStart w:id="1665" w:name="_Toc1580"/>
      <w:bookmarkStart w:id="1666" w:name="_Toc6115"/>
      <w:bookmarkStart w:id="1667" w:name="_Toc234833211"/>
      <w:bookmarkStart w:id="1668" w:name="_Toc3439"/>
      <w:r>
        <w:rPr>
          <w:rFonts w:hint="default" w:ascii="Times New Roman" w:hAnsi="Times New Roman" w:eastAsia="黑体" w:cs="Times New Roman"/>
          <w:b w:val="0"/>
          <w:color w:val="auto"/>
          <w:sz w:val="24"/>
          <w:szCs w:val="24"/>
          <w:highlight w:val="none"/>
        </w:rPr>
        <w:t>22.1 承包人违约</w:t>
      </w:r>
      <w:bookmarkEnd w:id="1664"/>
      <w:bookmarkEnd w:id="1665"/>
      <w:bookmarkEnd w:id="1666"/>
      <w:bookmarkEnd w:id="1667"/>
      <w:bookmarkEnd w:id="1668"/>
    </w:p>
    <w:p w14:paraId="58B3530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22.1.1 </w:t>
      </w:r>
      <w:r>
        <w:rPr>
          <w:rFonts w:hint="default" w:ascii="Times New Roman" w:hAnsi="Times New Roman" w:eastAsia="黑体" w:cs="Times New Roman"/>
          <w:color w:val="auto"/>
          <w:sz w:val="24"/>
          <w:highlight w:val="none"/>
        </w:rPr>
        <w:t>承包人违约的情形</w:t>
      </w:r>
    </w:p>
    <w:p w14:paraId="4D6E88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5884F1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（2）承包人违反第5.3款或第6.4款的约定，未经监理人批准，私自将已按合同约定进入施工场地的施工设备、临时设施、材料或工程设备撤离施工场地；</w:t>
      </w:r>
    </w:p>
    <w:p w14:paraId="57F8FE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本项（7）目细化为：</w:t>
      </w:r>
    </w:p>
    <w:p w14:paraId="7AAA2D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（7）承包人未能按期开工；</w:t>
      </w:r>
    </w:p>
    <w:p w14:paraId="068992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（8）承包人违反第4.6款或第6.3款的规定，未按承诺或未按监理人的要求及时配备称职的主要管理人员、技术骨干或关键施工设备；</w:t>
      </w:r>
    </w:p>
    <w:p w14:paraId="08157A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（9）经监理人和发包人检查，发现承包人有安全问题或有违反安全管理规章制度的情况；</w:t>
      </w:r>
    </w:p>
    <w:p w14:paraId="1C7E36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（10）承包人不按合同约定履行义务的其他情况。</w:t>
      </w:r>
    </w:p>
    <w:p w14:paraId="09E635F8">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22.1.2 </w:t>
      </w:r>
      <w:r>
        <w:rPr>
          <w:rFonts w:hint="default" w:ascii="Times New Roman" w:hAnsi="Times New Roman" w:eastAsia="黑体" w:cs="Times New Roman"/>
          <w:color w:val="auto"/>
          <w:sz w:val="24"/>
          <w:highlight w:val="none"/>
        </w:rPr>
        <w:t>对承包人违约的处理</w:t>
      </w:r>
    </w:p>
    <w:p w14:paraId="16719A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1490A9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（4）承包人发生第22.1.1项约定的违约情况时，无论发包人是否解除合同，发包人均有权向承包人课以项目专用合同条款中规定的违约金，并由发包人将其违约行为上报省级交通运输主管部门，作为不良记录纳入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E7CFAD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69" w:name="_Toc30636"/>
      <w:bookmarkStart w:id="1670" w:name="_Toc3432"/>
      <w:bookmarkStart w:id="1671" w:name="_Toc29380"/>
      <w:bookmarkStart w:id="1672" w:name="_Toc15822"/>
      <w:bookmarkStart w:id="1673" w:name="_Toc234833212"/>
      <w:r>
        <w:rPr>
          <w:rFonts w:hint="default" w:ascii="Times New Roman" w:hAnsi="Times New Roman" w:eastAsia="黑体" w:cs="Times New Roman"/>
          <w:b w:val="0"/>
          <w:color w:val="auto"/>
          <w:sz w:val="24"/>
          <w:szCs w:val="24"/>
          <w:highlight w:val="none"/>
        </w:rPr>
        <w:t>22.2 发包人违约</w:t>
      </w:r>
      <w:bookmarkEnd w:id="1669"/>
      <w:bookmarkEnd w:id="1670"/>
      <w:bookmarkEnd w:id="1671"/>
      <w:bookmarkEnd w:id="1672"/>
      <w:bookmarkEnd w:id="1673"/>
    </w:p>
    <w:p w14:paraId="42ED34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0ABC4E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本项（5）目细化为：</w:t>
      </w:r>
    </w:p>
    <w:p w14:paraId="198BEF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（5）发包人无正当理由不按时返还履约保证金、质量保证金或农民工工资保证金的；</w:t>
      </w:r>
    </w:p>
    <w:p w14:paraId="295484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（6）发包人不履行合同约定其他义务的。</w:t>
      </w:r>
    </w:p>
    <w:p w14:paraId="06C28B5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22.2.2 </w:t>
      </w:r>
      <w:r>
        <w:rPr>
          <w:rFonts w:hint="default" w:ascii="Times New Roman" w:hAnsi="Times New Roman" w:eastAsia="黑体" w:cs="Times New Roman"/>
          <w:color w:val="auto"/>
          <w:sz w:val="24"/>
          <w:highlight w:val="none"/>
        </w:rPr>
        <w:t>承包人有权暂停施工</w:t>
      </w:r>
    </w:p>
    <w:p w14:paraId="3C18A02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43A8EB1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D9D9F4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第22.2.1（5）目的违约情况时，承包人可向发包人发出通知，要求发包人采取有效措施纠正违约行为。发包人收到承包人通知后的28天内仍不返还履约保证金、质量保证金或农民工工资保证金的，发包人应按项目专用合同条款的约定向承包人支付逾期返还保证金的违约金。</w:t>
      </w:r>
    </w:p>
    <w:p w14:paraId="450B1937">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 xml:space="preserve"> 解除合同后的付款</w:t>
      </w:r>
    </w:p>
    <w:p w14:paraId="5D7510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196FF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（2）承包人为该工程施工订购并已付款的材料、工程设备和其他物品的金额。发包人付款后，该材料、工程设备和其他物品归发包人所有；</w:t>
      </w:r>
    </w:p>
    <w:p w14:paraId="5CC9B63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74" w:name="_Toc1579"/>
      <w:bookmarkStart w:id="1675" w:name="_Toc234833213"/>
      <w:bookmarkStart w:id="1676" w:name="_Toc26887"/>
      <w:bookmarkStart w:id="1677" w:name="_Toc27505"/>
      <w:bookmarkStart w:id="1678" w:name="_Toc4428"/>
      <w:r>
        <w:rPr>
          <w:rFonts w:hint="default" w:ascii="Times New Roman" w:hAnsi="Times New Roman" w:eastAsia="黑体" w:cs="Times New Roman"/>
          <w:b w:val="0"/>
          <w:color w:val="auto"/>
          <w:sz w:val="28"/>
          <w:szCs w:val="28"/>
          <w:highlight w:val="none"/>
        </w:rPr>
        <w:t>23. 索赔</w:t>
      </w:r>
      <w:bookmarkEnd w:id="1674"/>
      <w:bookmarkEnd w:id="1675"/>
      <w:bookmarkEnd w:id="1676"/>
      <w:bookmarkEnd w:id="1677"/>
      <w:bookmarkEnd w:id="1678"/>
    </w:p>
    <w:p w14:paraId="0181996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79" w:name="_Toc1551"/>
      <w:bookmarkStart w:id="1680" w:name="_Toc7676"/>
      <w:bookmarkStart w:id="1681" w:name="_Toc16220"/>
      <w:bookmarkStart w:id="1682" w:name="_Toc5503"/>
      <w:bookmarkStart w:id="1683" w:name="_Toc234833214"/>
      <w:r>
        <w:rPr>
          <w:rFonts w:hint="default" w:ascii="Times New Roman" w:hAnsi="Times New Roman" w:eastAsia="黑体" w:cs="Times New Roman"/>
          <w:b w:val="0"/>
          <w:color w:val="auto"/>
          <w:sz w:val="24"/>
          <w:szCs w:val="24"/>
          <w:highlight w:val="none"/>
        </w:rPr>
        <w:t>23.1 承包人索赔的提出</w:t>
      </w:r>
      <w:bookmarkEnd w:id="1679"/>
      <w:bookmarkEnd w:id="1680"/>
      <w:bookmarkEnd w:id="1681"/>
      <w:bookmarkEnd w:id="1682"/>
      <w:bookmarkEnd w:id="1683"/>
    </w:p>
    <w:p w14:paraId="5AB34C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本款第（4）项细化为：</w:t>
      </w:r>
    </w:p>
    <w:p w14:paraId="4BC7FD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（4）在索赔事件影响结束后的28天内，承包人应向监理人递交最终索赔通知书，说明最终要求索赔的追加付款金额和（或）延长的工期，并附必要的记录和证明材料。</w:t>
      </w:r>
    </w:p>
    <w:p w14:paraId="731A134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84" w:name="_Toc234833215"/>
      <w:bookmarkStart w:id="1685" w:name="_Toc16608"/>
      <w:bookmarkStart w:id="1686" w:name="_Toc26842"/>
      <w:bookmarkStart w:id="1687" w:name="_Toc29342"/>
      <w:bookmarkStart w:id="1688" w:name="_Toc12793"/>
      <w:r>
        <w:rPr>
          <w:rFonts w:hint="default" w:ascii="Times New Roman" w:hAnsi="Times New Roman" w:eastAsia="黑体" w:cs="Times New Roman"/>
          <w:b w:val="0"/>
          <w:color w:val="auto"/>
          <w:sz w:val="24"/>
          <w:szCs w:val="24"/>
          <w:highlight w:val="none"/>
        </w:rPr>
        <w:t>23.2 承包人索赔处理程序</w:t>
      </w:r>
      <w:bookmarkEnd w:id="1684"/>
      <w:bookmarkEnd w:id="1685"/>
      <w:bookmarkEnd w:id="1686"/>
      <w:bookmarkEnd w:id="1687"/>
      <w:bookmarkEnd w:id="1688"/>
    </w:p>
    <w:p w14:paraId="1A18CB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本款第（2）项细化为：</w:t>
      </w:r>
    </w:p>
    <w:p w14:paraId="38E6B5D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089D9D99">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89" w:name="_Toc18749"/>
      <w:bookmarkStart w:id="1690" w:name="_Toc30770"/>
      <w:bookmarkStart w:id="1691" w:name="_Toc234833216"/>
      <w:bookmarkStart w:id="1692" w:name="_Toc18247"/>
      <w:bookmarkStart w:id="1693" w:name="_Toc11561"/>
      <w:r>
        <w:rPr>
          <w:rFonts w:hint="default" w:ascii="Times New Roman" w:hAnsi="Times New Roman" w:eastAsia="黑体" w:cs="Times New Roman"/>
          <w:b w:val="0"/>
          <w:color w:val="auto"/>
          <w:sz w:val="28"/>
          <w:szCs w:val="28"/>
          <w:highlight w:val="none"/>
        </w:rPr>
        <w:t>24. 争议的解决</w:t>
      </w:r>
      <w:bookmarkEnd w:id="1689"/>
      <w:bookmarkEnd w:id="1690"/>
      <w:bookmarkEnd w:id="1691"/>
      <w:bookmarkEnd w:id="1692"/>
      <w:bookmarkEnd w:id="1693"/>
    </w:p>
    <w:p w14:paraId="7F6C5E2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94" w:name="_Toc26371"/>
      <w:bookmarkStart w:id="1695" w:name="_Toc29697"/>
      <w:bookmarkStart w:id="1696" w:name="_Toc3289"/>
      <w:bookmarkStart w:id="1697" w:name="_Toc18858"/>
      <w:bookmarkStart w:id="1698" w:name="_Toc234833217"/>
      <w:r>
        <w:rPr>
          <w:rFonts w:hint="default" w:ascii="Times New Roman" w:hAnsi="Times New Roman" w:eastAsia="黑体" w:cs="Times New Roman"/>
          <w:b w:val="0"/>
          <w:color w:val="auto"/>
          <w:sz w:val="24"/>
          <w:szCs w:val="24"/>
          <w:highlight w:val="none"/>
        </w:rPr>
        <w:t>24.3 争议评审</w:t>
      </w:r>
      <w:bookmarkEnd w:id="1694"/>
      <w:bookmarkEnd w:id="1695"/>
      <w:bookmarkEnd w:id="1696"/>
      <w:bookmarkEnd w:id="1697"/>
      <w:bookmarkEnd w:id="1698"/>
    </w:p>
    <w:p w14:paraId="0037B1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第24.3.1项补充：</w:t>
      </w:r>
    </w:p>
    <w:p w14:paraId="3E4556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36202AFE">
      <w:pPr>
        <w:pageBreakBefore w:val="0"/>
        <w:kinsoku/>
        <w:wordWrap w:val="0"/>
        <w:bidi w:val="0"/>
        <w:spacing w:before="240" w:beforeLines="100" w:line="400" w:lineRule="atLeas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本条补充第24.4款、第24.5款（适用于采用仲裁方式最终解决争议的项目）：</w:t>
      </w:r>
    </w:p>
    <w:p w14:paraId="4E65CEB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99" w:name="_Toc22012"/>
      <w:bookmarkStart w:id="1700" w:name="_Toc24990"/>
      <w:bookmarkStart w:id="1701" w:name="_Toc13339"/>
      <w:bookmarkStart w:id="1702" w:name="_Toc234833218"/>
      <w:bookmarkStart w:id="1703" w:name="_Toc32419"/>
      <w:r>
        <w:rPr>
          <w:rFonts w:hint="default" w:ascii="Times New Roman" w:hAnsi="Times New Roman" w:eastAsia="黑体" w:cs="Times New Roman"/>
          <w:b w:val="0"/>
          <w:color w:val="auto"/>
          <w:sz w:val="24"/>
          <w:szCs w:val="24"/>
          <w:highlight w:val="none"/>
        </w:rPr>
        <w:t>24.4 仲裁</w:t>
      </w:r>
      <w:bookmarkEnd w:id="1699"/>
      <w:bookmarkEnd w:id="1700"/>
      <w:bookmarkEnd w:id="1701"/>
      <w:bookmarkEnd w:id="1702"/>
      <w:bookmarkEnd w:id="1703"/>
    </w:p>
    <w:p w14:paraId="5B5974E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（1）对于未能友好解决或未能通过争议评审解决的争议，发包人或承包人任一方均有权提交给第24.1款约定的仲裁委员会仲裁。</w:t>
      </w:r>
    </w:p>
    <w:p w14:paraId="367967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060B0B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（3）仲裁裁决是终局性的并对发包人和承包人双方具有约束力。</w:t>
      </w:r>
    </w:p>
    <w:p w14:paraId="2B8878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（4）全部仲裁费用应由败诉方承担；或按仲裁委员会裁决的比例分担。</w:t>
      </w:r>
    </w:p>
    <w:p w14:paraId="3540E75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04" w:name="_Toc9071"/>
      <w:bookmarkStart w:id="1705" w:name="_Toc20967"/>
      <w:bookmarkStart w:id="1706" w:name="_Toc30469"/>
      <w:bookmarkStart w:id="1707" w:name="_Toc234833219"/>
      <w:bookmarkStart w:id="1708" w:name="_Toc2028"/>
      <w:r>
        <w:rPr>
          <w:rFonts w:hint="default" w:ascii="Times New Roman" w:hAnsi="Times New Roman" w:eastAsia="黑体" w:cs="Times New Roman"/>
          <w:b w:val="0"/>
          <w:color w:val="auto"/>
          <w:sz w:val="24"/>
          <w:szCs w:val="24"/>
          <w:highlight w:val="none"/>
        </w:rPr>
        <w:t>24.5 仲裁的执行</w:t>
      </w:r>
      <w:bookmarkEnd w:id="1704"/>
      <w:bookmarkEnd w:id="1705"/>
      <w:bookmarkEnd w:id="1706"/>
      <w:bookmarkEnd w:id="1707"/>
      <w:bookmarkEnd w:id="1708"/>
    </w:p>
    <w:p w14:paraId="1BBF081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（1）任何一方不履行仲裁机构的裁决的，对方可以向有管辖权的人民法院申请执行。</w:t>
      </w:r>
    </w:p>
    <w:p w14:paraId="261738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0BF159E0">
      <w:pPr>
        <w:pageBreakBefore w:val="0"/>
        <w:kinsoku/>
        <w:wordWrap w:val="0"/>
        <w:bidi w:val="0"/>
        <w:spacing w:before="240" w:after="240" w:line="380" w:lineRule="atLeast"/>
        <w:jc w:val="center"/>
        <w:outlineLvl w:val="9"/>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4"/>
          <w:highlight w:val="none"/>
        </w:rPr>
        <w:br w:type="page"/>
      </w:r>
      <w:bookmarkStart w:id="1709" w:name="_Toc3230"/>
      <w:bookmarkStart w:id="1710" w:name="_Toc234833220"/>
      <w:bookmarkStart w:id="1711" w:name="_Toc10610"/>
      <w:r>
        <w:rPr>
          <w:rFonts w:hint="default" w:ascii="Times New Roman" w:hAnsi="Times New Roman" w:eastAsia="黑体" w:cs="Times New Roman"/>
          <w:b w:val="0"/>
          <w:color w:val="auto"/>
          <w:sz w:val="32"/>
          <w:szCs w:val="32"/>
          <w:highlight w:val="none"/>
        </w:rPr>
        <w:t>B. 项目专用合同条款</w:t>
      </w:r>
      <w:bookmarkEnd w:id="1709"/>
      <w:bookmarkEnd w:id="1710"/>
      <w:bookmarkEnd w:id="1711"/>
    </w:p>
    <w:p w14:paraId="46251C5F">
      <w:pPr>
        <w:pageBreakBefore w:val="0"/>
        <w:kinsoku/>
        <w:wordWrap w:val="0"/>
        <w:bidi w:val="0"/>
        <w:spacing w:line="440" w:lineRule="exact"/>
        <w:rPr>
          <w:rFonts w:hint="default" w:ascii="Times New Roman" w:hAnsi="Times New Roman" w:eastAsia="黑体" w:cs="Times New Roman"/>
          <w:color w:val="auto"/>
          <w:sz w:val="27"/>
          <w:szCs w:val="27"/>
          <w:highlight w:val="none"/>
        </w:rPr>
      </w:pPr>
    </w:p>
    <w:p w14:paraId="73610985">
      <w:pPr>
        <w:pStyle w:val="17"/>
        <w:pageBreakBefore w:val="0"/>
        <w:kinsoku/>
        <w:wordWrap w:val="0"/>
        <w:bidi w:val="0"/>
        <w:snapToGrid w:val="0"/>
        <w:spacing w:line="400" w:lineRule="atLeast"/>
        <w:ind w:left="0" w:leftChars="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  明：</w:t>
      </w:r>
    </w:p>
    <w:p w14:paraId="45FEAB90">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1.招标人在根据《</w:t>
      </w:r>
      <w:r>
        <w:rPr>
          <w:rFonts w:hint="default" w:ascii="Times New Roman" w:hAnsi="Times New Roman" w:eastAsia="楷体_GB2312" w:cs="Times New Roman"/>
          <w:color w:val="auto"/>
          <w:sz w:val="24"/>
          <w:highlight w:val="none"/>
          <w:lang w:val="en-US" w:eastAsia="zh-CN"/>
        </w:rPr>
        <w:t>标准文件</w:t>
      </w:r>
      <w:r>
        <w:rPr>
          <w:rFonts w:hint="default" w:ascii="Times New Roman" w:hAnsi="Times New Roman" w:eastAsia="楷体_GB2312" w:cs="Times New Roman"/>
          <w:color w:val="auto"/>
          <w:sz w:val="24"/>
          <w:highlight w:val="none"/>
        </w:rPr>
        <w:t>》编制项目招标文件中的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时，可根据招标项目的具体特点和实际需要，对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进行补充和细化，除</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明确</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可作出不同约定以及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明确</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可作出不同约定外，补充和细化的内容不得与</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强制性规定相抵触。同时，补充、细化或约定的内容，不得违反法律、行政法规的强制性规定和平等、自愿、公平和诚实信用原则。</w:t>
      </w:r>
    </w:p>
    <w:p w14:paraId="6D6AA819">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2.项目专用合同条款的编号应与通用合同条款和公路工程专用合同条款一致。</w:t>
      </w:r>
    </w:p>
    <w:p w14:paraId="65AD9544">
      <w:pPr>
        <w:pStyle w:val="17"/>
        <w:pageBreakBefore w:val="0"/>
        <w:kinsoku/>
        <w:wordWrap w:val="0"/>
        <w:bidi w:val="0"/>
        <w:snapToGrid w:val="0"/>
        <w:spacing w:line="400" w:lineRule="atLeast"/>
        <w:ind w:left="0" w:leftChars="0" w:firstLine="720" w:firstLineChars="300"/>
        <w:outlineLvl w:val="9"/>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3.项目专用合同条款可对下列内容进行补充和细化：</w:t>
      </w:r>
    </w:p>
    <w:p w14:paraId="1A7E34E9">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（1）</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中明确指出</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进行修改的内容（在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应按合同约定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应按专用合同条款约定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除合同另有约定外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除专用合同条款另有约定外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在专用合同条款中约定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等多种文字形式表达）；</w:t>
      </w:r>
    </w:p>
    <w:p w14:paraId="67FEB3E0">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（2）</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中明确指出</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进行修改的内容（在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除项目专用合同条款另有约定外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项目专用合同条款可能约定的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项目专用合同条款约定的其他情形</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等多种文字形式表达）。</w:t>
      </w:r>
    </w:p>
    <w:p w14:paraId="227A4894">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（3）其他需要补充、细化的内容。</w:t>
      </w:r>
    </w:p>
    <w:p w14:paraId="7E75D16B">
      <w:pPr>
        <w:pStyle w:val="17"/>
        <w:pageBreakBefore w:val="0"/>
        <w:kinsoku/>
        <w:wordWrap w:val="0"/>
        <w:bidi w:val="0"/>
        <w:snapToGrid w:val="0"/>
        <w:spacing w:line="400" w:lineRule="atLeast"/>
        <w:ind w:left="0" w:leftChars="0" w:firstLine="720" w:firstLineChars="300"/>
        <w:rPr>
          <w:rFonts w:hint="default" w:ascii="Times New Roman" w:hAnsi="Times New Roman" w:eastAsia="黑体" w:cs="Times New Roman"/>
          <w:color w:val="auto"/>
          <w:sz w:val="24"/>
          <w:highlight w:val="none"/>
        </w:rPr>
      </w:pPr>
    </w:p>
    <w:p w14:paraId="2002AAE2">
      <w:pPr>
        <w:pageBreakBefore w:val="0"/>
        <w:kinsoku/>
        <w:wordWrap w:val="0"/>
        <w:bidi w:val="0"/>
        <w:spacing w:before="240" w:after="240" w:line="380" w:lineRule="atLeast"/>
        <w:jc w:val="center"/>
        <w:outlineLvl w:val="9"/>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8"/>
          <w:highlight w:val="none"/>
        </w:rPr>
        <w:br w:type="page"/>
      </w:r>
      <w:bookmarkStart w:id="1712" w:name="_Toc30237"/>
      <w:bookmarkStart w:id="1713" w:name="_Toc7284"/>
      <w:bookmarkStart w:id="1714" w:name="_Toc21057"/>
      <w:bookmarkStart w:id="1715" w:name="_Toc234833221"/>
      <w:r>
        <w:rPr>
          <w:rFonts w:hint="default" w:ascii="Times New Roman" w:hAnsi="Times New Roman" w:eastAsia="黑体" w:cs="Times New Roman"/>
          <w:b w:val="0"/>
          <w:color w:val="auto"/>
          <w:sz w:val="32"/>
          <w:szCs w:val="32"/>
          <w:highlight w:val="none"/>
        </w:rPr>
        <w:t>项目专用合同条款数据表</w:t>
      </w:r>
      <w:bookmarkEnd w:id="1712"/>
      <w:bookmarkEnd w:id="1713"/>
      <w:bookmarkEnd w:id="1714"/>
      <w:bookmarkEnd w:id="1715"/>
    </w:p>
    <w:p w14:paraId="5F56DA33">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本数据表是项目专用合同条款中适用于本项目的信息和数据的归纳与提示，是项目专用合同条款的组成部分。第九章</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的投标函附录中的数据（供投标人确认）与本表所列有重复。编写招标文件的单位应仔细校核，不使数据出现差错或不一致。</w:t>
      </w:r>
    </w:p>
    <w:p w14:paraId="0B8EC5F7">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p>
    <w:tbl>
      <w:tblPr>
        <w:tblStyle w:val="93"/>
        <w:tblW w:w="88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936"/>
        <w:gridCol w:w="7226"/>
      </w:tblGrid>
      <w:tr w14:paraId="02CB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tblHeader/>
          <w:jc w:val="center"/>
        </w:trPr>
        <w:tc>
          <w:tcPr>
            <w:tcW w:w="657" w:type="dxa"/>
            <w:tcBorders>
              <w:left w:val="single" w:color="000000" w:sz="6" w:space="0"/>
            </w:tcBorders>
            <w:vAlign w:val="center"/>
          </w:tcPr>
          <w:p w14:paraId="21262F8F">
            <w:pPr>
              <w:snapToGrid w:val="0"/>
              <w:spacing w:before="134" w:line="240" w:lineRule="auto"/>
              <w:ind w:left="0" w:leftChars="0" w:right="0" w:rightChars="0"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pacing w:val="5"/>
                <w:sz w:val="21"/>
                <w:szCs w:val="21"/>
                <w:highlight w:val="none"/>
              </w:rPr>
              <w:t>序</w:t>
            </w:r>
            <w:r>
              <w:rPr>
                <w:rFonts w:hint="eastAsia" w:ascii="宋体" w:hAnsi="宋体" w:eastAsia="宋体" w:cs="宋体"/>
                <w:b/>
                <w:color w:val="auto"/>
                <w:spacing w:val="4"/>
                <w:sz w:val="21"/>
                <w:szCs w:val="21"/>
                <w:highlight w:val="none"/>
              </w:rPr>
              <w:t>号</w:t>
            </w:r>
          </w:p>
        </w:tc>
        <w:tc>
          <w:tcPr>
            <w:tcW w:w="936" w:type="dxa"/>
            <w:vAlign w:val="center"/>
          </w:tcPr>
          <w:p w14:paraId="1720952B">
            <w:pPr>
              <w:snapToGrid w:val="0"/>
              <w:spacing w:before="134" w:line="240" w:lineRule="auto"/>
              <w:ind w:left="0" w:leftChars="0" w:right="0" w:rightChars="0"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pacing w:val="7"/>
                <w:sz w:val="21"/>
                <w:szCs w:val="21"/>
                <w:highlight w:val="none"/>
              </w:rPr>
              <w:t>条</w:t>
            </w:r>
            <w:r>
              <w:rPr>
                <w:rFonts w:hint="eastAsia" w:ascii="宋体" w:hAnsi="宋体" w:eastAsia="宋体" w:cs="宋体"/>
                <w:b/>
                <w:color w:val="auto"/>
                <w:spacing w:val="6"/>
                <w:sz w:val="21"/>
                <w:szCs w:val="21"/>
                <w:highlight w:val="none"/>
              </w:rPr>
              <w:t>目号</w:t>
            </w:r>
          </w:p>
        </w:tc>
        <w:tc>
          <w:tcPr>
            <w:tcW w:w="7226" w:type="dxa"/>
            <w:tcBorders>
              <w:right w:val="single" w:color="000000" w:sz="6" w:space="0"/>
            </w:tcBorders>
            <w:vAlign w:val="center"/>
          </w:tcPr>
          <w:p w14:paraId="4BFCAB44">
            <w:pPr>
              <w:snapToGrid w:val="0"/>
              <w:spacing w:before="134" w:line="240" w:lineRule="auto"/>
              <w:ind w:left="0" w:leftChars="0" w:right="0" w:rightChars="0"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pacing w:val="8"/>
                <w:sz w:val="21"/>
                <w:szCs w:val="21"/>
                <w:highlight w:val="none"/>
              </w:rPr>
              <w:t>信息或数据</w:t>
            </w:r>
          </w:p>
        </w:tc>
      </w:tr>
      <w:tr w14:paraId="43B51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D4E7892">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36" w:type="dxa"/>
            <w:vAlign w:val="center"/>
          </w:tcPr>
          <w:p w14:paraId="404D0480">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w:t>
            </w:r>
            <w:r>
              <w:rPr>
                <w:rFonts w:hint="eastAsia" w:ascii="宋体" w:hAnsi="宋体" w:eastAsia="宋体" w:cs="宋体"/>
                <w:color w:val="auto"/>
                <w:sz w:val="21"/>
                <w:szCs w:val="21"/>
                <w:highlight w:val="none"/>
              </w:rPr>
              <w:t>1.2.2</w:t>
            </w:r>
          </w:p>
        </w:tc>
        <w:tc>
          <w:tcPr>
            <w:tcW w:w="7226" w:type="dxa"/>
            <w:tcBorders>
              <w:right w:val="single" w:color="000000" w:sz="6" w:space="0"/>
            </w:tcBorders>
            <w:vAlign w:val="center"/>
          </w:tcPr>
          <w:p w14:paraId="5D3D6762">
            <w:pPr>
              <w:snapToGrid w:val="0"/>
              <w:spacing w:before="13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发</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8"/>
                <w:sz w:val="21"/>
                <w:szCs w:val="21"/>
                <w:highlight w:val="none"/>
              </w:rPr>
              <w:t>包 人：</w:t>
            </w:r>
            <w:r>
              <w:rPr>
                <w:rFonts w:hint="eastAsia" w:ascii="宋体" w:hAnsi="宋体" w:eastAsia="宋体" w:cs="宋体"/>
                <w:color w:val="auto"/>
                <w:spacing w:val="8"/>
                <w:sz w:val="21"/>
                <w:szCs w:val="21"/>
                <w:highlight w:val="none"/>
                <w:u w:val="single" w:color="auto"/>
                <w:lang w:eastAsia="zh-CN"/>
              </w:rPr>
              <w:t>大石桥市交通运输事务中心</w:t>
            </w:r>
            <w:r>
              <w:rPr>
                <w:rFonts w:hint="eastAsia" w:ascii="宋体" w:hAnsi="宋体" w:eastAsia="宋体" w:cs="宋体"/>
                <w:color w:val="auto"/>
                <w:sz w:val="21"/>
                <w:szCs w:val="21"/>
                <w:highlight w:val="none"/>
                <w:u w:val="single" w:color="auto"/>
              </w:rPr>
              <w:t xml:space="preserve"> </w:t>
            </w:r>
          </w:p>
          <w:p w14:paraId="3678A9E1">
            <w:pPr>
              <w:snapToGrid w:val="0"/>
              <w:spacing w:before="153" w:line="240" w:lineRule="auto"/>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rPr>
              <w:t>地</w:t>
            </w:r>
            <w:r>
              <w:rPr>
                <w:rFonts w:hint="eastAsia" w:ascii="宋体" w:hAnsi="宋体" w:eastAsia="宋体" w:cs="宋体"/>
                <w:color w:val="auto"/>
                <w:spacing w:val="5"/>
                <w:sz w:val="21"/>
                <w:szCs w:val="21"/>
                <w:highlight w:val="none"/>
              </w:rPr>
              <w:t xml:space="preserve">    址：</w:t>
            </w:r>
            <w:r>
              <w:rPr>
                <w:rFonts w:hint="eastAsia" w:ascii="宋体" w:hAnsi="宋体" w:eastAsia="宋体" w:cs="宋体"/>
                <w:color w:val="auto"/>
                <w:spacing w:val="5"/>
                <w:sz w:val="21"/>
                <w:szCs w:val="21"/>
                <w:highlight w:val="none"/>
                <w:u w:val="single" w:color="auto"/>
                <w:lang w:eastAsia="zh-CN"/>
              </w:rPr>
              <w:t>大石桥市哈大中路1号</w:t>
            </w:r>
          </w:p>
        </w:tc>
      </w:tr>
      <w:tr w14:paraId="1F60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9040CEF">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36" w:type="dxa"/>
            <w:vAlign w:val="center"/>
          </w:tcPr>
          <w:p w14:paraId="383B7085">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w:t>
            </w:r>
            <w:r>
              <w:rPr>
                <w:rFonts w:hint="eastAsia" w:ascii="宋体" w:hAnsi="宋体" w:eastAsia="宋体" w:cs="宋体"/>
                <w:color w:val="auto"/>
                <w:sz w:val="21"/>
                <w:szCs w:val="21"/>
                <w:highlight w:val="none"/>
              </w:rPr>
              <w:t>1.2.6</w:t>
            </w:r>
          </w:p>
        </w:tc>
        <w:tc>
          <w:tcPr>
            <w:tcW w:w="7226" w:type="dxa"/>
            <w:tcBorders>
              <w:right w:val="single" w:color="000000" w:sz="6" w:space="0"/>
            </w:tcBorders>
            <w:vAlign w:val="center"/>
          </w:tcPr>
          <w:p w14:paraId="361689BC">
            <w:pPr>
              <w:snapToGrid w:val="0"/>
              <w:spacing w:before="137"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监</w:t>
            </w:r>
            <w:r>
              <w:rPr>
                <w:rFonts w:hint="eastAsia" w:ascii="宋体" w:hAnsi="宋体" w:eastAsia="宋体" w:cs="宋体"/>
                <w:color w:val="auto"/>
                <w:spacing w:val="5"/>
                <w:sz w:val="21"/>
                <w:szCs w:val="21"/>
                <w:highlight w:val="none"/>
              </w:rPr>
              <w:t xml:space="preserve"> 理 人：</w:t>
            </w:r>
          </w:p>
          <w:p w14:paraId="79013F11">
            <w:pPr>
              <w:snapToGrid w:val="0"/>
              <w:spacing w:before="150"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 xml:space="preserve">地    址：                  </w:t>
            </w:r>
            <w:r>
              <w:rPr>
                <w:rFonts w:hint="eastAsia" w:ascii="宋体" w:hAnsi="宋体" w:eastAsia="宋体" w:cs="宋体"/>
                <w:color w:val="auto"/>
                <w:sz w:val="21"/>
                <w:szCs w:val="21"/>
                <w:highlight w:val="none"/>
              </w:rPr>
              <w:t xml:space="preserve">   邮政编码：</w:t>
            </w:r>
          </w:p>
          <w:p w14:paraId="107630B9">
            <w:pPr>
              <w:snapToGrid w:val="0"/>
              <w:spacing w:before="154"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4"/>
                <w:sz w:val="21"/>
                <w:szCs w:val="21"/>
                <w:highlight w:val="none"/>
              </w:rPr>
              <w:t>(</w:t>
            </w:r>
            <w:r>
              <w:rPr>
                <w:rFonts w:hint="eastAsia" w:ascii="宋体" w:hAnsi="宋体" w:eastAsia="宋体" w:cs="宋体"/>
                <w:color w:val="auto"/>
                <w:spacing w:val="14"/>
                <w:sz w:val="21"/>
                <w:szCs w:val="21"/>
                <w:highlight w:val="none"/>
              </w:rPr>
              <w:t>发</w:t>
            </w:r>
            <w:r>
              <w:rPr>
                <w:rFonts w:hint="eastAsia" w:ascii="宋体" w:hAnsi="宋体" w:eastAsia="宋体" w:cs="宋体"/>
                <w:color w:val="auto"/>
                <w:spacing w:val="12"/>
                <w:sz w:val="21"/>
                <w:szCs w:val="21"/>
                <w:highlight w:val="none"/>
              </w:rPr>
              <w:t>包人将在签订合同协议书后，将上述信息书面通知承包人)</w:t>
            </w:r>
          </w:p>
        </w:tc>
      </w:tr>
      <w:tr w14:paraId="2806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1BBAAC06">
            <w:pPr>
              <w:snapToGrid w:val="0"/>
              <w:spacing w:before="131"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36" w:type="dxa"/>
            <w:vAlign w:val="center"/>
          </w:tcPr>
          <w:p w14:paraId="5AE8D278">
            <w:pPr>
              <w:snapToGrid w:val="0"/>
              <w:spacing w:before="131"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1.1.3.14</w:t>
            </w:r>
          </w:p>
        </w:tc>
        <w:tc>
          <w:tcPr>
            <w:tcW w:w="7226" w:type="dxa"/>
            <w:tcBorders>
              <w:right w:val="single" w:color="000000" w:sz="6" w:space="0"/>
            </w:tcBorders>
            <w:vAlign w:val="center"/>
          </w:tcPr>
          <w:p w14:paraId="3DEF7AD2">
            <w:pPr>
              <w:snapToGrid w:val="0"/>
              <w:spacing w:before="13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本</w:t>
            </w:r>
            <w:r>
              <w:rPr>
                <w:rFonts w:hint="eastAsia" w:ascii="宋体" w:hAnsi="宋体" w:eastAsia="宋体" w:cs="宋体"/>
                <w:color w:val="auto"/>
                <w:spacing w:val="10"/>
                <w:sz w:val="21"/>
                <w:szCs w:val="21"/>
                <w:highlight w:val="none"/>
              </w:rPr>
              <w:t>工程的主体和关键性工作是指：</w:t>
            </w:r>
            <w:r>
              <w:rPr>
                <w:rFonts w:hint="eastAsia" w:ascii="宋体" w:hAnsi="宋体" w:eastAsia="宋体" w:cs="宋体"/>
                <w:color w:val="auto"/>
                <w:spacing w:val="10"/>
                <w:sz w:val="21"/>
                <w:szCs w:val="21"/>
                <w:highlight w:val="none"/>
                <w:u w:val="single" w:color="auto"/>
              </w:rPr>
              <w:t>路面维修改造工程。</w:t>
            </w:r>
          </w:p>
        </w:tc>
      </w:tr>
      <w:tr w14:paraId="4E03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755531E">
            <w:pPr>
              <w:snapToGrid w:val="0"/>
              <w:spacing w:before="129"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w:t>
            </w:r>
          </w:p>
        </w:tc>
        <w:tc>
          <w:tcPr>
            <w:tcW w:w="936" w:type="dxa"/>
            <w:vAlign w:val="center"/>
          </w:tcPr>
          <w:p w14:paraId="76110DD6">
            <w:pPr>
              <w:snapToGrid w:val="0"/>
              <w:spacing w:before="129"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w:t>
            </w:r>
            <w:r>
              <w:rPr>
                <w:rFonts w:hint="eastAsia" w:ascii="宋体" w:hAnsi="宋体" w:eastAsia="宋体" w:cs="宋体"/>
                <w:color w:val="auto"/>
                <w:sz w:val="21"/>
                <w:szCs w:val="21"/>
                <w:highlight w:val="none"/>
              </w:rPr>
              <w:t>1.4.5</w:t>
            </w:r>
          </w:p>
        </w:tc>
        <w:tc>
          <w:tcPr>
            <w:tcW w:w="7226" w:type="dxa"/>
            <w:tcBorders>
              <w:right w:val="single" w:color="000000" w:sz="6" w:space="0"/>
            </w:tcBorders>
            <w:vAlign w:val="center"/>
          </w:tcPr>
          <w:p w14:paraId="705EBBE5">
            <w:pPr>
              <w:snapToGrid w:val="0"/>
              <w:spacing w:before="13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缺陷责任</w:t>
            </w:r>
            <w:r>
              <w:rPr>
                <w:rFonts w:hint="eastAsia" w:ascii="宋体" w:hAnsi="宋体" w:eastAsia="宋体" w:cs="宋体"/>
                <w:color w:val="auto"/>
                <w:spacing w:val="5"/>
                <w:sz w:val="21"/>
                <w:szCs w:val="21"/>
                <w:highlight w:val="none"/>
              </w:rPr>
              <w:t>期</w:t>
            </w:r>
            <w:r>
              <w:rPr>
                <w:rFonts w:hint="eastAsia" w:ascii="宋体" w:hAnsi="宋体" w:eastAsia="宋体" w:cs="宋体"/>
                <w:color w:val="auto"/>
                <w:spacing w:val="4"/>
                <w:sz w:val="21"/>
                <w:szCs w:val="21"/>
                <w:highlight w:val="none"/>
              </w:rPr>
              <w:t>： 自实际交工验收合格之日起</w:t>
            </w:r>
            <w:r>
              <w:rPr>
                <w:rFonts w:hint="eastAsia" w:ascii="宋体" w:hAnsi="宋体" w:eastAsia="宋体" w:cs="宋体"/>
                <w:color w:val="auto"/>
                <w:sz w:val="21"/>
                <w:szCs w:val="21"/>
                <w:highlight w:val="none"/>
              </w:rPr>
              <w:t>计算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Style w:val="47"/>
                <w:rFonts w:hint="eastAsia" w:ascii="宋体" w:hAnsi="宋体" w:eastAsia="宋体" w:cs="宋体"/>
                <w:color w:val="auto"/>
                <w:sz w:val="21"/>
                <w:szCs w:val="21"/>
                <w:highlight w:val="none"/>
              </w:rPr>
              <w:footnoteReference w:id="41"/>
            </w:r>
          </w:p>
        </w:tc>
      </w:tr>
      <w:tr w14:paraId="582C0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3C04F79A">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36" w:type="dxa"/>
            <w:vAlign w:val="center"/>
          </w:tcPr>
          <w:p w14:paraId="501C6CEB">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w:t>
            </w:r>
            <w:r>
              <w:rPr>
                <w:rFonts w:hint="eastAsia" w:ascii="宋体" w:hAnsi="宋体" w:eastAsia="宋体" w:cs="宋体"/>
                <w:color w:val="auto"/>
                <w:spacing w:val="-1"/>
                <w:sz w:val="21"/>
                <w:szCs w:val="21"/>
                <w:highlight w:val="none"/>
              </w:rPr>
              <w:t>.6.3</w:t>
            </w:r>
          </w:p>
        </w:tc>
        <w:tc>
          <w:tcPr>
            <w:tcW w:w="7226" w:type="dxa"/>
            <w:tcBorders>
              <w:right w:val="single" w:color="000000" w:sz="6" w:space="0"/>
            </w:tcBorders>
            <w:vAlign w:val="center"/>
          </w:tcPr>
          <w:p w14:paraId="02B0CBAC">
            <w:pPr>
              <w:snapToGrid w:val="0"/>
              <w:spacing w:before="15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图</w:t>
            </w:r>
            <w:r>
              <w:rPr>
                <w:rFonts w:hint="eastAsia" w:ascii="宋体" w:hAnsi="宋体" w:eastAsia="宋体" w:cs="宋体"/>
                <w:color w:val="auto"/>
                <w:spacing w:val="16"/>
                <w:sz w:val="21"/>
                <w:szCs w:val="21"/>
                <w:highlight w:val="none"/>
              </w:rPr>
              <w:t>纸</w:t>
            </w:r>
            <w:r>
              <w:rPr>
                <w:rFonts w:hint="eastAsia" w:ascii="宋体" w:hAnsi="宋体" w:eastAsia="宋体" w:cs="宋体"/>
                <w:color w:val="auto"/>
                <w:spacing w:val="11"/>
                <w:sz w:val="21"/>
                <w:szCs w:val="21"/>
                <w:highlight w:val="none"/>
              </w:rPr>
              <w:t>需要修改和补充的，应由监理人取得发包人同意后，在该工程或工程相应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部</w:t>
            </w:r>
            <w:r>
              <w:rPr>
                <w:rFonts w:hint="eastAsia" w:ascii="宋体" w:hAnsi="宋体" w:eastAsia="宋体" w:cs="宋体"/>
                <w:color w:val="auto"/>
                <w:spacing w:val="6"/>
                <w:sz w:val="21"/>
                <w:szCs w:val="21"/>
                <w:highlight w:val="none"/>
              </w:rPr>
              <w:t>位施工前</w:t>
            </w:r>
            <w:r>
              <w:rPr>
                <w:rFonts w:hint="eastAsia" w:ascii="宋体" w:hAnsi="宋体" w:eastAsia="宋体" w:cs="宋体"/>
                <w:color w:val="auto"/>
                <w:spacing w:val="6"/>
                <w:sz w:val="21"/>
                <w:szCs w:val="21"/>
                <w:highlight w:val="none"/>
                <w:u w:val="single" w:color="auto"/>
              </w:rPr>
              <w:t xml:space="preserve">    7    </w:t>
            </w:r>
            <w:r>
              <w:rPr>
                <w:rFonts w:hint="eastAsia" w:ascii="宋体" w:hAnsi="宋体" w:eastAsia="宋体" w:cs="宋体"/>
                <w:color w:val="auto"/>
                <w:spacing w:val="6"/>
                <w:sz w:val="21"/>
                <w:szCs w:val="21"/>
                <w:highlight w:val="none"/>
              </w:rPr>
              <w:t xml:space="preserve"> 天签发图纸修改图给承包人。承包人应按修改或补充 (新增减工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程) 后的图纸施工。</w:t>
            </w:r>
          </w:p>
          <w:p w14:paraId="36C2F89F">
            <w:pPr>
              <w:snapToGrid w:val="0"/>
              <w:spacing w:before="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在</w:t>
            </w:r>
            <w:r>
              <w:rPr>
                <w:rFonts w:hint="eastAsia" w:ascii="宋体" w:hAnsi="宋体" w:eastAsia="宋体" w:cs="宋体"/>
                <w:color w:val="auto"/>
                <w:spacing w:val="12"/>
                <w:sz w:val="21"/>
                <w:szCs w:val="21"/>
                <w:highlight w:val="none"/>
              </w:rPr>
              <w:t>没有发包人及监理人共同批准的前提下，承包人不得对施工图的任何部分进</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行修改，否则按承包人违约处理，并由承包人承担由此产生的一切后果和经济</w:t>
            </w:r>
            <w:r>
              <w:rPr>
                <w:rFonts w:hint="eastAsia" w:ascii="宋体" w:hAnsi="宋体" w:eastAsia="宋体" w:cs="宋体"/>
                <w:color w:val="auto"/>
                <w:spacing w:val="10"/>
                <w:sz w:val="21"/>
                <w:szCs w:val="21"/>
                <w:highlight w:val="none"/>
              </w:rPr>
              <w:t>责</w:t>
            </w:r>
          </w:p>
          <w:p w14:paraId="44582A52">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任</w:t>
            </w:r>
            <w:r>
              <w:rPr>
                <w:rFonts w:hint="eastAsia" w:ascii="宋体" w:hAnsi="宋体" w:eastAsia="宋体" w:cs="宋体"/>
                <w:color w:val="auto"/>
                <w:sz w:val="21"/>
                <w:szCs w:val="21"/>
                <w:highlight w:val="none"/>
              </w:rPr>
              <w:t>。</w:t>
            </w:r>
          </w:p>
        </w:tc>
      </w:tr>
      <w:tr w14:paraId="17CF1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E894A95">
            <w:pPr>
              <w:snapToGrid w:val="0"/>
              <w:spacing w:before="131"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36" w:type="dxa"/>
            <w:vAlign w:val="center"/>
          </w:tcPr>
          <w:p w14:paraId="278F167B">
            <w:pPr>
              <w:snapToGrid w:val="0"/>
              <w:spacing w:before="131"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w:t>
            </w:r>
            <w:r>
              <w:rPr>
                <w:rFonts w:hint="eastAsia" w:ascii="宋体" w:hAnsi="宋体" w:eastAsia="宋体" w:cs="宋体"/>
                <w:color w:val="auto"/>
                <w:spacing w:val="-1"/>
                <w:sz w:val="21"/>
                <w:szCs w:val="21"/>
                <w:highlight w:val="none"/>
              </w:rPr>
              <w:t>.7.2</w:t>
            </w:r>
          </w:p>
        </w:tc>
        <w:tc>
          <w:tcPr>
            <w:tcW w:w="7226" w:type="dxa"/>
            <w:tcBorders>
              <w:right w:val="single" w:color="000000" w:sz="6" w:space="0"/>
            </w:tcBorders>
            <w:vAlign w:val="center"/>
          </w:tcPr>
          <w:p w14:paraId="36CCE454">
            <w:pPr>
              <w:snapToGrid w:val="0"/>
              <w:spacing w:before="14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来往函件送达的期限：</w:t>
            </w:r>
            <w:r>
              <w:rPr>
                <w:rFonts w:hint="eastAsia" w:ascii="宋体" w:hAnsi="宋体" w:eastAsia="宋体" w:cs="宋体"/>
                <w:color w:val="auto"/>
                <w:spacing w:val="6"/>
                <w:sz w:val="21"/>
                <w:szCs w:val="21"/>
                <w:highlight w:val="none"/>
                <w:u w:val="single" w:color="auto"/>
              </w:rPr>
              <w:t xml:space="preserve"> 函件发出 24 小时</w:t>
            </w:r>
            <w:r>
              <w:rPr>
                <w:rFonts w:hint="eastAsia" w:ascii="宋体" w:hAnsi="宋体" w:eastAsia="宋体" w:cs="宋体"/>
                <w:color w:val="auto"/>
                <w:spacing w:val="3"/>
                <w:sz w:val="21"/>
                <w:szCs w:val="21"/>
                <w:highlight w:val="none"/>
                <w:u w:val="single" w:color="auto"/>
              </w:rPr>
              <w:t>内</w:t>
            </w:r>
            <w:r>
              <w:rPr>
                <w:rFonts w:hint="eastAsia" w:ascii="宋体" w:hAnsi="宋体" w:eastAsia="宋体" w:cs="宋体"/>
                <w:color w:val="auto"/>
                <w:sz w:val="21"/>
                <w:szCs w:val="21"/>
                <w:highlight w:val="none"/>
                <w:u w:val="single" w:color="auto"/>
              </w:rPr>
              <w:t xml:space="preserve"> </w:t>
            </w:r>
          </w:p>
        </w:tc>
      </w:tr>
      <w:tr w14:paraId="1CF6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CB55419">
            <w:pPr>
              <w:snapToGrid w:val="0"/>
              <w:spacing w:before="135"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936" w:type="dxa"/>
            <w:vAlign w:val="center"/>
          </w:tcPr>
          <w:p w14:paraId="28CFF5B6">
            <w:pPr>
              <w:snapToGrid w:val="0"/>
              <w:spacing w:before="132"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2.6</w:t>
            </w:r>
          </w:p>
        </w:tc>
        <w:tc>
          <w:tcPr>
            <w:tcW w:w="7226" w:type="dxa"/>
            <w:tcBorders>
              <w:right w:val="single" w:color="000000" w:sz="6" w:space="0"/>
            </w:tcBorders>
            <w:vAlign w:val="center"/>
          </w:tcPr>
          <w:p w14:paraId="6F4CC32F">
            <w:pPr>
              <w:snapToGrid w:val="0"/>
              <w:spacing w:before="14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本工程资金来源省补资金和地方政府配套资金</w:t>
            </w:r>
            <w:r>
              <w:rPr>
                <w:rFonts w:hint="eastAsia" w:ascii="宋体" w:hAnsi="宋体" w:eastAsia="宋体" w:cs="宋体"/>
                <w:color w:val="auto"/>
                <w:spacing w:val="8"/>
                <w:sz w:val="21"/>
                <w:szCs w:val="21"/>
                <w:highlight w:val="none"/>
              </w:rPr>
              <w:t>。</w:t>
            </w:r>
          </w:p>
        </w:tc>
      </w:tr>
      <w:tr w14:paraId="75D2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3FE9BAE0">
            <w:pPr>
              <w:snapToGrid w:val="0"/>
              <w:spacing w:before="58"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936" w:type="dxa"/>
            <w:vAlign w:val="center"/>
          </w:tcPr>
          <w:p w14:paraId="0B69FE96">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3.1.1</w:t>
            </w:r>
          </w:p>
        </w:tc>
        <w:tc>
          <w:tcPr>
            <w:tcW w:w="7226" w:type="dxa"/>
            <w:tcBorders>
              <w:right w:val="single" w:color="000000" w:sz="6" w:space="0"/>
            </w:tcBorders>
            <w:vAlign w:val="center"/>
          </w:tcPr>
          <w:p w14:paraId="66312A43">
            <w:pPr>
              <w:snapToGrid w:val="0"/>
              <w:spacing w:before="13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监</w:t>
            </w:r>
            <w:r>
              <w:rPr>
                <w:rFonts w:hint="eastAsia" w:ascii="宋体" w:hAnsi="宋体" w:eastAsia="宋体" w:cs="宋体"/>
                <w:color w:val="auto"/>
                <w:spacing w:val="9"/>
                <w:sz w:val="21"/>
                <w:szCs w:val="21"/>
                <w:highlight w:val="none"/>
              </w:rPr>
              <w:t>理人在行使下列权力前需要经发包人事先批准：</w:t>
            </w:r>
          </w:p>
          <w:p w14:paraId="792129D8">
            <w:pPr>
              <w:snapToGrid w:val="0"/>
              <w:spacing w:before="153"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(6</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4"/>
                <w:sz w:val="21"/>
                <w:szCs w:val="21"/>
                <w:highlight w:val="none"/>
              </w:rPr>
              <w:t xml:space="preserve"> 监理人在行使根据第 15.3 款发出的变更指示前需要经发包人事先批准。</w:t>
            </w:r>
          </w:p>
        </w:tc>
      </w:tr>
      <w:tr w14:paraId="12D0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2BB40B2">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936" w:type="dxa"/>
            <w:vAlign w:val="center"/>
          </w:tcPr>
          <w:p w14:paraId="4D384DB2">
            <w:pPr>
              <w:snapToGrid w:val="0"/>
              <w:spacing w:before="65"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4</w:t>
            </w:r>
            <w:r>
              <w:rPr>
                <w:rFonts w:hint="eastAsia" w:ascii="宋体" w:hAnsi="宋体" w:eastAsia="宋体" w:cs="宋体"/>
                <w:color w:val="auto"/>
                <w:spacing w:val="-5"/>
                <w:sz w:val="21"/>
                <w:szCs w:val="21"/>
                <w:highlight w:val="none"/>
              </w:rPr>
              <w:t>. 1. 10 (1)</w:t>
            </w:r>
          </w:p>
        </w:tc>
        <w:tc>
          <w:tcPr>
            <w:tcW w:w="7226" w:type="dxa"/>
            <w:tcBorders>
              <w:right w:val="single" w:color="000000" w:sz="6" w:space="0"/>
            </w:tcBorders>
            <w:vAlign w:val="center"/>
          </w:tcPr>
          <w:p w14:paraId="58428753">
            <w:pPr>
              <w:snapToGrid w:val="0"/>
              <w:spacing w:before="14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临</w:t>
            </w:r>
            <w:r>
              <w:rPr>
                <w:rFonts w:hint="eastAsia" w:ascii="宋体" w:hAnsi="宋体" w:eastAsia="宋体" w:cs="宋体"/>
                <w:color w:val="auto"/>
                <w:spacing w:val="4"/>
                <w:sz w:val="21"/>
                <w:szCs w:val="21"/>
                <w:highlight w:val="none"/>
              </w:rPr>
              <w:t>时占地的租地费用实行总额包干，列入工程量清单第 100 章中由承包人按总额</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报价。</w:t>
            </w:r>
            <w:r>
              <w:rPr>
                <w:rFonts w:hint="eastAsia" w:ascii="宋体" w:hAnsi="宋体" w:eastAsia="宋体" w:cs="宋体"/>
                <w:color w:val="auto"/>
                <w:spacing w:val="3"/>
                <w:sz w:val="21"/>
                <w:szCs w:val="21"/>
                <w:highlight w:val="none"/>
              </w:rPr>
              <w:t>临时占地费用计算方式：</w:t>
            </w:r>
            <w:r>
              <w:rPr>
                <w:rFonts w:hint="eastAsia" w:ascii="宋体" w:hAnsi="宋体" w:eastAsia="宋体" w:cs="宋体"/>
                <w:color w:val="auto"/>
                <w:spacing w:val="3"/>
                <w:sz w:val="21"/>
                <w:szCs w:val="21"/>
                <w:highlight w:val="none"/>
                <w:u w:val="single" w:color="auto"/>
              </w:rPr>
              <w:t xml:space="preserve">  参考《关于实施征地区片综合地价的通知》  (辽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u w:val="single" w:color="auto"/>
              </w:rPr>
              <w:t>国土资发〔</w:t>
            </w:r>
            <w:r>
              <w:rPr>
                <w:rFonts w:hint="eastAsia" w:ascii="宋体" w:hAnsi="宋体" w:eastAsia="宋体" w:cs="宋体"/>
                <w:color w:val="auto"/>
                <w:spacing w:val="6"/>
                <w:sz w:val="21"/>
                <w:szCs w:val="21"/>
                <w:highlight w:val="none"/>
                <w:u w:val="single" w:color="auto"/>
              </w:rPr>
              <w:t>2015〕339 号) 以及项目所在地市县区政府公布的区片综合地价标准进</w:t>
            </w:r>
            <w:r>
              <w:rPr>
                <w:rFonts w:hint="eastAsia" w:ascii="宋体" w:hAnsi="宋体" w:eastAsia="宋体" w:cs="宋体"/>
                <w:color w:val="auto"/>
                <w:spacing w:val="2"/>
                <w:sz w:val="21"/>
                <w:szCs w:val="21"/>
                <w:highlight w:val="none"/>
                <w:u w:val="single" w:color="auto"/>
              </w:rPr>
              <w:t>行测算</w:t>
            </w:r>
            <w:r>
              <w:rPr>
                <w:rFonts w:hint="eastAsia" w:ascii="宋体" w:hAnsi="宋体" w:eastAsia="宋体" w:cs="宋体"/>
                <w:color w:val="auto"/>
                <w:spacing w:val="1"/>
                <w:sz w:val="21"/>
                <w:szCs w:val="21"/>
                <w:highlight w:val="none"/>
                <w:u w:val="single" w:color="auto"/>
              </w:rPr>
              <w:t>。</w:t>
            </w:r>
            <w:r>
              <w:rPr>
                <w:rFonts w:hint="eastAsia" w:ascii="宋体" w:hAnsi="宋体" w:eastAsia="宋体" w:cs="宋体"/>
                <w:color w:val="auto"/>
                <w:sz w:val="21"/>
                <w:szCs w:val="21"/>
                <w:highlight w:val="none"/>
                <w:u w:val="single" w:color="auto"/>
              </w:rPr>
              <w:t xml:space="preserve">   </w:t>
            </w:r>
          </w:p>
        </w:tc>
      </w:tr>
      <w:tr w14:paraId="732E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7D928A1">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0</w:t>
            </w:r>
          </w:p>
        </w:tc>
        <w:tc>
          <w:tcPr>
            <w:tcW w:w="936" w:type="dxa"/>
            <w:vAlign w:val="center"/>
          </w:tcPr>
          <w:p w14:paraId="2637097A">
            <w:pPr>
              <w:snapToGrid w:val="0"/>
              <w:spacing w:before="65"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4</w:t>
            </w:r>
            <w:r>
              <w:rPr>
                <w:rFonts w:hint="eastAsia" w:ascii="宋体" w:hAnsi="宋体" w:eastAsia="宋体" w:cs="宋体"/>
                <w:color w:val="auto"/>
                <w:spacing w:val="-5"/>
                <w:sz w:val="21"/>
                <w:szCs w:val="21"/>
                <w:highlight w:val="none"/>
              </w:rPr>
              <w:t>. 1. 10 (3)</w:t>
            </w:r>
          </w:p>
        </w:tc>
        <w:tc>
          <w:tcPr>
            <w:tcW w:w="7226" w:type="dxa"/>
            <w:tcBorders>
              <w:right w:val="single" w:color="000000" w:sz="6" w:space="0"/>
            </w:tcBorders>
            <w:vAlign w:val="center"/>
          </w:tcPr>
          <w:p w14:paraId="5685124E">
            <w:pPr>
              <w:snapToGrid w:val="0"/>
              <w:spacing w:before="144"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承包人</w:t>
            </w:r>
            <w:r>
              <w:rPr>
                <w:rFonts w:hint="eastAsia" w:ascii="宋体" w:hAnsi="宋体" w:eastAsia="宋体" w:cs="宋体"/>
                <w:color w:val="auto"/>
                <w:spacing w:val="3"/>
                <w:sz w:val="21"/>
                <w:szCs w:val="21"/>
                <w:highlight w:val="none"/>
              </w:rPr>
              <w:t>对于农民工工资的发放应严格遵守《保障农民工工资支付条例》  (国务院</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令第 724 号</w:t>
            </w:r>
            <w:r>
              <w:rPr>
                <w:rFonts w:hint="eastAsia" w:ascii="宋体" w:hAnsi="宋体" w:eastAsia="宋体" w:cs="宋体"/>
                <w:color w:val="auto"/>
                <w:sz w:val="21"/>
                <w:szCs w:val="21"/>
                <w:highlight w:val="none"/>
              </w:rPr>
              <w:t xml:space="preserve">) 、《工程建设领域农民工工资保证金规定》 (人社部发〔2021〕65 号) </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3"/>
                <w:sz w:val="21"/>
                <w:szCs w:val="21"/>
                <w:highlight w:val="none"/>
              </w:rPr>
              <w:t>辽宁省公路水运工程建设领域农民工工资支付管理办法》 (辽交公水规〔2020〕1</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 xml:space="preserve">号) </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4"/>
                <w:sz w:val="21"/>
                <w:szCs w:val="21"/>
                <w:highlight w:val="none"/>
              </w:rPr>
              <w:t>《辽宁省建设领域农民工工资支付管理办法》  (辽人社规〔2018〕3 号)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《关于建</w:t>
            </w:r>
            <w:r>
              <w:rPr>
                <w:rFonts w:hint="eastAsia" w:ascii="宋体" w:hAnsi="宋体" w:eastAsia="宋体" w:cs="宋体"/>
                <w:color w:val="auto"/>
                <w:spacing w:val="7"/>
                <w:sz w:val="21"/>
                <w:szCs w:val="21"/>
                <w:highlight w:val="none"/>
              </w:rPr>
              <w:t>立</w:t>
            </w:r>
            <w:r>
              <w:rPr>
                <w:rFonts w:hint="eastAsia" w:ascii="宋体" w:hAnsi="宋体" w:eastAsia="宋体" w:cs="宋体"/>
                <w:color w:val="auto"/>
                <w:spacing w:val="4"/>
                <w:sz w:val="21"/>
                <w:szCs w:val="21"/>
                <w:highlight w:val="none"/>
              </w:rPr>
              <w:t>建设领域农民工工资保证金制度的通知》  (辽人社规〔2018〕4 号)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《辽宁省工程建设领域农民</w:t>
            </w:r>
            <w:r>
              <w:rPr>
                <w:rFonts w:hint="eastAsia" w:ascii="宋体" w:hAnsi="宋体" w:eastAsia="宋体" w:cs="宋体"/>
                <w:color w:val="auto"/>
                <w:sz w:val="21"/>
                <w:szCs w:val="21"/>
                <w:highlight w:val="none"/>
              </w:rPr>
              <w:t>工工资专用账户管理暂行办法实施细则》(辽人社〔2021〕</w:t>
            </w:r>
            <w:r>
              <w:rPr>
                <w:rFonts w:hint="eastAsia" w:ascii="宋体" w:hAnsi="宋体" w:eastAsia="宋体" w:cs="宋体"/>
                <w:color w:val="auto"/>
                <w:spacing w:val="8"/>
                <w:sz w:val="21"/>
                <w:szCs w:val="21"/>
                <w:highlight w:val="none"/>
              </w:rPr>
              <w:t>3</w:t>
            </w: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4"/>
                <w:sz w:val="21"/>
                <w:szCs w:val="21"/>
                <w:highlight w:val="none"/>
              </w:rPr>
              <w:t xml:space="preserve"> 号) 、《辽宁省工程建设领域农民工工资保证金实施办法》  (辽人社〔2022〕5</w:t>
            </w:r>
            <w:r>
              <w:rPr>
                <w:rFonts w:hint="eastAsia" w:ascii="宋体" w:hAnsi="宋体" w:eastAsia="宋体" w:cs="宋体"/>
                <w:color w:val="auto"/>
                <w:spacing w:val="10"/>
                <w:sz w:val="21"/>
                <w:szCs w:val="21"/>
                <w:highlight w:val="none"/>
              </w:rPr>
              <w:t>号</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5"/>
                <w:sz w:val="21"/>
                <w:szCs w:val="21"/>
                <w:highlight w:val="none"/>
              </w:rPr>
              <w:t xml:space="preserve"> 等国家和项目所在省、市相关主管部门施行的规定，主要包括：</w:t>
            </w:r>
          </w:p>
          <w:p w14:paraId="3C5D6E23">
            <w:pPr>
              <w:snapToGrid w:val="0"/>
              <w:spacing w:before="15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w:t>
            </w:r>
            <w:r>
              <w:rPr>
                <w:rFonts w:hint="eastAsia" w:ascii="宋体" w:hAnsi="宋体" w:eastAsia="宋体" w:cs="宋体"/>
                <w:color w:val="auto"/>
                <w:spacing w:val="6"/>
                <w:sz w:val="21"/>
                <w:szCs w:val="21"/>
                <w:highlight w:val="none"/>
              </w:rPr>
              <w:t>、承包人 (</w:t>
            </w:r>
            <w:r>
              <w:rPr>
                <w:rFonts w:hint="eastAsia" w:ascii="宋体" w:hAnsi="宋体" w:eastAsia="宋体" w:cs="宋体"/>
                <w:color w:val="auto"/>
                <w:spacing w:val="4"/>
                <w:sz w:val="21"/>
                <w:szCs w:val="21"/>
                <w:highlight w:val="none"/>
              </w:rPr>
              <w:t>包</w:t>
            </w:r>
            <w:r>
              <w:rPr>
                <w:rFonts w:hint="eastAsia" w:ascii="宋体" w:hAnsi="宋体" w:eastAsia="宋体" w:cs="宋体"/>
                <w:color w:val="auto"/>
                <w:spacing w:val="3"/>
                <w:sz w:val="21"/>
                <w:szCs w:val="21"/>
                <w:highlight w:val="none"/>
              </w:rPr>
              <w:t>括其分包人) 应实行农民工劳动用工实名制管理，与招用的农民工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书</w:t>
            </w:r>
            <w:r>
              <w:rPr>
                <w:rFonts w:hint="eastAsia" w:ascii="宋体" w:hAnsi="宋体" w:eastAsia="宋体" w:cs="宋体"/>
                <w:color w:val="auto"/>
                <w:spacing w:val="6"/>
                <w:sz w:val="21"/>
                <w:szCs w:val="21"/>
                <w:highlight w:val="none"/>
              </w:rPr>
              <w:t>面约定或者通过依法制定的规章制度规定工资支付标准、支付时间、支付方式等</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内容。承包人</w:t>
            </w:r>
            <w:r>
              <w:rPr>
                <w:rFonts w:hint="eastAsia" w:ascii="宋体" w:hAnsi="宋体" w:eastAsia="宋体" w:cs="宋体"/>
                <w:color w:val="auto"/>
                <w:spacing w:val="5"/>
                <w:sz w:val="21"/>
                <w:szCs w:val="21"/>
                <w:highlight w:val="none"/>
              </w:rPr>
              <w:t xml:space="preserve"> (包括其分包人) 应按照与农民工订立的劳动合同中约定的工资支付</w:t>
            </w:r>
            <w:r>
              <w:rPr>
                <w:rFonts w:hint="eastAsia" w:ascii="宋体" w:hAnsi="宋体" w:eastAsia="宋体" w:cs="宋体"/>
                <w:color w:val="auto"/>
                <w:spacing w:val="9"/>
                <w:sz w:val="21"/>
                <w:szCs w:val="21"/>
                <w:highlight w:val="none"/>
              </w:rPr>
              <w:t>周</w:t>
            </w:r>
            <w:r>
              <w:rPr>
                <w:rFonts w:hint="eastAsia" w:ascii="宋体" w:hAnsi="宋体" w:eastAsia="宋体" w:cs="宋体"/>
                <w:color w:val="auto"/>
                <w:spacing w:val="5"/>
                <w:sz w:val="21"/>
                <w:szCs w:val="21"/>
                <w:highlight w:val="none"/>
              </w:rPr>
              <w:t>期和具体支付日期足额支付工资。</w:t>
            </w:r>
          </w:p>
          <w:p w14:paraId="42E4813B">
            <w:pPr>
              <w:snapToGrid w:val="0"/>
              <w:spacing w:before="11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w:t>
            </w:r>
            <w:r>
              <w:rPr>
                <w:rFonts w:hint="eastAsia" w:ascii="宋体" w:hAnsi="宋体" w:eastAsia="宋体" w:cs="宋体"/>
                <w:color w:val="auto"/>
                <w:spacing w:val="6"/>
                <w:sz w:val="21"/>
                <w:szCs w:val="21"/>
                <w:highlight w:val="none"/>
              </w:rPr>
              <w:t>、农民工工资应</w:t>
            </w:r>
            <w:r>
              <w:rPr>
                <w:rFonts w:hint="eastAsia" w:ascii="宋体" w:hAnsi="宋体" w:eastAsia="宋体" w:cs="宋体"/>
                <w:color w:val="auto"/>
                <w:spacing w:val="3"/>
                <w:sz w:val="21"/>
                <w:szCs w:val="21"/>
                <w:highlight w:val="none"/>
              </w:rPr>
              <w:t>当以货币形式，通过银行转账或者现金支付给农民工本人，不得</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以实物或者有价证券等其他形式替代</w:t>
            </w:r>
            <w:r>
              <w:rPr>
                <w:rFonts w:hint="eastAsia" w:ascii="宋体" w:hAnsi="宋体" w:eastAsia="宋体" w:cs="宋体"/>
                <w:color w:val="auto"/>
                <w:spacing w:val="1"/>
                <w:sz w:val="21"/>
                <w:szCs w:val="21"/>
                <w:highlight w:val="none"/>
              </w:rPr>
              <w:t>。</w:t>
            </w:r>
          </w:p>
          <w:p w14:paraId="0BE2972A">
            <w:pPr>
              <w:snapToGrid w:val="0"/>
              <w:spacing w:before="14"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position w:val="17"/>
                <w:sz w:val="21"/>
                <w:szCs w:val="21"/>
                <w:highlight w:val="none"/>
              </w:rPr>
              <w:t>c</w:t>
            </w:r>
            <w:r>
              <w:rPr>
                <w:rFonts w:hint="eastAsia" w:ascii="宋体" w:hAnsi="宋体" w:eastAsia="宋体" w:cs="宋体"/>
                <w:color w:val="auto"/>
                <w:spacing w:val="6"/>
                <w:position w:val="17"/>
                <w:sz w:val="21"/>
                <w:szCs w:val="21"/>
                <w:highlight w:val="none"/>
              </w:rPr>
              <w:t>、承包人在每次申</w:t>
            </w:r>
            <w:r>
              <w:rPr>
                <w:rFonts w:hint="eastAsia" w:ascii="宋体" w:hAnsi="宋体" w:eastAsia="宋体" w:cs="宋体"/>
                <w:color w:val="auto"/>
                <w:spacing w:val="4"/>
                <w:position w:val="17"/>
                <w:sz w:val="21"/>
                <w:szCs w:val="21"/>
                <w:highlight w:val="none"/>
              </w:rPr>
              <w:t>报</w:t>
            </w:r>
            <w:r>
              <w:rPr>
                <w:rFonts w:hint="eastAsia" w:ascii="宋体" w:hAnsi="宋体" w:eastAsia="宋体" w:cs="宋体"/>
                <w:color w:val="auto"/>
                <w:spacing w:val="3"/>
                <w:position w:val="17"/>
                <w:sz w:val="21"/>
                <w:szCs w:val="21"/>
                <w:highlight w:val="none"/>
              </w:rPr>
              <w:t>计量支付时，应将农民工工资款单独列项，项目管理法</w:t>
            </w:r>
          </w:p>
          <w:p w14:paraId="68EE1D5B">
            <w:pPr>
              <w:snapToGrid w:val="0"/>
              <w:spacing w:before="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人将按照经</w:t>
            </w:r>
            <w:r>
              <w:rPr>
                <w:rFonts w:hint="eastAsia" w:ascii="宋体" w:hAnsi="宋体" w:eastAsia="宋体" w:cs="宋体"/>
                <w:color w:val="auto"/>
                <w:spacing w:val="8"/>
                <w:sz w:val="21"/>
                <w:szCs w:val="21"/>
                <w:highlight w:val="none"/>
              </w:rPr>
              <w:t>审</w:t>
            </w:r>
            <w:r>
              <w:rPr>
                <w:rFonts w:hint="eastAsia" w:ascii="宋体" w:hAnsi="宋体" w:eastAsia="宋体" w:cs="宋体"/>
                <w:color w:val="auto"/>
                <w:spacing w:val="5"/>
                <w:sz w:val="21"/>
                <w:szCs w:val="21"/>
                <w:highlight w:val="none"/>
              </w:rPr>
              <w:t>核后的数额将农民工工资拨付至承包人的农民工工资专用账户。</w:t>
            </w:r>
          </w:p>
          <w:p w14:paraId="3802A743">
            <w:pPr>
              <w:snapToGrid w:val="0"/>
              <w:spacing w:before="11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w:t>
            </w:r>
            <w:r>
              <w:rPr>
                <w:rFonts w:hint="eastAsia" w:ascii="宋体" w:hAnsi="宋体" w:eastAsia="宋体" w:cs="宋体"/>
                <w:color w:val="auto"/>
                <w:spacing w:val="2"/>
                <w:sz w:val="21"/>
                <w:szCs w:val="21"/>
                <w:highlight w:val="none"/>
              </w:rPr>
              <w:t>、承包人应当按照工资支付周期编制书面工资支付台账，并至少保存 3 年</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t xml:space="preserve">书面 </w:t>
            </w:r>
            <w:r>
              <w:rPr>
                <w:rFonts w:hint="eastAsia" w:ascii="宋体" w:hAnsi="宋体" w:eastAsia="宋体" w:cs="宋体"/>
                <w:color w:val="auto"/>
                <w:spacing w:val="12"/>
                <w:sz w:val="21"/>
                <w:szCs w:val="21"/>
                <w:highlight w:val="none"/>
              </w:rPr>
              <w:t>工</w:t>
            </w:r>
            <w:r>
              <w:rPr>
                <w:rFonts w:hint="eastAsia" w:ascii="宋体" w:hAnsi="宋体" w:eastAsia="宋体" w:cs="宋体"/>
                <w:color w:val="auto"/>
                <w:spacing w:val="8"/>
                <w:sz w:val="21"/>
                <w:szCs w:val="21"/>
                <w:highlight w:val="none"/>
              </w:rPr>
              <w:t>资</w:t>
            </w:r>
            <w:r>
              <w:rPr>
                <w:rFonts w:hint="eastAsia" w:ascii="宋体" w:hAnsi="宋体" w:eastAsia="宋体" w:cs="宋体"/>
                <w:color w:val="auto"/>
                <w:spacing w:val="6"/>
                <w:sz w:val="21"/>
                <w:szCs w:val="21"/>
                <w:highlight w:val="none"/>
              </w:rPr>
              <w:t>支付台账应当包括用人单位名称，支付周期，支付日期，支付对象姓名、身份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证</w:t>
            </w:r>
            <w:r>
              <w:rPr>
                <w:rFonts w:hint="eastAsia" w:ascii="宋体" w:hAnsi="宋体" w:eastAsia="宋体" w:cs="宋体"/>
                <w:color w:val="auto"/>
                <w:spacing w:val="8"/>
                <w:sz w:val="21"/>
                <w:szCs w:val="21"/>
                <w:highlight w:val="none"/>
              </w:rPr>
              <w:t>号</w:t>
            </w:r>
            <w:r>
              <w:rPr>
                <w:rFonts w:hint="eastAsia" w:ascii="宋体" w:hAnsi="宋体" w:eastAsia="宋体" w:cs="宋体"/>
                <w:color w:val="auto"/>
                <w:spacing w:val="6"/>
                <w:sz w:val="21"/>
                <w:szCs w:val="21"/>
                <w:highlight w:val="none"/>
              </w:rPr>
              <w:t>码、联系方式，工作时间，应发工资项目及数额，代扣、代缴、扣除项目和数</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额</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实发工资数额，银行代发工资凭证或者农民工签字等内容。用人单位向农民工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支付</w:t>
            </w:r>
            <w:r>
              <w:rPr>
                <w:rFonts w:hint="eastAsia" w:ascii="宋体" w:hAnsi="宋体" w:eastAsia="宋体" w:cs="宋体"/>
                <w:color w:val="auto"/>
                <w:spacing w:val="5"/>
                <w:sz w:val="21"/>
                <w:szCs w:val="21"/>
                <w:highlight w:val="none"/>
              </w:rPr>
              <w:t>工资时，应当提供农民工本人的工资清单。</w:t>
            </w:r>
          </w:p>
          <w:p w14:paraId="32C34AA2">
            <w:pPr>
              <w:snapToGrid w:val="0"/>
              <w:spacing w:before="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w:t>
            </w:r>
            <w:r>
              <w:rPr>
                <w:rFonts w:hint="eastAsia" w:ascii="宋体" w:hAnsi="宋体" w:eastAsia="宋体" w:cs="宋体"/>
                <w:color w:val="auto"/>
                <w:spacing w:val="5"/>
                <w:sz w:val="21"/>
                <w:szCs w:val="21"/>
                <w:highlight w:val="none"/>
              </w:rPr>
              <w:t>、承包人应分解工程价款中的人工费用，在本合同签订后 15 日内按照有关规</w:t>
            </w:r>
            <w:r>
              <w:rPr>
                <w:rFonts w:hint="eastAsia" w:ascii="宋体" w:hAnsi="宋体" w:eastAsia="宋体" w:cs="宋体"/>
                <w:color w:val="auto"/>
                <w:sz w:val="21"/>
                <w:szCs w:val="21"/>
                <w:highlight w:val="none"/>
              </w:rPr>
              <w:t xml:space="preserve">定 </w:t>
            </w:r>
            <w:r>
              <w:rPr>
                <w:rFonts w:hint="eastAsia" w:ascii="宋体" w:hAnsi="宋体" w:eastAsia="宋体" w:cs="宋体"/>
                <w:color w:val="auto"/>
                <w:spacing w:val="12"/>
                <w:sz w:val="21"/>
                <w:szCs w:val="21"/>
                <w:highlight w:val="none"/>
              </w:rPr>
              <w:t>开</w:t>
            </w:r>
            <w:r>
              <w:rPr>
                <w:rFonts w:hint="eastAsia" w:ascii="宋体" w:hAnsi="宋体" w:eastAsia="宋体" w:cs="宋体"/>
                <w:color w:val="auto"/>
                <w:spacing w:val="7"/>
                <w:sz w:val="21"/>
                <w:szCs w:val="21"/>
                <w:highlight w:val="none"/>
              </w:rPr>
              <w:t>设</w:t>
            </w:r>
            <w:r>
              <w:rPr>
                <w:rFonts w:hint="eastAsia" w:ascii="宋体" w:hAnsi="宋体" w:eastAsia="宋体" w:cs="宋体"/>
                <w:color w:val="auto"/>
                <w:spacing w:val="6"/>
                <w:sz w:val="21"/>
                <w:szCs w:val="21"/>
                <w:highlight w:val="none"/>
              </w:rPr>
              <w:t>农民工工资专用账户，专项用于支付本工程项目的农民工工资。开设、使用农</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民</w:t>
            </w:r>
            <w:r>
              <w:rPr>
                <w:rFonts w:hint="eastAsia" w:ascii="宋体" w:hAnsi="宋体" w:eastAsia="宋体" w:cs="宋体"/>
                <w:color w:val="auto"/>
                <w:spacing w:val="7"/>
                <w:sz w:val="21"/>
                <w:szCs w:val="21"/>
                <w:highlight w:val="none"/>
              </w:rPr>
              <w:t>工</w:t>
            </w:r>
            <w:r>
              <w:rPr>
                <w:rFonts w:hint="eastAsia" w:ascii="宋体" w:hAnsi="宋体" w:eastAsia="宋体" w:cs="宋体"/>
                <w:color w:val="auto"/>
                <w:spacing w:val="6"/>
                <w:sz w:val="21"/>
                <w:szCs w:val="21"/>
                <w:highlight w:val="none"/>
              </w:rPr>
              <w:t>工资专用账户有关资料应当由承包人妥善保存备查。工程完工且未拖欠农民工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工资的，承包人公示 30 日后，可以申请注销农民工工资专用账户，账户内余</w:t>
            </w:r>
            <w:r>
              <w:rPr>
                <w:rFonts w:hint="eastAsia" w:ascii="宋体" w:hAnsi="宋体" w:eastAsia="宋体" w:cs="宋体"/>
                <w:color w:val="auto"/>
                <w:spacing w:val="1"/>
                <w:sz w:val="21"/>
                <w:szCs w:val="21"/>
                <w:highlight w:val="none"/>
              </w:rPr>
              <w:t>额</w:t>
            </w:r>
            <w:r>
              <w:rPr>
                <w:rFonts w:hint="eastAsia" w:ascii="宋体" w:hAnsi="宋体" w:eastAsia="宋体" w:cs="宋体"/>
                <w:color w:val="auto"/>
                <w:sz w:val="21"/>
                <w:szCs w:val="21"/>
                <w:highlight w:val="none"/>
              </w:rPr>
              <w:t>归承</w:t>
            </w:r>
            <w:r>
              <w:rPr>
                <w:rFonts w:hint="eastAsia" w:ascii="宋体" w:hAnsi="宋体" w:eastAsia="宋体" w:cs="宋体"/>
                <w:color w:val="auto"/>
                <w:spacing w:val="5"/>
                <w:sz w:val="21"/>
                <w:szCs w:val="21"/>
                <w:highlight w:val="none"/>
              </w:rPr>
              <w:t>包</w:t>
            </w:r>
            <w:r>
              <w:rPr>
                <w:rFonts w:hint="eastAsia" w:ascii="宋体" w:hAnsi="宋体" w:eastAsia="宋体" w:cs="宋体"/>
                <w:color w:val="auto"/>
                <w:spacing w:val="3"/>
                <w:sz w:val="21"/>
                <w:szCs w:val="21"/>
                <w:highlight w:val="none"/>
              </w:rPr>
              <w:t>人所有。</w:t>
            </w:r>
          </w:p>
          <w:p w14:paraId="03A11E25">
            <w:pPr>
              <w:snapToGrid w:val="0"/>
              <w:spacing w:before="11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4"/>
                <w:sz w:val="21"/>
                <w:szCs w:val="21"/>
                <w:highlight w:val="none"/>
              </w:rPr>
              <w:t>承包人 (包括其分包人) 应当依法与所招用的农民工订立劳动合同并进行用工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实</w:t>
            </w:r>
            <w:r>
              <w:rPr>
                <w:rFonts w:hint="eastAsia" w:ascii="宋体" w:hAnsi="宋体" w:eastAsia="宋体" w:cs="宋体"/>
                <w:color w:val="auto"/>
                <w:spacing w:val="6"/>
                <w:sz w:val="21"/>
                <w:szCs w:val="21"/>
                <w:highlight w:val="none"/>
              </w:rPr>
              <w:t>名登记，通过相应的管理服务信息平台 (如辽宁省建筑工人实名制信息管理服务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平台、辽宁省欠薪预警信息系统) 进行用工实名登记、管理。未与承包人 (包括</w:t>
            </w:r>
            <w:r>
              <w:rPr>
                <w:rFonts w:hint="eastAsia" w:ascii="宋体" w:hAnsi="宋体" w:eastAsia="宋体" w:cs="宋体"/>
                <w:color w:val="auto"/>
                <w:spacing w:val="3"/>
                <w:sz w:val="21"/>
                <w:szCs w:val="21"/>
                <w:highlight w:val="none"/>
              </w:rPr>
              <w:t>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分</w:t>
            </w:r>
            <w:r>
              <w:rPr>
                <w:rFonts w:hint="eastAsia" w:ascii="宋体" w:hAnsi="宋体" w:eastAsia="宋体" w:cs="宋体"/>
                <w:color w:val="auto"/>
                <w:spacing w:val="6"/>
                <w:sz w:val="21"/>
                <w:szCs w:val="21"/>
                <w:highlight w:val="none"/>
              </w:rPr>
              <w:t>包人) 订立劳动合同并进行用工实名登记的人员，不得进入项目现场施工。承包</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人</w:t>
            </w:r>
            <w:r>
              <w:rPr>
                <w:rFonts w:hint="eastAsia" w:ascii="宋体" w:hAnsi="宋体" w:eastAsia="宋体" w:cs="宋体"/>
                <w:color w:val="auto"/>
                <w:spacing w:val="9"/>
                <w:sz w:val="21"/>
                <w:szCs w:val="21"/>
                <w:highlight w:val="none"/>
              </w:rPr>
              <w:t>对</w:t>
            </w:r>
            <w:r>
              <w:rPr>
                <w:rFonts w:hint="eastAsia" w:ascii="宋体" w:hAnsi="宋体" w:eastAsia="宋体" w:cs="宋体"/>
                <w:color w:val="auto"/>
                <w:spacing w:val="6"/>
                <w:sz w:val="21"/>
                <w:szCs w:val="21"/>
                <w:highlight w:val="none"/>
              </w:rPr>
              <w:t>工程进行分包的，应在工程项目部配备劳资专管员，对分包人劳动用工实施监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督</w:t>
            </w:r>
            <w:r>
              <w:rPr>
                <w:rFonts w:hint="eastAsia" w:ascii="宋体" w:hAnsi="宋体" w:eastAsia="宋体" w:cs="宋体"/>
                <w:color w:val="auto"/>
                <w:spacing w:val="9"/>
                <w:sz w:val="21"/>
                <w:szCs w:val="21"/>
                <w:highlight w:val="none"/>
              </w:rPr>
              <w:t>管</w:t>
            </w:r>
            <w:r>
              <w:rPr>
                <w:rFonts w:hint="eastAsia" w:ascii="宋体" w:hAnsi="宋体" w:eastAsia="宋体" w:cs="宋体"/>
                <w:color w:val="auto"/>
                <w:spacing w:val="6"/>
                <w:sz w:val="21"/>
                <w:szCs w:val="21"/>
                <w:highlight w:val="none"/>
              </w:rPr>
              <w:t>理，掌握施工现场用工、考勤、工资支付等情况，审核分包人编制的农民工工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资</w:t>
            </w:r>
            <w:r>
              <w:rPr>
                <w:rFonts w:hint="eastAsia" w:ascii="宋体" w:hAnsi="宋体" w:eastAsia="宋体" w:cs="宋体"/>
                <w:color w:val="auto"/>
                <w:spacing w:val="9"/>
                <w:sz w:val="21"/>
                <w:szCs w:val="21"/>
                <w:highlight w:val="none"/>
              </w:rPr>
              <w:t>支</w:t>
            </w:r>
            <w:r>
              <w:rPr>
                <w:rFonts w:hint="eastAsia" w:ascii="宋体" w:hAnsi="宋体" w:eastAsia="宋体" w:cs="宋体"/>
                <w:color w:val="auto"/>
                <w:spacing w:val="6"/>
                <w:sz w:val="21"/>
                <w:szCs w:val="21"/>
                <w:highlight w:val="none"/>
              </w:rPr>
              <w:t>付表。承包人应当建立用工管理台账，并保存至工程完工且工资全部结清后至</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少</w:t>
            </w:r>
            <w:r>
              <w:rPr>
                <w:rFonts w:hint="eastAsia" w:ascii="宋体" w:hAnsi="宋体" w:eastAsia="宋体" w:cs="宋体"/>
                <w:color w:val="auto"/>
                <w:spacing w:val="-6"/>
                <w:sz w:val="21"/>
                <w:szCs w:val="21"/>
                <w:highlight w:val="none"/>
              </w:rPr>
              <w:t xml:space="preserve"> 3 年。</w:t>
            </w:r>
          </w:p>
          <w:p w14:paraId="389B0676">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position w:val="15"/>
                <w:sz w:val="21"/>
                <w:szCs w:val="21"/>
                <w:highlight w:val="none"/>
              </w:rPr>
              <w:t>g</w:t>
            </w:r>
            <w:r>
              <w:rPr>
                <w:rFonts w:hint="eastAsia" w:ascii="宋体" w:hAnsi="宋体" w:eastAsia="宋体" w:cs="宋体"/>
                <w:color w:val="auto"/>
                <w:spacing w:val="6"/>
                <w:position w:val="15"/>
                <w:sz w:val="21"/>
                <w:szCs w:val="21"/>
                <w:highlight w:val="none"/>
              </w:rPr>
              <w:t>、分包人 (如有</w:t>
            </w:r>
            <w:r>
              <w:rPr>
                <w:rFonts w:hint="eastAsia" w:ascii="宋体" w:hAnsi="宋体" w:eastAsia="宋体" w:cs="宋体"/>
                <w:color w:val="auto"/>
                <w:spacing w:val="3"/>
                <w:position w:val="15"/>
                <w:sz w:val="21"/>
                <w:szCs w:val="21"/>
                <w:highlight w:val="none"/>
              </w:rPr>
              <w:t>) 拖欠农民工工资的，由承包人先行清偿，再依法进行追偿。</w:t>
            </w:r>
          </w:p>
          <w:p w14:paraId="4ACC3999">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cs="宋体"/>
                <w:color w:val="auto"/>
                <w:spacing w:val="10"/>
                <w:sz w:val="21"/>
                <w:szCs w:val="21"/>
                <w:highlight w:val="none"/>
                <w:lang w:val="en-US" w:eastAsia="zh-CN"/>
              </w:rPr>
              <w:t>因</w:t>
            </w:r>
            <w:r>
              <w:rPr>
                <w:rFonts w:hint="eastAsia" w:ascii="宋体" w:hAnsi="宋体" w:eastAsia="宋体" w:cs="宋体"/>
                <w:color w:val="auto"/>
                <w:spacing w:val="10"/>
                <w:sz w:val="21"/>
                <w:szCs w:val="21"/>
                <w:highlight w:val="none"/>
              </w:rPr>
              <w:t>承包人转</w:t>
            </w:r>
            <w:r>
              <w:rPr>
                <w:rFonts w:hint="eastAsia" w:ascii="宋体" w:hAnsi="宋体" w:eastAsia="宋体" w:cs="宋体"/>
                <w:color w:val="auto"/>
                <w:spacing w:val="7"/>
                <w:sz w:val="21"/>
                <w:szCs w:val="21"/>
                <w:highlight w:val="none"/>
              </w:rPr>
              <w:t>包</w:t>
            </w:r>
            <w:r>
              <w:rPr>
                <w:rFonts w:hint="eastAsia" w:ascii="宋体" w:hAnsi="宋体" w:eastAsia="宋体" w:cs="宋体"/>
                <w:color w:val="auto"/>
                <w:spacing w:val="5"/>
                <w:sz w:val="21"/>
                <w:szCs w:val="21"/>
                <w:highlight w:val="none"/>
              </w:rPr>
              <w:t>导致拖欠农民工工资的，由承包人先行清偿，再依法进行追偿。</w:t>
            </w:r>
          </w:p>
          <w:p w14:paraId="2C8BD028">
            <w:pPr>
              <w:snapToGrid w:val="0"/>
              <w:spacing w:before="11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t>
            </w:r>
            <w:r>
              <w:rPr>
                <w:rFonts w:hint="eastAsia" w:ascii="宋体" w:hAnsi="宋体" w:eastAsia="宋体" w:cs="宋体"/>
                <w:color w:val="auto"/>
                <w:spacing w:val="6"/>
                <w:sz w:val="21"/>
                <w:szCs w:val="21"/>
                <w:highlight w:val="none"/>
              </w:rPr>
              <w:t>、承包人应当</w:t>
            </w:r>
            <w:r>
              <w:rPr>
                <w:rFonts w:hint="eastAsia" w:ascii="宋体" w:hAnsi="宋体" w:eastAsia="宋体" w:cs="宋体"/>
                <w:color w:val="auto"/>
                <w:spacing w:val="5"/>
                <w:sz w:val="21"/>
                <w:szCs w:val="21"/>
                <w:highlight w:val="none"/>
              </w:rPr>
              <w:t>按</w:t>
            </w:r>
            <w:r>
              <w:rPr>
                <w:rFonts w:hint="eastAsia" w:ascii="宋体" w:hAnsi="宋体" w:eastAsia="宋体" w:cs="宋体"/>
                <w:color w:val="auto"/>
                <w:spacing w:val="3"/>
                <w:sz w:val="21"/>
                <w:szCs w:val="21"/>
                <w:highlight w:val="none"/>
              </w:rPr>
              <w:t>照项目所在省、市的人力资源社会保障行政部门、交通运输主管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部</w:t>
            </w:r>
            <w:r>
              <w:rPr>
                <w:rFonts w:hint="eastAsia" w:ascii="宋体" w:hAnsi="宋体" w:eastAsia="宋体" w:cs="宋体"/>
                <w:color w:val="auto"/>
                <w:spacing w:val="5"/>
                <w:sz w:val="21"/>
                <w:szCs w:val="21"/>
                <w:highlight w:val="none"/>
              </w:rPr>
              <w:t>门等的有关规定存储工资保证金。</w:t>
            </w:r>
          </w:p>
          <w:p w14:paraId="35E63D56">
            <w:pPr>
              <w:snapToGrid w:val="0"/>
              <w:spacing w:before="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3"/>
                <w:sz w:val="21"/>
                <w:szCs w:val="21"/>
                <w:highlight w:val="none"/>
              </w:rPr>
              <w:t>承包人应当在施工现场醒目位置设立维权信息告示牌，明示下列事项：①发包</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人</w:t>
            </w:r>
            <w:r>
              <w:rPr>
                <w:rFonts w:hint="eastAsia" w:ascii="宋体" w:hAnsi="宋体" w:eastAsia="宋体" w:cs="宋体"/>
                <w:color w:val="auto"/>
                <w:spacing w:val="6"/>
                <w:sz w:val="21"/>
                <w:szCs w:val="21"/>
                <w:highlight w:val="none"/>
              </w:rPr>
              <w:t>、承包人及所在项目部、分包单位、相关行业工程建设主管部门、劳资专管员等</w:t>
            </w:r>
            <w:r>
              <w:rPr>
                <w:rFonts w:hint="eastAsia" w:ascii="宋体" w:hAnsi="宋体" w:eastAsia="宋体" w:cs="宋体"/>
                <w:color w:val="auto"/>
                <w:spacing w:val="12"/>
                <w:sz w:val="21"/>
                <w:szCs w:val="21"/>
                <w:highlight w:val="none"/>
              </w:rPr>
              <w:t>基</w:t>
            </w:r>
            <w:r>
              <w:rPr>
                <w:rFonts w:hint="eastAsia" w:ascii="宋体" w:hAnsi="宋体" w:eastAsia="宋体" w:cs="宋体"/>
                <w:color w:val="auto"/>
                <w:spacing w:val="8"/>
                <w:sz w:val="21"/>
                <w:szCs w:val="21"/>
                <w:highlight w:val="none"/>
              </w:rPr>
              <w:t>本</w:t>
            </w:r>
            <w:r>
              <w:rPr>
                <w:rFonts w:hint="eastAsia" w:ascii="宋体" w:hAnsi="宋体" w:eastAsia="宋体" w:cs="宋体"/>
                <w:color w:val="auto"/>
                <w:spacing w:val="6"/>
                <w:sz w:val="21"/>
                <w:szCs w:val="21"/>
                <w:highlight w:val="none"/>
              </w:rPr>
              <w:t>信息；②当地最低工资标准、工资支付日期等基本信息；③交通运输主管部门</w:t>
            </w:r>
            <w:r>
              <w:rPr>
                <w:rFonts w:hint="eastAsia" w:ascii="宋体" w:hAnsi="宋体" w:eastAsia="宋体" w:cs="宋体"/>
                <w:color w:val="auto"/>
                <w:spacing w:val="10"/>
                <w:sz w:val="21"/>
                <w:szCs w:val="21"/>
                <w:highlight w:val="none"/>
              </w:rPr>
              <w:t>和</w:t>
            </w:r>
            <w:r>
              <w:rPr>
                <w:rFonts w:hint="eastAsia" w:ascii="宋体" w:hAnsi="宋体" w:eastAsia="宋体" w:cs="宋体"/>
                <w:color w:val="auto"/>
                <w:spacing w:val="8"/>
                <w:sz w:val="21"/>
                <w:szCs w:val="21"/>
                <w:highlight w:val="none"/>
              </w:rPr>
              <w:t>劳</w:t>
            </w:r>
            <w:r>
              <w:rPr>
                <w:rFonts w:hint="eastAsia" w:ascii="宋体" w:hAnsi="宋体" w:eastAsia="宋体" w:cs="宋体"/>
                <w:color w:val="auto"/>
                <w:spacing w:val="5"/>
                <w:sz w:val="21"/>
                <w:szCs w:val="21"/>
                <w:highlight w:val="none"/>
              </w:rPr>
              <w:t>动保障监察投诉举报电话、劳动争议调解仲裁申请渠道、法律援助申请渠道、</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公</w:t>
            </w:r>
            <w:r>
              <w:rPr>
                <w:rFonts w:hint="eastAsia" w:ascii="宋体" w:hAnsi="宋体" w:eastAsia="宋体" w:cs="宋体"/>
                <w:color w:val="auto"/>
                <w:spacing w:val="5"/>
                <w:sz w:val="21"/>
                <w:szCs w:val="21"/>
                <w:highlight w:val="none"/>
              </w:rPr>
              <w:t>共</w:t>
            </w:r>
            <w:r>
              <w:rPr>
                <w:rFonts w:hint="eastAsia" w:ascii="宋体" w:hAnsi="宋体" w:eastAsia="宋体" w:cs="宋体"/>
                <w:color w:val="auto"/>
                <w:spacing w:val="4"/>
                <w:sz w:val="21"/>
                <w:szCs w:val="21"/>
                <w:highlight w:val="none"/>
              </w:rPr>
              <w:t>法律服务热线等信息。</w:t>
            </w:r>
          </w:p>
          <w:p w14:paraId="5642B3D9">
            <w:pPr>
              <w:snapToGrid w:val="0"/>
              <w:spacing w:before="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承</w:t>
            </w:r>
            <w:r>
              <w:rPr>
                <w:rFonts w:hint="eastAsia" w:ascii="宋体" w:hAnsi="宋体" w:eastAsia="宋体" w:cs="宋体"/>
                <w:color w:val="auto"/>
                <w:spacing w:val="10"/>
                <w:sz w:val="21"/>
                <w:szCs w:val="21"/>
                <w:highlight w:val="none"/>
              </w:rPr>
              <w:t>包</w:t>
            </w:r>
            <w:r>
              <w:rPr>
                <w:rFonts w:hint="eastAsia" w:ascii="宋体" w:hAnsi="宋体" w:eastAsia="宋体" w:cs="宋体"/>
                <w:color w:val="auto"/>
                <w:spacing w:val="6"/>
                <w:sz w:val="21"/>
                <w:szCs w:val="21"/>
                <w:highlight w:val="none"/>
              </w:rPr>
              <w:t>人在履行合同过程中出现拖欠或克扣农民工工资或与本工程有关的债务而导</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致</w:t>
            </w:r>
            <w:r>
              <w:rPr>
                <w:rFonts w:hint="eastAsia" w:ascii="宋体" w:hAnsi="宋体" w:eastAsia="宋体" w:cs="宋体"/>
                <w:color w:val="auto"/>
                <w:spacing w:val="8"/>
                <w:sz w:val="21"/>
                <w:szCs w:val="21"/>
                <w:highlight w:val="none"/>
              </w:rPr>
              <w:t>阻</w:t>
            </w:r>
            <w:r>
              <w:rPr>
                <w:rFonts w:hint="eastAsia" w:ascii="宋体" w:hAnsi="宋体" w:eastAsia="宋体" w:cs="宋体"/>
                <w:color w:val="auto"/>
                <w:spacing w:val="6"/>
                <w:sz w:val="21"/>
                <w:szCs w:val="21"/>
                <w:highlight w:val="none"/>
              </w:rPr>
              <w:t>工、上访，经发包人、监理人及政府相关部门确认后，项目管理法人将停止对</w:t>
            </w:r>
            <w:r>
              <w:rPr>
                <w:rFonts w:hint="eastAsia" w:ascii="宋体" w:hAnsi="宋体" w:eastAsia="宋体" w:cs="宋体"/>
                <w:color w:val="auto"/>
                <w:spacing w:val="9"/>
                <w:sz w:val="21"/>
                <w:szCs w:val="21"/>
                <w:highlight w:val="none"/>
              </w:rPr>
              <w:t>承</w:t>
            </w:r>
            <w:r>
              <w:rPr>
                <w:rFonts w:hint="eastAsia" w:ascii="宋体" w:hAnsi="宋体" w:eastAsia="宋体" w:cs="宋体"/>
                <w:color w:val="auto"/>
                <w:spacing w:val="5"/>
                <w:sz w:val="21"/>
                <w:szCs w:val="21"/>
                <w:highlight w:val="none"/>
              </w:rPr>
              <w:t>包人的支付，直到其妥善处理为止。</w:t>
            </w:r>
          </w:p>
        </w:tc>
      </w:tr>
      <w:tr w14:paraId="11CC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19D6080">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11"/>
                <w:sz w:val="21"/>
                <w:szCs w:val="21"/>
                <w:highlight w:val="none"/>
              </w:rPr>
              <w:t>1</w:t>
            </w:r>
            <w:r>
              <w:rPr>
                <w:rFonts w:hint="eastAsia" w:ascii="宋体" w:hAnsi="宋体" w:eastAsia="宋体" w:cs="宋体"/>
                <w:color w:val="auto"/>
                <w:spacing w:val="-9"/>
                <w:sz w:val="21"/>
                <w:szCs w:val="21"/>
                <w:highlight w:val="none"/>
              </w:rPr>
              <w:t>1</w:t>
            </w:r>
          </w:p>
        </w:tc>
        <w:tc>
          <w:tcPr>
            <w:tcW w:w="936" w:type="dxa"/>
            <w:vAlign w:val="center"/>
          </w:tcPr>
          <w:p w14:paraId="1F6436BE">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4.2</w:t>
            </w:r>
          </w:p>
        </w:tc>
        <w:tc>
          <w:tcPr>
            <w:tcW w:w="7226" w:type="dxa"/>
            <w:tcBorders>
              <w:right w:val="single" w:color="000000" w:sz="6" w:space="0"/>
            </w:tcBorders>
            <w:vAlign w:val="center"/>
          </w:tcPr>
          <w:p w14:paraId="02B84BD0">
            <w:pPr>
              <w:snapToGrid w:val="0"/>
              <w:spacing w:before="10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履约保证金</w:t>
            </w:r>
            <w:r>
              <w:rPr>
                <w:rFonts w:hint="eastAsia" w:ascii="宋体" w:hAnsi="宋体" w:eastAsia="宋体" w:cs="宋体"/>
                <w:color w:val="auto"/>
                <w:spacing w:val="4"/>
                <w:sz w:val="21"/>
                <w:szCs w:val="21"/>
                <w:highlight w:val="none"/>
              </w:rPr>
              <w:t>额</w:t>
            </w:r>
            <w:r>
              <w:rPr>
                <w:rFonts w:hint="eastAsia" w:ascii="宋体" w:hAnsi="宋体" w:eastAsia="宋体" w:cs="宋体"/>
                <w:color w:val="auto"/>
                <w:spacing w:val="3"/>
                <w:sz w:val="21"/>
                <w:szCs w:val="21"/>
                <w:highlight w:val="none"/>
              </w:rPr>
              <w:t>度为</w:t>
            </w:r>
            <w:r>
              <w:rPr>
                <w:rFonts w:hint="eastAsia" w:ascii="宋体" w:hAnsi="宋体" w:eastAsia="宋体" w:cs="宋体"/>
                <w:color w:val="auto"/>
                <w:spacing w:val="3"/>
                <w:sz w:val="21"/>
                <w:szCs w:val="21"/>
                <w:highlight w:val="none"/>
                <w:u w:val="single" w:color="auto"/>
              </w:rPr>
              <w:t xml:space="preserve">  签约合同价的 5%   </w:t>
            </w:r>
            <w:r>
              <w:rPr>
                <w:rFonts w:hint="eastAsia" w:ascii="宋体" w:hAnsi="宋体" w:eastAsia="宋体" w:cs="宋体"/>
                <w:color w:val="auto"/>
                <w:spacing w:val="3"/>
                <w:sz w:val="21"/>
                <w:szCs w:val="21"/>
                <w:highlight w:val="none"/>
              </w:rPr>
              <w:t>。</w:t>
            </w:r>
          </w:p>
          <w:p w14:paraId="10AD4EF1">
            <w:pPr>
              <w:snapToGrid w:val="0"/>
              <w:spacing w:before="12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承</w:t>
            </w:r>
            <w:r>
              <w:rPr>
                <w:rFonts w:hint="eastAsia" w:ascii="宋体" w:hAnsi="宋体" w:eastAsia="宋体" w:cs="宋体"/>
                <w:color w:val="auto"/>
                <w:spacing w:val="10"/>
                <w:sz w:val="21"/>
                <w:szCs w:val="21"/>
                <w:highlight w:val="none"/>
              </w:rPr>
              <w:t>包</w:t>
            </w:r>
            <w:r>
              <w:rPr>
                <w:rFonts w:hint="eastAsia" w:ascii="宋体" w:hAnsi="宋体" w:eastAsia="宋体" w:cs="宋体"/>
                <w:color w:val="auto"/>
                <w:spacing w:val="6"/>
                <w:sz w:val="21"/>
                <w:szCs w:val="21"/>
                <w:highlight w:val="none"/>
              </w:rPr>
              <w:t>人应保证其履约保证金在发包人签发工程交工验收证书且承包人按照合同约</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定缴纳质量保证金前一直有效。发包人应在收到承包人缴纳的质量保证金后 28 天</w:t>
            </w:r>
            <w:r>
              <w:rPr>
                <w:rFonts w:hint="eastAsia" w:ascii="宋体" w:hAnsi="宋体" w:eastAsia="宋体" w:cs="宋体"/>
                <w:color w:val="auto"/>
                <w:sz w:val="21"/>
                <w:szCs w:val="21"/>
                <w:highlight w:val="none"/>
              </w:rPr>
              <w:t xml:space="preserve">内 </w:t>
            </w:r>
            <w:r>
              <w:rPr>
                <w:rFonts w:hint="eastAsia" w:ascii="宋体" w:hAnsi="宋体" w:eastAsia="宋体" w:cs="宋体"/>
                <w:color w:val="auto"/>
                <w:spacing w:val="8"/>
                <w:sz w:val="21"/>
                <w:szCs w:val="21"/>
                <w:highlight w:val="none"/>
              </w:rPr>
              <w:t>将</w:t>
            </w:r>
            <w:r>
              <w:rPr>
                <w:rFonts w:hint="eastAsia" w:ascii="宋体" w:hAnsi="宋体" w:eastAsia="宋体" w:cs="宋体"/>
                <w:color w:val="auto"/>
                <w:spacing w:val="5"/>
                <w:sz w:val="21"/>
                <w:szCs w:val="21"/>
                <w:highlight w:val="none"/>
              </w:rPr>
              <w:t>履约保证金退还给承包人。</w:t>
            </w:r>
          </w:p>
          <w:p w14:paraId="5AF38A2F">
            <w:pPr>
              <w:snapToGrid w:val="0"/>
              <w:spacing w:before="1" w:line="240" w:lineRule="auto"/>
              <w:ind w:left="0" w:leftChars="0" w:right="0" w:rightChars="0" w:firstLine="0" w:firstLineChars="0"/>
              <w:jc w:val="left"/>
              <w:rPr>
                <w:rFonts w:hint="eastAsia" w:ascii="宋体" w:hAnsi="宋体" w:eastAsia="宋体" w:cs="宋体"/>
                <w:color w:val="auto"/>
                <w:spacing w:val="9"/>
                <w:sz w:val="21"/>
                <w:szCs w:val="21"/>
                <w:highlight w:val="none"/>
              </w:rPr>
            </w:pPr>
            <w:r>
              <w:rPr>
                <w:rFonts w:hint="eastAsia" w:ascii="宋体" w:hAnsi="宋体" w:eastAsia="宋体" w:cs="宋体"/>
                <w:color w:val="auto"/>
                <w:spacing w:val="12"/>
                <w:sz w:val="21"/>
                <w:szCs w:val="21"/>
                <w:highlight w:val="none"/>
              </w:rPr>
              <w:t>承</w:t>
            </w:r>
            <w:r>
              <w:rPr>
                <w:rFonts w:hint="eastAsia" w:ascii="宋体" w:hAnsi="宋体" w:eastAsia="宋体" w:cs="宋体"/>
                <w:color w:val="auto"/>
                <w:spacing w:val="10"/>
                <w:sz w:val="21"/>
                <w:szCs w:val="21"/>
                <w:highlight w:val="none"/>
              </w:rPr>
              <w:t>包</w:t>
            </w:r>
            <w:r>
              <w:rPr>
                <w:rFonts w:hint="eastAsia" w:ascii="宋体" w:hAnsi="宋体" w:eastAsia="宋体" w:cs="宋体"/>
                <w:color w:val="auto"/>
                <w:spacing w:val="6"/>
                <w:sz w:val="21"/>
                <w:szCs w:val="21"/>
                <w:highlight w:val="none"/>
              </w:rPr>
              <w:t>人拒绝按照本合同约定缴纳质量保证金的，发包人有权从应付工程款中扣留</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相</w:t>
            </w:r>
            <w:r>
              <w:rPr>
                <w:rFonts w:hint="eastAsia" w:ascii="宋体" w:hAnsi="宋体" w:eastAsia="宋体" w:cs="宋体"/>
                <w:color w:val="auto"/>
                <w:spacing w:val="8"/>
                <w:sz w:val="21"/>
                <w:szCs w:val="21"/>
                <w:highlight w:val="none"/>
              </w:rPr>
              <w:t>应</w:t>
            </w:r>
            <w:r>
              <w:rPr>
                <w:rFonts w:hint="eastAsia" w:ascii="宋体" w:hAnsi="宋体" w:eastAsia="宋体" w:cs="宋体"/>
                <w:color w:val="auto"/>
                <w:spacing w:val="6"/>
                <w:sz w:val="21"/>
                <w:szCs w:val="21"/>
                <w:highlight w:val="none"/>
              </w:rPr>
              <w:t>金额作为质量保证金，或者直接将履约保证金金额用于保证承包人在缺陷责任</w:t>
            </w:r>
            <w:r>
              <w:rPr>
                <w:rFonts w:hint="eastAsia" w:ascii="宋体" w:hAnsi="宋体" w:eastAsia="宋体" w:cs="宋体"/>
                <w:color w:val="auto"/>
                <w:spacing w:val="8"/>
                <w:sz w:val="21"/>
                <w:szCs w:val="21"/>
                <w:highlight w:val="none"/>
              </w:rPr>
              <w:t>期</w:t>
            </w:r>
            <w:r>
              <w:rPr>
                <w:rFonts w:hint="eastAsia" w:ascii="宋体" w:hAnsi="宋体" w:eastAsia="宋体" w:cs="宋体"/>
                <w:color w:val="auto"/>
                <w:spacing w:val="7"/>
                <w:sz w:val="21"/>
                <w:szCs w:val="21"/>
                <w:highlight w:val="none"/>
              </w:rPr>
              <w:t>内</w:t>
            </w:r>
            <w:r>
              <w:rPr>
                <w:rFonts w:hint="eastAsia" w:ascii="宋体" w:hAnsi="宋体" w:eastAsia="宋体" w:cs="宋体"/>
                <w:color w:val="auto"/>
                <w:spacing w:val="4"/>
                <w:sz w:val="21"/>
                <w:szCs w:val="21"/>
                <w:highlight w:val="none"/>
              </w:rPr>
              <w:t>履行缺陷修复义务。</w:t>
            </w:r>
          </w:p>
        </w:tc>
      </w:tr>
      <w:tr w14:paraId="6E66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42079BC">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2</w:t>
            </w:r>
          </w:p>
        </w:tc>
        <w:tc>
          <w:tcPr>
            <w:tcW w:w="936" w:type="dxa"/>
            <w:vAlign w:val="center"/>
          </w:tcPr>
          <w:p w14:paraId="2AB78202">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4.3.4</w:t>
            </w:r>
          </w:p>
        </w:tc>
        <w:tc>
          <w:tcPr>
            <w:tcW w:w="7226" w:type="dxa"/>
            <w:tcBorders>
              <w:right w:val="single" w:color="000000" w:sz="6" w:space="0"/>
            </w:tcBorders>
            <w:vAlign w:val="center"/>
          </w:tcPr>
          <w:p w14:paraId="099E8EDA">
            <w:pPr>
              <w:snapToGrid w:val="0"/>
              <w:spacing w:before="140"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4.3.4  劳务分</w:t>
            </w:r>
            <w:r>
              <w:rPr>
                <w:rFonts w:hint="eastAsia" w:ascii="宋体" w:hAnsi="宋体" w:eastAsia="宋体" w:cs="宋体"/>
                <w:color w:val="auto"/>
                <w:spacing w:val="1"/>
                <w:sz w:val="21"/>
                <w:szCs w:val="21"/>
                <w:highlight w:val="none"/>
              </w:rPr>
              <w:t>包</w:t>
            </w:r>
          </w:p>
          <w:p w14:paraId="712DBF63">
            <w:pPr>
              <w:snapToGrid w:val="0"/>
              <w:spacing w:before="154"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本</w:t>
            </w:r>
            <w:r>
              <w:rPr>
                <w:rFonts w:hint="eastAsia" w:ascii="宋体" w:hAnsi="宋体" w:eastAsia="宋体" w:cs="宋体"/>
                <w:color w:val="auto"/>
                <w:spacing w:val="3"/>
                <w:sz w:val="21"/>
                <w:szCs w:val="21"/>
                <w:highlight w:val="none"/>
              </w:rPr>
              <w:t>项补充：</w:t>
            </w:r>
          </w:p>
          <w:p w14:paraId="440C31DE">
            <w:pPr>
              <w:snapToGrid w:val="0"/>
              <w:spacing w:before="154"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 xml:space="preserve">(5) </w:t>
            </w:r>
            <w:r>
              <w:rPr>
                <w:rFonts w:hint="eastAsia" w:ascii="宋体" w:hAnsi="宋体" w:eastAsia="宋体" w:cs="宋体"/>
                <w:color w:val="auto"/>
                <w:spacing w:val="8"/>
                <w:sz w:val="21"/>
                <w:szCs w:val="21"/>
                <w:highlight w:val="none"/>
              </w:rPr>
              <w:t>劳</w:t>
            </w:r>
            <w:r>
              <w:rPr>
                <w:rFonts w:hint="eastAsia" w:ascii="宋体" w:hAnsi="宋体" w:eastAsia="宋体" w:cs="宋体"/>
                <w:color w:val="auto"/>
                <w:spacing w:val="5"/>
                <w:sz w:val="21"/>
                <w:szCs w:val="21"/>
                <w:highlight w:val="none"/>
              </w:rPr>
              <w:t>务分包合同应当包括以下内容：劳务合同期限、工作内容和工作时间、劳</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动</w:t>
            </w:r>
            <w:r>
              <w:rPr>
                <w:rFonts w:hint="eastAsia" w:ascii="宋体" w:hAnsi="宋体" w:eastAsia="宋体" w:cs="宋体"/>
                <w:color w:val="auto"/>
                <w:spacing w:val="6"/>
                <w:sz w:val="21"/>
                <w:szCs w:val="21"/>
                <w:highlight w:val="none"/>
              </w:rPr>
              <w:t>保护和劳动条件、劳务报酬 (在劳动合同中要明确工资以货币形式按月支付，并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约定支付的时间、标准和支付方式) 、劳动纪律 (在劳动合同中明确要求农民工</w:t>
            </w:r>
            <w:r>
              <w:rPr>
                <w:rFonts w:hint="eastAsia" w:ascii="宋体" w:hAnsi="宋体" w:eastAsia="宋体" w:cs="宋体"/>
                <w:color w:val="auto"/>
                <w:spacing w:val="3"/>
                <w:sz w:val="21"/>
                <w:szCs w:val="21"/>
                <w:highlight w:val="none"/>
              </w:rPr>
              <w:t>遵</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守</w:t>
            </w:r>
            <w:r>
              <w:rPr>
                <w:rFonts w:hint="eastAsia" w:ascii="宋体" w:hAnsi="宋体" w:eastAsia="宋体" w:cs="宋体"/>
                <w:color w:val="auto"/>
                <w:spacing w:val="9"/>
                <w:sz w:val="21"/>
                <w:szCs w:val="21"/>
                <w:highlight w:val="none"/>
              </w:rPr>
              <w:t>的</w:t>
            </w:r>
            <w:r>
              <w:rPr>
                <w:rFonts w:hint="eastAsia" w:ascii="宋体" w:hAnsi="宋体" w:eastAsia="宋体" w:cs="宋体"/>
                <w:color w:val="auto"/>
                <w:spacing w:val="6"/>
                <w:sz w:val="21"/>
                <w:szCs w:val="21"/>
                <w:highlight w:val="none"/>
              </w:rPr>
              <w:t>用人单位依法制定的有关规章制度，用人单位应当在签订劳动合同前告知农民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工) 、违反劳务合同的责任 (劳务合同中应当约定违约责任，一方违反劳务合同</w:t>
            </w:r>
            <w:r>
              <w:rPr>
                <w:rFonts w:hint="eastAsia" w:ascii="宋体" w:hAnsi="宋体" w:eastAsia="宋体" w:cs="宋体"/>
                <w:color w:val="auto"/>
                <w:spacing w:val="3"/>
                <w:sz w:val="21"/>
                <w:szCs w:val="21"/>
                <w:highlight w:val="none"/>
              </w:rPr>
              <w:t>给</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对方造</w:t>
            </w:r>
            <w:r>
              <w:rPr>
                <w:rFonts w:hint="eastAsia" w:ascii="宋体" w:hAnsi="宋体" w:eastAsia="宋体" w:cs="宋体"/>
                <w:color w:val="auto"/>
                <w:spacing w:val="5"/>
                <w:sz w:val="21"/>
                <w:szCs w:val="21"/>
                <w:highlight w:val="none"/>
              </w:rPr>
              <w:t>成经济损失的，要按《劳动法》等有关法律规定承担赔偿责任) 。</w:t>
            </w:r>
          </w:p>
          <w:p w14:paraId="77C85A24">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0"/>
                <w:position w:val="15"/>
                <w:sz w:val="21"/>
                <w:szCs w:val="21"/>
                <w:highlight w:val="none"/>
              </w:rPr>
              <w:t>(6) 发</w:t>
            </w:r>
            <w:r>
              <w:rPr>
                <w:rFonts w:hint="eastAsia" w:ascii="宋体" w:hAnsi="宋体" w:eastAsia="宋体" w:cs="宋体"/>
                <w:color w:val="auto"/>
                <w:spacing w:val="5"/>
                <w:position w:val="15"/>
                <w:sz w:val="21"/>
                <w:szCs w:val="21"/>
                <w:highlight w:val="none"/>
              </w:rPr>
              <w:t>包人批准的劳务分包并不免除本合同规定的承包人的任何责任或义</w:t>
            </w:r>
          </w:p>
          <w:p w14:paraId="16EA4D20">
            <w:pPr>
              <w:snapToGrid w:val="0"/>
              <w:spacing w:line="240" w:lineRule="auto"/>
              <w:ind w:left="0" w:leftChars="0" w:right="0" w:rightChars="0" w:firstLine="0" w:firstLineChars="0"/>
              <w:jc w:val="left"/>
              <w:rPr>
                <w:rFonts w:hint="eastAsia" w:ascii="宋体" w:hAnsi="宋体" w:eastAsia="宋体" w:cs="宋体"/>
                <w:color w:val="auto"/>
                <w:spacing w:val="9"/>
                <w:sz w:val="21"/>
                <w:szCs w:val="21"/>
                <w:highlight w:val="none"/>
              </w:rPr>
            </w:pPr>
            <w:r>
              <w:rPr>
                <w:rFonts w:hint="eastAsia" w:ascii="宋体" w:hAnsi="宋体" w:cs="宋体"/>
                <w:color w:val="auto"/>
                <w:spacing w:val="10"/>
                <w:sz w:val="21"/>
                <w:szCs w:val="21"/>
                <w:highlight w:val="none"/>
                <w:lang w:val="en-US" w:eastAsia="zh-CN"/>
              </w:rPr>
              <w:t>务，发</w:t>
            </w:r>
            <w:r>
              <w:rPr>
                <w:rFonts w:hint="eastAsia" w:ascii="宋体" w:hAnsi="宋体" w:eastAsia="宋体" w:cs="宋体"/>
                <w:color w:val="auto"/>
                <w:spacing w:val="10"/>
                <w:sz w:val="21"/>
                <w:szCs w:val="21"/>
                <w:highlight w:val="none"/>
              </w:rPr>
              <w:t>包人对承</w:t>
            </w:r>
            <w:r>
              <w:rPr>
                <w:rFonts w:hint="eastAsia" w:ascii="宋体" w:hAnsi="宋体" w:eastAsia="宋体" w:cs="宋体"/>
                <w:color w:val="auto"/>
                <w:spacing w:val="7"/>
                <w:sz w:val="21"/>
                <w:szCs w:val="21"/>
                <w:highlight w:val="none"/>
              </w:rPr>
              <w:t>包</w:t>
            </w:r>
            <w:r>
              <w:rPr>
                <w:rFonts w:hint="eastAsia" w:ascii="宋体" w:hAnsi="宋体" w:eastAsia="宋体" w:cs="宋体"/>
                <w:color w:val="auto"/>
                <w:spacing w:val="5"/>
                <w:sz w:val="21"/>
                <w:szCs w:val="21"/>
                <w:highlight w:val="none"/>
              </w:rPr>
              <w:t>人与劳务分包人之间的法律与经济纠纷不承担任何责任和义务。</w:t>
            </w:r>
          </w:p>
        </w:tc>
      </w:tr>
      <w:tr w14:paraId="2B228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D296BCC">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3</w:t>
            </w:r>
          </w:p>
        </w:tc>
        <w:tc>
          <w:tcPr>
            <w:tcW w:w="936" w:type="dxa"/>
            <w:vAlign w:val="center"/>
          </w:tcPr>
          <w:p w14:paraId="31A8741C">
            <w:pPr>
              <w:snapToGrid w:val="0"/>
              <w:spacing w:before="57"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5"/>
                <w:sz w:val="21"/>
                <w:szCs w:val="21"/>
                <w:highlight w:val="none"/>
              </w:rPr>
              <w:t>4</w:t>
            </w:r>
            <w:r>
              <w:rPr>
                <w:rFonts w:hint="eastAsia" w:ascii="宋体" w:hAnsi="宋体" w:eastAsia="宋体" w:cs="宋体"/>
                <w:color w:val="auto"/>
                <w:spacing w:val="3"/>
                <w:sz w:val="21"/>
                <w:szCs w:val="21"/>
                <w:highlight w:val="none"/>
              </w:rPr>
              <w:t>.3</w:t>
            </w:r>
          </w:p>
        </w:tc>
        <w:tc>
          <w:tcPr>
            <w:tcW w:w="7226" w:type="dxa"/>
            <w:tcBorders>
              <w:right w:val="single" w:color="000000" w:sz="6" w:space="0"/>
            </w:tcBorders>
            <w:vAlign w:val="center"/>
          </w:tcPr>
          <w:p w14:paraId="0A8A4781">
            <w:pPr>
              <w:snapToGrid w:val="0"/>
              <w:spacing w:before="14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本</w:t>
            </w:r>
            <w:r>
              <w:rPr>
                <w:rFonts w:hint="eastAsia" w:ascii="宋体" w:hAnsi="宋体" w:eastAsia="宋体" w:cs="宋体"/>
                <w:color w:val="auto"/>
                <w:spacing w:val="3"/>
                <w:sz w:val="21"/>
                <w:szCs w:val="21"/>
                <w:highlight w:val="none"/>
              </w:rPr>
              <w:t>款补充：</w:t>
            </w:r>
          </w:p>
          <w:p w14:paraId="20CCCB93">
            <w:pPr>
              <w:snapToGrid w:val="0"/>
              <w:spacing w:before="153"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4</w:t>
            </w:r>
            <w:r>
              <w:rPr>
                <w:rFonts w:hint="eastAsia" w:ascii="宋体" w:hAnsi="宋体" w:eastAsia="宋体" w:cs="宋体"/>
                <w:color w:val="auto"/>
                <w:spacing w:val="3"/>
                <w:sz w:val="21"/>
                <w:szCs w:val="21"/>
                <w:highlight w:val="none"/>
              </w:rPr>
              <w:t>.3.8  本项目的分包合同及劳动合同应按照发包人的要求，按照住房和城乡建设部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和</w:t>
            </w:r>
            <w:r>
              <w:rPr>
                <w:rFonts w:hint="eastAsia" w:ascii="宋体" w:hAnsi="宋体" w:eastAsia="宋体" w:cs="宋体"/>
                <w:color w:val="auto"/>
                <w:spacing w:val="7"/>
                <w:sz w:val="21"/>
                <w:szCs w:val="21"/>
                <w:highlight w:val="none"/>
              </w:rPr>
              <w:t>劳</w:t>
            </w:r>
            <w:r>
              <w:rPr>
                <w:rFonts w:hint="eastAsia" w:ascii="宋体" w:hAnsi="宋体" w:eastAsia="宋体" w:cs="宋体"/>
                <w:color w:val="auto"/>
                <w:spacing w:val="6"/>
                <w:sz w:val="21"/>
                <w:szCs w:val="21"/>
                <w:highlight w:val="none"/>
              </w:rPr>
              <w:t>动社会保障部的示范合同文本，或交通运输主管部门颁发的示范合同文本编制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并签订。</w:t>
            </w:r>
          </w:p>
          <w:p w14:paraId="2577715B">
            <w:pPr>
              <w:snapToGrid w:val="0"/>
              <w:spacing w:line="240" w:lineRule="auto"/>
              <w:ind w:left="0" w:leftChars="0" w:right="0" w:rightChars="0" w:firstLine="0" w:firstLineChars="0"/>
              <w:jc w:val="left"/>
              <w:rPr>
                <w:rFonts w:hint="eastAsia" w:ascii="宋体" w:hAnsi="宋体" w:eastAsia="宋体" w:cs="宋体"/>
                <w:color w:val="auto"/>
                <w:spacing w:val="9"/>
                <w:sz w:val="21"/>
                <w:szCs w:val="21"/>
                <w:highlight w:val="none"/>
              </w:rPr>
            </w:pPr>
            <w:r>
              <w:rPr>
                <w:rFonts w:hint="eastAsia" w:ascii="宋体" w:hAnsi="宋体" w:eastAsia="宋体" w:cs="宋体"/>
                <w:color w:val="auto"/>
                <w:spacing w:val="4"/>
                <w:position w:val="14"/>
                <w:sz w:val="21"/>
                <w:szCs w:val="21"/>
                <w:highlight w:val="none"/>
              </w:rPr>
              <w:t>4.3.9  承包人的分包应符合本项目招标文件第二章“投标人须知”第 1. 11 款的</w:t>
            </w:r>
            <w:r>
              <w:rPr>
                <w:rFonts w:hint="eastAsia" w:ascii="宋体" w:hAnsi="宋体" w:eastAsia="宋体" w:cs="宋体"/>
                <w:color w:val="auto"/>
                <w:spacing w:val="1"/>
                <w:position w:val="14"/>
                <w:sz w:val="21"/>
                <w:szCs w:val="21"/>
                <w:highlight w:val="none"/>
              </w:rPr>
              <w:t>规</w:t>
            </w:r>
            <w:r>
              <w:rPr>
                <w:rFonts w:hint="eastAsia" w:ascii="宋体" w:hAnsi="宋体" w:cs="宋体"/>
                <w:color w:val="auto"/>
                <w:spacing w:val="1"/>
                <w:position w:val="14"/>
                <w:sz w:val="21"/>
                <w:szCs w:val="21"/>
                <w:highlight w:val="none"/>
                <w:lang w:val="en-US" w:eastAsia="zh-CN"/>
              </w:rPr>
              <w:t>定。</w:t>
            </w:r>
          </w:p>
        </w:tc>
      </w:tr>
      <w:tr w14:paraId="2EE50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64B6866">
            <w:pPr>
              <w:snapToGrid w:val="0"/>
              <w:spacing w:before="58"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4</w:t>
            </w:r>
          </w:p>
        </w:tc>
        <w:tc>
          <w:tcPr>
            <w:tcW w:w="936" w:type="dxa"/>
            <w:vAlign w:val="center"/>
          </w:tcPr>
          <w:p w14:paraId="1D4CF663">
            <w:pPr>
              <w:snapToGrid w:val="0"/>
              <w:spacing w:before="58" w:line="240" w:lineRule="auto"/>
              <w:ind w:left="0" w:leftChars="0" w:right="0" w:rightChars="0" w:firstLine="0" w:firstLineChars="0"/>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pacing w:val="5"/>
                <w:sz w:val="21"/>
                <w:szCs w:val="21"/>
                <w:highlight w:val="none"/>
              </w:rPr>
              <w:t>4</w:t>
            </w:r>
            <w:r>
              <w:rPr>
                <w:rFonts w:hint="eastAsia" w:ascii="宋体" w:hAnsi="宋体" w:eastAsia="宋体" w:cs="宋体"/>
                <w:color w:val="auto"/>
                <w:spacing w:val="4"/>
                <w:sz w:val="21"/>
                <w:szCs w:val="21"/>
                <w:highlight w:val="none"/>
              </w:rPr>
              <w:t>.9</w:t>
            </w:r>
          </w:p>
        </w:tc>
        <w:tc>
          <w:tcPr>
            <w:tcW w:w="7226" w:type="dxa"/>
            <w:tcBorders>
              <w:right w:val="single" w:color="000000" w:sz="6" w:space="0"/>
            </w:tcBorders>
            <w:vAlign w:val="center"/>
          </w:tcPr>
          <w:p w14:paraId="6A1DE2C6">
            <w:pPr>
              <w:snapToGrid w:val="0"/>
              <w:spacing w:before="142" w:line="240" w:lineRule="auto"/>
              <w:ind w:left="0" w:leftChars="0" w:right="0" w:rightChars="0" w:firstLine="0" w:firstLineChars="0"/>
              <w:jc w:val="left"/>
              <w:rPr>
                <w:rFonts w:hint="eastAsia" w:ascii="宋体" w:hAnsi="宋体" w:eastAsia="宋体" w:cs="宋体"/>
                <w:color w:val="auto"/>
                <w:spacing w:val="-3"/>
                <w:sz w:val="21"/>
                <w:szCs w:val="21"/>
                <w:highlight w:val="none"/>
              </w:rPr>
            </w:pPr>
            <w:r>
              <w:rPr>
                <w:rFonts w:hint="eastAsia" w:ascii="宋体" w:hAnsi="宋体" w:eastAsia="宋体" w:cs="宋体"/>
                <w:color w:val="auto"/>
                <w:spacing w:val="12"/>
                <w:sz w:val="21"/>
                <w:szCs w:val="21"/>
                <w:highlight w:val="none"/>
              </w:rPr>
              <w:t>工</w:t>
            </w:r>
            <w:r>
              <w:rPr>
                <w:rFonts w:hint="eastAsia" w:ascii="宋体" w:hAnsi="宋体" w:eastAsia="宋体" w:cs="宋体"/>
                <w:color w:val="auto"/>
                <w:spacing w:val="8"/>
                <w:sz w:val="21"/>
                <w:szCs w:val="21"/>
                <w:highlight w:val="none"/>
              </w:rPr>
              <w:t>程</w:t>
            </w:r>
            <w:r>
              <w:rPr>
                <w:rFonts w:hint="eastAsia" w:ascii="宋体" w:hAnsi="宋体" w:eastAsia="宋体" w:cs="宋体"/>
                <w:color w:val="auto"/>
                <w:spacing w:val="6"/>
                <w:sz w:val="21"/>
                <w:szCs w:val="21"/>
                <w:highlight w:val="none"/>
              </w:rPr>
              <w:t>价款应专款专用：经发包人提出申请后，发包人按合同约定支付给承包人的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各</w:t>
            </w:r>
            <w:r>
              <w:rPr>
                <w:rFonts w:hint="eastAsia" w:ascii="宋体" w:hAnsi="宋体" w:eastAsia="宋体" w:cs="宋体"/>
                <w:color w:val="auto"/>
                <w:spacing w:val="2"/>
                <w:sz w:val="21"/>
                <w:szCs w:val="21"/>
                <w:highlight w:val="none"/>
              </w:rPr>
              <w:t>项价款应专用于合同工程。发包人支付的工程进度款应为本工程的专款专用资金，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不</w:t>
            </w:r>
            <w:r>
              <w:rPr>
                <w:rFonts w:hint="eastAsia" w:ascii="宋体" w:hAnsi="宋体" w:eastAsia="宋体" w:cs="宋体"/>
                <w:color w:val="auto"/>
                <w:spacing w:val="7"/>
                <w:sz w:val="21"/>
                <w:szCs w:val="21"/>
                <w:highlight w:val="none"/>
              </w:rPr>
              <w:t>得</w:t>
            </w:r>
            <w:r>
              <w:rPr>
                <w:rFonts w:hint="eastAsia" w:ascii="宋体" w:hAnsi="宋体" w:eastAsia="宋体" w:cs="宋体"/>
                <w:color w:val="auto"/>
                <w:spacing w:val="6"/>
                <w:sz w:val="21"/>
                <w:szCs w:val="21"/>
                <w:highlight w:val="none"/>
              </w:rPr>
              <w:t>转移或用于其他工程。发包人及其派出机构有权不定期对承包人工程资金使用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情</w:t>
            </w:r>
            <w:r>
              <w:rPr>
                <w:rFonts w:hint="eastAsia" w:ascii="宋体" w:hAnsi="宋体" w:eastAsia="宋体" w:cs="宋体"/>
                <w:color w:val="auto"/>
                <w:spacing w:val="7"/>
                <w:sz w:val="21"/>
                <w:szCs w:val="21"/>
                <w:highlight w:val="none"/>
              </w:rPr>
              <w:t>况</w:t>
            </w:r>
            <w:r>
              <w:rPr>
                <w:rFonts w:hint="eastAsia" w:ascii="宋体" w:hAnsi="宋体" w:eastAsia="宋体" w:cs="宋体"/>
                <w:color w:val="auto"/>
                <w:spacing w:val="6"/>
                <w:sz w:val="21"/>
                <w:szCs w:val="21"/>
                <w:highlight w:val="none"/>
              </w:rPr>
              <w:t>进行检查，发现问题及时责令承包人限期改正，否则，将终止支付，直至承包</w:t>
            </w:r>
            <w:r>
              <w:rPr>
                <w:rFonts w:hint="eastAsia" w:ascii="宋体" w:hAnsi="宋体" w:cs="宋体"/>
                <w:color w:val="auto"/>
                <w:spacing w:val="6"/>
                <w:sz w:val="21"/>
                <w:szCs w:val="21"/>
                <w:highlight w:val="none"/>
                <w:lang w:val="en-US" w:eastAsia="zh-CN"/>
              </w:rPr>
              <w:t>人改正为止。</w:t>
            </w:r>
          </w:p>
        </w:tc>
      </w:tr>
      <w:tr w14:paraId="09438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F7AC450">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5</w:t>
            </w:r>
          </w:p>
        </w:tc>
        <w:tc>
          <w:tcPr>
            <w:tcW w:w="936" w:type="dxa"/>
            <w:vAlign w:val="center"/>
          </w:tcPr>
          <w:p w14:paraId="69BD1B5E">
            <w:pPr>
              <w:snapToGrid w:val="0"/>
              <w:spacing w:before="57" w:line="240" w:lineRule="auto"/>
              <w:ind w:left="0" w:leftChars="0" w:right="0" w:rightChars="0" w:firstLine="0" w:firstLineChars="0"/>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pacing w:val="-10"/>
                <w:sz w:val="21"/>
                <w:szCs w:val="21"/>
                <w:highlight w:val="none"/>
              </w:rPr>
              <w:t>4</w:t>
            </w:r>
            <w:r>
              <w:rPr>
                <w:rFonts w:hint="eastAsia" w:ascii="宋体" w:hAnsi="宋体" w:eastAsia="宋体" w:cs="宋体"/>
                <w:color w:val="auto"/>
                <w:spacing w:val="-7"/>
                <w:sz w:val="21"/>
                <w:szCs w:val="21"/>
                <w:highlight w:val="none"/>
              </w:rPr>
              <w:t>. 13</w:t>
            </w:r>
          </w:p>
        </w:tc>
        <w:tc>
          <w:tcPr>
            <w:tcW w:w="7226" w:type="dxa"/>
            <w:tcBorders>
              <w:right w:val="single" w:color="000000" w:sz="6" w:space="0"/>
            </w:tcBorders>
            <w:vAlign w:val="center"/>
          </w:tcPr>
          <w:p w14:paraId="7BFAF6DE">
            <w:pPr>
              <w:snapToGrid w:val="0"/>
              <w:spacing w:before="159" w:line="240" w:lineRule="auto"/>
              <w:ind w:left="0" w:leftChars="0" w:right="0" w:rightChars="0" w:firstLine="0" w:firstLineChars="0"/>
              <w:jc w:val="left"/>
              <w:rPr>
                <w:rFonts w:hint="eastAsia" w:ascii="宋体" w:hAnsi="宋体" w:eastAsia="宋体" w:cs="宋体"/>
                <w:color w:val="auto"/>
                <w:spacing w:val="-3"/>
                <w:sz w:val="21"/>
                <w:szCs w:val="21"/>
                <w:highlight w:val="none"/>
              </w:rPr>
            </w:pPr>
            <w:r>
              <w:rPr>
                <w:rFonts w:hint="eastAsia" w:ascii="宋体" w:hAnsi="宋体" w:eastAsia="宋体" w:cs="宋体"/>
                <w:color w:val="auto"/>
                <w:spacing w:val="18"/>
                <w:sz w:val="21"/>
                <w:szCs w:val="21"/>
                <w:highlight w:val="none"/>
              </w:rPr>
              <w:t>承</w:t>
            </w:r>
            <w:r>
              <w:rPr>
                <w:rFonts w:hint="eastAsia" w:ascii="宋体" w:hAnsi="宋体" w:eastAsia="宋体" w:cs="宋体"/>
                <w:color w:val="auto"/>
                <w:spacing w:val="12"/>
                <w:sz w:val="21"/>
                <w:szCs w:val="21"/>
                <w:highlight w:val="none"/>
              </w:rPr>
              <w:t>包人为国有控股或参股企业的，承包人应按规定在项目现场设立基层党组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织</w:t>
            </w:r>
            <w:r>
              <w:rPr>
                <w:rFonts w:hint="eastAsia" w:ascii="宋体" w:hAnsi="宋体" w:eastAsia="宋体" w:cs="宋体"/>
                <w:color w:val="auto"/>
                <w:spacing w:val="12"/>
                <w:sz w:val="21"/>
                <w:szCs w:val="21"/>
                <w:highlight w:val="none"/>
              </w:rPr>
              <w:t>。承包人为非国有控股或参股企业的，承包人应创造条件使党员能够参加党组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织</w:t>
            </w:r>
            <w:r>
              <w:rPr>
                <w:rFonts w:hint="eastAsia" w:ascii="宋体" w:hAnsi="宋体" w:eastAsia="宋体" w:cs="宋体"/>
                <w:color w:val="auto"/>
                <w:spacing w:val="12"/>
                <w:sz w:val="21"/>
                <w:szCs w:val="21"/>
                <w:highlight w:val="none"/>
              </w:rPr>
              <w:t>生活并接受相应管理。承包人应在项目现场设立基层党组织，积极组织党员学</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2"/>
                <w:sz w:val="21"/>
                <w:szCs w:val="21"/>
                <w:highlight w:val="none"/>
              </w:rPr>
              <w:t>习</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11"/>
                <w:sz w:val="21"/>
                <w:szCs w:val="21"/>
                <w:highlight w:val="none"/>
              </w:rPr>
              <w:t>承办党建工作室 (党员之家) ，建立党建工作制度、明确“两学一做”常态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化</w:t>
            </w:r>
            <w:r>
              <w:rPr>
                <w:rFonts w:hint="eastAsia" w:ascii="宋体" w:hAnsi="宋体" w:eastAsia="宋体" w:cs="宋体"/>
                <w:color w:val="auto"/>
                <w:spacing w:val="12"/>
                <w:sz w:val="21"/>
                <w:szCs w:val="21"/>
                <w:highlight w:val="none"/>
              </w:rPr>
              <w:t>制度化建设目标和任务、明确党组织机构设置、党组织负责人及党务工作人员</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配</w:t>
            </w:r>
            <w:r>
              <w:rPr>
                <w:rFonts w:hint="eastAsia" w:ascii="宋体" w:hAnsi="宋体" w:eastAsia="宋体" w:cs="宋体"/>
                <w:color w:val="auto"/>
                <w:spacing w:val="12"/>
                <w:sz w:val="21"/>
                <w:szCs w:val="21"/>
                <w:highlight w:val="none"/>
              </w:rPr>
              <w:t>备情况，编制党务工作开展预案，并按照预案要求在项目实施过程中同步开展党</w:t>
            </w:r>
            <w:r>
              <w:rPr>
                <w:rFonts w:hint="eastAsia" w:ascii="宋体" w:hAnsi="宋体" w:eastAsia="宋体" w:cs="宋体"/>
                <w:color w:val="auto"/>
                <w:spacing w:val="9"/>
                <w:sz w:val="21"/>
                <w:szCs w:val="21"/>
                <w:highlight w:val="none"/>
              </w:rPr>
              <w:t>务工作，充分发挥基层党组织在项目实施中的作用。</w:t>
            </w:r>
          </w:p>
        </w:tc>
      </w:tr>
      <w:tr w14:paraId="01AA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1452875">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6</w:t>
            </w:r>
          </w:p>
        </w:tc>
        <w:tc>
          <w:tcPr>
            <w:tcW w:w="936" w:type="dxa"/>
            <w:vAlign w:val="center"/>
          </w:tcPr>
          <w:p w14:paraId="2505E04A">
            <w:pPr>
              <w:snapToGrid w:val="0"/>
              <w:spacing w:before="58" w:line="240" w:lineRule="auto"/>
              <w:ind w:left="0" w:leftChars="0" w:right="0" w:rightChars="0" w:firstLine="0" w:firstLineChars="0"/>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pacing w:val="-7"/>
                <w:sz w:val="21"/>
                <w:szCs w:val="21"/>
                <w:highlight w:val="none"/>
              </w:rPr>
              <w:t>5. 1.2</w:t>
            </w:r>
          </w:p>
        </w:tc>
        <w:tc>
          <w:tcPr>
            <w:tcW w:w="7226" w:type="dxa"/>
            <w:tcBorders>
              <w:right w:val="single" w:color="000000" w:sz="6" w:space="0"/>
            </w:tcBorders>
            <w:vAlign w:val="center"/>
          </w:tcPr>
          <w:p w14:paraId="69714F4B">
            <w:pPr>
              <w:snapToGrid w:val="0"/>
              <w:spacing w:before="140"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1、为确保本合同工程的施工质量，在合同履行过程中，发包人将结合国</w:t>
            </w:r>
            <w:r>
              <w:rPr>
                <w:rFonts w:hint="eastAsia" w:ascii="宋体" w:hAnsi="宋体" w:eastAsia="宋体" w:cs="宋体"/>
                <w:color w:val="auto"/>
                <w:spacing w:val="2"/>
                <w:sz w:val="21"/>
                <w:szCs w:val="21"/>
                <w:highlight w:val="none"/>
              </w:rPr>
              <w:t>内</w:t>
            </w:r>
            <w:r>
              <w:rPr>
                <w:rFonts w:hint="eastAsia" w:ascii="宋体" w:hAnsi="宋体" w:eastAsia="宋体" w:cs="宋体"/>
                <w:color w:val="auto"/>
                <w:sz w:val="21"/>
                <w:szCs w:val="21"/>
                <w:highlight w:val="none"/>
              </w:rPr>
              <w:t xml:space="preserve">工程 </w:t>
            </w:r>
            <w:r>
              <w:rPr>
                <w:rFonts w:hint="eastAsia" w:ascii="宋体" w:hAnsi="宋体" w:eastAsia="宋体" w:cs="宋体"/>
                <w:color w:val="auto"/>
                <w:spacing w:val="12"/>
                <w:sz w:val="21"/>
                <w:szCs w:val="21"/>
                <w:highlight w:val="none"/>
              </w:rPr>
              <w:t>施</w:t>
            </w:r>
            <w:r>
              <w:rPr>
                <w:rFonts w:hint="eastAsia" w:ascii="宋体" w:hAnsi="宋体" w:eastAsia="宋体" w:cs="宋体"/>
                <w:color w:val="auto"/>
                <w:spacing w:val="9"/>
                <w:sz w:val="21"/>
                <w:szCs w:val="21"/>
                <w:highlight w:val="none"/>
              </w:rPr>
              <w:t>工</w:t>
            </w:r>
            <w:r>
              <w:rPr>
                <w:rFonts w:hint="eastAsia" w:ascii="宋体" w:hAnsi="宋体" w:eastAsia="宋体" w:cs="宋体"/>
                <w:color w:val="auto"/>
                <w:spacing w:val="6"/>
                <w:sz w:val="21"/>
                <w:szCs w:val="21"/>
                <w:highlight w:val="none"/>
              </w:rPr>
              <w:t>现状，以及工程实际需要，对部分施工流程或工艺等提出特殊的设备要求，承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包人应予实施，由此所增加的设备购置费或租赁费用 (合同另有约定除外) 发包</w:t>
            </w:r>
            <w:r>
              <w:rPr>
                <w:rFonts w:hint="eastAsia" w:ascii="宋体" w:hAnsi="宋体" w:eastAsia="宋体" w:cs="宋体"/>
                <w:color w:val="auto"/>
                <w:spacing w:val="3"/>
                <w:sz w:val="21"/>
                <w:szCs w:val="21"/>
                <w:highlight w:val="none"/>
              </w:rPr>
              <w:t>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不另行支付。</w:t>
            </w:r>
          </w:p>
          <w:p w14:paraId="64EEDC82">
            <w:pPr>
              <w:snapToGrid w:val="0"/>
              <w:spacing w:before="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2、为保</w:t>
            </w:r>
            <w:r>
              <w:rPr>
                <w:rFonts w:hint="eastAsia" w:ascii="宋体" w:hAnsi="宋体" w:eastAsia="宋体" w:cs="宋体"/>
                <w:color w:val="auto"/>
                <w:spacing w:val="4"/>
                <w:sz w:val="21"/>
                <w:szCs w:val="21"/>
                <w:highlight w:val="none"/>
              </w:rPr>
              <w:t>证</w:t>
            </w:r>
            <w:r>
              <w:rPr>
                <w:rFonts w:hint="eastAsia" w:ascii="宋体" w:hAnsi="宋体" w:eastAsia="宋体" w:cs="宋体"/>
                <w:color w:val="auto"/>
                <w:spacing w:val="3"/>
                <w:sz w:val="21"/>
                <w:szCs w:val="21"/>
                <w:highlight w:val="none"/>
              </w:rPr>
              <w:t>工程质量，对于本项目所需的主要工程材料，承包人应选择信誉良好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的</w:t>
            </w:r>
            <w:r>
              <w:rPr>
                <w:rFonts w:hint="eastAsia" w:ascii="宋体" w:hAnsi="宋体" w:eastAsia="宋体" w:cs="宋体"/>
                <w:color w:val="auto"/>
                <w:spacing w:val="8"/>
                <w:sz w:val="21"/>
                <w:szCs w:val="21"/>
                <w:highlight w:val="none"/>
              </w:rPr>
              <w:t>材</w:t>
            </w:r>
            <w:r>
              <w:rPr>
                <w:rFonts w:hint="eastAsia" w:ascii="宋体" w:hAnsi="宋体" w:eastAsia="宋体" w:cs="宋体"/>
                <w:color w:val="auto"/>
                <w:spacing w:val="6"/>
                <w:sz w:val="21"/>
                <w:szCs w:val="21"/>
                <w:highlight w:val="none"/>
              </w:rPr>
              <w:t>料供应商或制造商或加工生产商。在与主要工程材料供应商或制造商或加工生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产</w:t>
            </w:r>
            <w:r>
              <w:rPr>
                <w:rFonts w:hint="eastAsia" w:ascii="宋体" w:hAnsi="宋体" w:eastAsia="宋体" w:cs="宋体"/>
                <w:color w:val="auto"/>
                <w:spacing w:val="8"/>
                <w:sz w:val="21"/>
                <w:szCs w:val="21"/>
                <w:highlight w:val="none"/>
              </w:rPr>
              <w:t>商</w:t>
            </w:r>
            <w:r>
              <w:rPr>
                <w:rFonts w:hint="eastAsia" w:ascii="宋体" w:hAnsi="宋体" w:eastAsia="宋体" w:cs="宋体"/>
                <w:color w:val="auto"/>
                <w:spacing w:val="6"/>
                <w:sz w:val="21"/>
                <w:szCs w:val="21"/>
                <w:highlight w:val="none"/>
              </w:rPr>
              <w:t>签订供货合同前，承包人必须将供应商或制造商或加工生产商的名单、相应资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格</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材料品质报告等送发包人审查批准后，方可将主要工程材料用于实体工程，否</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则</w:t>
            </w:r>
            <w:r>
              <w:rPr>
                <w:rFonts w:hint="eastAsia" w:ascii="宋体" w:hAnsi="宋体" w:eastAsia="宋体" w:cs="宋体"/>
                <w:color w:val="auto"/>
                <w:spacing w:val="8"/>
                <w:sz w:val="21"/>
                <w:szCs w:val="21"/>
                <w:highlight w:val="none"/>
              </w:rPr>
              <w:t>发</w:t>
            </w:r>
            <w:r>
              <w:rPr>
                <w:rFonts w:hint="eastAsia" w:ascii="宋体" w:hAnsi="宋体" w:eastAsia="宋体" w:cs="宋体"/>
                <w:color w:val="auto"/>
                <w:spacing w:val="6"/>
                <w:sz w:val="21"/>
                <w:szCs w:val="21"/>
                <w:highlight w:val="none"/>
              </w:rPr>
              <w:t>包人将视其为不合格工程并要求承包人返工重作或进行补救处理，由此造成的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费用增加和 (或) 工期延误由承包人承担</w:t>
            </w:r>
            <w:r>
              <w:rPr>
                <w:rFonts w:hint="eastAsia" w:ascii="宋体" w:hAnsi="宋体" w:eastAsia="宋体" w:cs="宋体"/>
                <w:color w:val="auto"/>
                <w:spacing w:val="2"/>
                <w:sz w:val="21"/>
                <w:szCs w:val="21"/>
                <w:highlight w:val="none"/>
              </w:rPr>
              <w:t>。</w:t>
            </w:r>
          </w:p>
          <w:p w14:paraId="5DB88539">
            <w:pPr>
              <w:snapToGrid w:val="0"/>
              <w:spacing w:before="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承包人应与供</w:t>
            </w:r>
            <w:r>
              <w:rPr>
                <w:rFonts w:hint="eastAsia" w:ascii="宋体" w:hAnsi="宋体" w:eastAsia="宋体" w:cs="宋体"/>
                <w:color w:val="auto"/>
                <w:spacing w:val="7"/>
                <w:sz w:val="21"/>
                <w:szCs w:val="21"/>
                <w:highlight w:val="none"/>
              </w:rPr>
              <w:t>应</w:t>
            </w:r>
            <w:r>
              <w:rPr>
                <w:rFonts w:hint="eastAsia" w:ascii="宋体" w:hAnsi="宋体" w:eastAsia="宋体" w:cs="宋体"/>
                <w:color w:val="auto"/>
                <w:spacing w:val="4"/>
                <w:sz w:val="21"/>
                <w:szCs w:val="21"/>
                <w:highlight w:val="none"/>
              </w:rPr>
              <w:t>商或制造商或加工生产商签订供货合同，明确双方的责权利，</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以及供</w:t>
            </w:r>
            <w:r>
              <w:rPr>
                <w:rFonts w:hint="eastAsia" w:ascii="宋体" w:hAnsi="宋体" w:eastAsia="宋体" w:cs="宋体"/>
                <w:color w:val="auto"/>
                <w:spacing w:val="4"/>
                <w:sz w:val="21"/>
                <w:szCs w:val="21"/>
                <w:highlight w:val="none"/>
              </w:rPr>
              <w:t>货方的供货时间与供货质量的保证措施和要求。</w:t>
            </w:r>
          </w:p>
          <w:p w14:paraId="663D2244">
            <w:pPr>
              <w:snapToGrid w:val="0"/>
              <w:spacing w:before="1" w:line="240" w:lineRule="auto"/>
              <w:ind w:left="0" w:leftChars="0" w:right="0" w:rightChars="0" w:firstLine="0" w:firstLineChars="0"/>
              <w:jc w:val="left"/>
              <w:rPr>
                <w:rFonts w:hint="eastAsia" w:ascii="宋体" w:hAnsi="宋体" w:eastAsia="宋体" w:cs="宋体"/>
                <w:color w:val="auto"/>
                <w:spacing w:val="-3"/>
                <w:sz w:val="21"/>
                <w:szCs w:val="21"/>
                <w:highlight w:val="none"/>
              </w:rPr>
            </w:pPr>
            <w:r>
              <w:rPr>
                <w:rFonts w:hint="eastAsia" w:ascii="宋体" w:hAnsi="宋体" w:eastAsia="宋体" w:cs="宋体"/>
                <w:color w:val="auto"/>
                <w:spacing w:val="6"/>
                <w:position w:val="15"/>
                <w:sz w:val="21"/>
                <w:szCs w:val="21"/>
                <w:highlight w:val="none"/>
              </w:rPr>
              <w:t>3、</w:t>
            </w:r>
            <w:r>
              <w:rPr>
                <w:rFonts w:hint="eastAsia" w:ascii="宋体" w:hAnsi="宋体" w:eastAsia="宋体" w:cs="宋体"/>
                <w:color w:val="auto"/>
                <w:spacing w:val="5"/>
                <w:position w:val="15"/>
                <w:sz w:val="21"/>
                <w:szCs w:val="21"/>
                <w:highlight w:val="none"/>
              </w:rPr>
              <w:t>经</w:t>
            </w:r>
            <w:r>
              <w:rPr>
                <w:rFonts w:hint="eastAsia" w:ascii="宋体" w:hAnsi="宋体" w:eastAsia="宋体" w:cs="宋体"/>
                <w:color w:val="auto"/>
                <w:spacing w:val="3"/>
                <w:position w:val="15"/>
                <w:sz w:val="21"/>
                <w:szCs w:val="21"/>
                <w:highlight w:val="none"/>
              </w:rPr>
              <w:t>监理人鉴定质量不合格并令其清除出场的材料，其费用均应由承包人自</w:t>
            </w:r>
            <w:r>
              <w:rPr>
                <w:rFonts w:hint="eastAsia" w:ascii="宋体" w:hAnsi="宋体" w:cs="宋体"/>
                <w:color w:val="auto"/>
                <w:spacing w:val="3"/>
                <w:position w:val="15"/>
                <w:sz w:val="21"/>
                <w:szCs w:val="21"/>
                <w:highlight w:val="none"/>
                <w:lang w:val="en-US" w:eastAsia="zh-CN"/>
              </w:rPr>
              <w:t>行负责。</w:t>
            </w:r>
          </w:p>
        </w:tc>
      </w:tr>
      <w:tr w14:paraId="04D3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34E5B983">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7</w:t>
            </w:r>
          </w:p>
        </w:tc>
        <w:tc>
          <w:tcPr>
            <w:tcW w:w="936" w:type="dxa"/>
            <w:vAlign w:val="center"/>
          </w:tcPr>
          <w:p w14:paraId="5EC8B1CA">
            <w:pPr>
              <w:snapToGrid w:val="0"/>
              <w:spacing w:before="57" w:line="240" w:lineRule="auto"/>
              <w:ind w:left="0" w:leftChars="0" w:right="0" w:rightChars="0" w:firstLine="0" w:firstLineChars="0"/>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pacing w:val="-6"/>
                <w:sz w:val="21"/>
                <w:szCs w:val="21"/>
                <w:highlight w:val="none"/>
              </w:rPr>
              <w:t>5</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3"/>
                <w:sz w:val="21"/>
                <w:szCs w:val="21"/>
                <w:highlight w:val="none"/>
              </w:rPr>
              <w:t>2. 1</w:t>
            </w:r>
          </w:p>
        </w:tc>
        <w:tc>
          <w:tcPr>
            <w:tcW w:w="7226" w:type="dxa"/>
            <w:tcBorders>
              <w:right w:val="single" w:color="000000" w:sz="6" w:space="0"/>
            </w:tcBorders>
            <w:vAlign w:val="center"/>
          </w:tcPr>
          <w:p w14:paraId="1CA938F0">
            <w:pPr>
              <w:snapToGrid w:val="0"/>
              <w:spacing w:before="14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发</w:t>
            </w:r>
            <w:r>
              <w:rPr>
                <w:rFonts w:hint="eastAsia" w:ascii="宋体" w:hAnsi="宋体" w:eastAsia="宋体" w:cs="宋体"/>
                <w:color w:val="auto"/>
                <w:spacing w:val="13"/>
                <w:sz w:val="21"/>
                <w:szCs w:val="21"/>
                <w:highlight w:val="none"/>
              </w:rPr>
              <w:t>包</w:t>
            </w:r>
            <w:r>
              <w:rPr>
                <w:rFonts w:hint="eastAsia" w:ascii="宋体" w:hAnsi="宋体" w:eastAsia="宋体" w:cs="宋体"/>
                <w:color w:val="auto"/>
                <w:spacing w:val="8"/>
                <w:sz w:val="21"/>
                <w:szCs w:val="21"/>
                <w:highlight w:val="none"/>
              </w:rPr>
              <w:t>人是否提供材料或工程设备：</w:t>
            </w:r>
            <w:r>
              <w:rPr>
                <w:rFonts w:hint="eastAsia" w:ascii="宋体" w:hAnsi="宋体" w:eastAsia="宋体" w:cs="宋体"/>
                <w:color w:val="auto"/>
                <w:spacing w:val="8"/>
                <w:sz w:val="21"/>
                <w:szCs w:val="21"/>
                <w:highlight w:val="none"/>
                <w:u w:val="single" w:color="auto"/>
              </w:rPr>
              <w:t xml:space="preserve">  否</w:t>
            </w:r>
            <w:r>
              <w:rPr>
                <w:rFonts w:hint="eastAsia" w:ascii="宋体" w:hAnsi="宋体" w:eastAsia="宋体" w:cs="宋体"/>
                <w:color w:val="auto"/>
                <w:sz w:val="21"/>
                <w:szCs w:val="21"/>
                <w:highlight w:val="none"/>
                <w:u w:val="single" w:color="auto"/>
              </w:rPr>
              <w:t xml:space="preserve">  </w:t>
            </w:r>
          </w:p>
          <w:p w14:paraId="5FFA8584">
            <w:pPr>
              <w:snapToGrid w:val="0"/>
              <w:spacing w:before="117" w:line="240" w:lineRule="auto"/>
              <w:ind w:left="0" w:leftChars="0" w:right="0" w:rightChars="0" w:firstLine="0" w:firstLineChars="0"/>
              <w:jc w:val="left"/>
              <w:rPr>
                <w:rFonts w:hint="eastAsia" w:ascii="宋体" w:hAnsi="宋体" w:eastAsia="宋体" w:cs="宋体"/>
                <w:color w:val="auto"/>
                <w:spacing w:val="-3"/>
                <w:sz w:val="21"/>
                <w:szCs w:val="21"/>
                <w:highlight w:val="none"/>
              </w:rPr>
            </w:pPr>
            <w:r>
              <w:rPr>
                <w:rFonts w:hint="eastAsia" w:ascii="宋体" w:hAnsi="宋体" w:eastAsia="宋体" w:cs="宋体"/>
                <w:color w:val="auto"/>
                <w:spacing w:val="10"/>
                <w:position w:val="1"/>
                <w:sz w:val="21"/>
                <w:szCs w:val="21"/>
                <w:highlight w:val="none"/>
              </w:rPr>
              <w:t>如</w:t>
            </w:r>
            <w:r>
              <w:rPr>
                <w:rFonts w:hint="eastAsia" w:ascii="宋体" w:hAnsi="宋体" w:eastAsia="宋体" w:cs="宋体"/>
                <w:color w:val="auto"/>
                <w:spacing w:val="8"/>
                <w:position w:val="1"/>
                <w:sz w:val="21"/>
                <w:szCs w:val="21"/>
                <w:highlight w:val="none"/>
              </w:rPr>
              <w:t>发</w:t>
            </w:r>
            <w:r>
              <w:rPr>
                <w:rFonts w:hint="eastAsia" w:ascii="宋体" w:hAnsi="宋体" w:eastAsia="宋体" w:cs="宋体"/>
                <w:color w:val="auto"/>
                <w:spacing w:val="5"/>
                <w:position w:val="1"/>
                <w:sz w:val="21"/>
                <w:szCs w:val="21"/>
                <w:highlight w:val="none"/>
              </w:rPr>
              <w:t>包人负责提供部分材料或工程设备，相关规定如下：  /</w:t>
            </w:r>
          </w:p>
        </w:tc>
      </w:tr>
      <w:tr w14:paraId="6C435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0CCFDDC">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8</w:t>
            </w:r>
          </w:p>
        </w:tc>
        <w:tc>
          <w:tcPr>
            <w:tcW w:w="936" w:type="dxa"/>
            <w:vAlign w:val="center"/>
          </w:tcPr>
          <w:p w14:paraId="0263D7E4">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1"/>
                <w:sz w:val="21"/>
                <w:szCs w:val="21"/>
                <w:highlight w:val="none"/>
              </w:rPr>
              <w:t>6.2</w:t>
            </w:r>
          </w:p>
        </w:tc>
        <w:tc>
          <w:tcPr>
            <w:tcW w:w="7226" w:type="dxa"/>
            <w:tcBorders>
              <w:right w:val="single" w:color="000000" w:sz="6" w:space="0"/>
            </w:tcBorders>
            <w:vAlign w:val="center"/>
          </w:tcPr>
          <w:p w14:paraId="02C162B9">
            <w:pPr>
              <w:snapToGrid w:val="0"/>
              <w:spacing w:before="15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发包人是否提供施工设备和临时设施：</w:t>
            </w:r>
            <w:r>
              <w:rPr>
                <w:rFonts w:hint="eastAsia" w:ascii="宋体" w:hAnsi="宋体" w:eastAsia="宋体" w:cs="宋体"/>
                <w:color w:val="auto"/>
                <w:spacing w:val="9"/>
                <w:sz w:val="21"/>
                <w:szCs w:val="21"/>
                <w:highlight w:val="none"/>
                <w:u w:val="single" w:color="auto"/>
              </w:rPr>
              <w:t xml:space="preserve">  </w:t>
            </w:r>
            <w:r>
              <w:rPr>
                <w:rFonts w:hint="eastAsia" w:ascii="宋体" w:hAnsi="宋体" w:eastAsia="宋体" w:cs="宋体"/>
                <w:color w:val="auto"/>
                <w:spacing w:val="6"/>
                <w:sz w:val="21"/>
                <w:szCs w:val="21"/>
                <w:highlight w:val="none"/>
                <w:u w:val="single" w:color="auto"/>
              </w:rPr>
              <w:t>否</w:t>
            </w:r>
            <w:r>
              <w:rPr>
                <w:rFonts w:hint="eastAsia" w:ascii="宋体" w:hAnsi="宋体" w:eastAsia="宋体" w:cs="宋体"/>
                <w:color w:val="auto"/>
                <w:sz w:val="21"/>
                <w:szCs w:val="21"/>
                <w:highlight w:val="none"/>
                <w:u w:val="single" w:color="auto"/>
              </w:rPr>
              <w:t xml:space="preserve">  </w:t>
            </w:r>
          </w:p>
          <w:p w14:paraId="64D8F05D">
            <w:pPr>
              <w:snapToGrid w:val="0"/>
              <w:spacing w:before="117"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6"/>
                <w:sz w:val="21"/>
                <w:szCs w:val="21"/>
                <w:highlight w:val="none"/>
              </w:rPr>
              <w:t>如</w:t>
            </w:r>
            <w:r>
              <w:rPr>
                <w:rFonts w:hint="eastAsia" w:ascii="宋体" w:hAnsi="宋体" w:eastAsia="宋体" w:cs="宋体"/>
                <w:color w:val="auto"/>
                <w:spacing w:val="15"/>
                <w:sz w:val="21"/>
                <w:szCs w:val="21"/>
                <w:highlight w:val="none"/>
              </w:rPr>
              <w:t>发</w:t>
            </w:r>
            <w:r>
              <w:rPr>
                <w:rFonts w:hint="eastAsia" w:ascii="宋体" w:hAnsi="宋体" w:eastAsia="宋体" w:cs="宋体"/>
                <w:color w:val="auto"/>
                <w:spacing w:val="8"/>
                <w:sz w:val="21"/>
                <w:szCs w:val="21"/>
                <w:highlight w:val="none"/>
              </w:rPr>
              <w:t>包人负责提供部分施工设备和临时设施，相关规定如下：</w:t>
            </w:r>
            <w:r>
              <w:rPr>
                <w:rFonts w:hint="eastAsia" w:ascii="宋体" w:hAnsi="宋体" w:eastAsia="宋体" w:cs="宋体"/>
                <w:color w:val="auto"/>
                <w:spacing w:val="8"/>
                <w:sz w:val="21"/>
                <w:szCs w:val="21"/>
                <w:highlight w:val="none"/>
                <w:u w:val="single" w:color="auto"/>
              </w:rPr>
              <w:t xml:space="preserve">    /</w:t>
            </w:r>
            <w:r>
              <w:rPr>
                <w:rFonts w:hint="eastAsia" w:ascii="宋体" w:hAnsi="宋体" w:eastAsia="宋体" w:cs="宋体"/>
                <w:color w:val="auto"/>
                <w:sz w:val="21"/>
                <w:szCs w:val="21"/>
                <w:highlight w:val="none"/>
                <w:u w:val="single" w:color="auto"/>
              </w:rPr>
              <w:t xml:space="preserve">    </w:t>
            </w:r>
          </w:p>
        </w:tc>
      </w:tr>
      <w:tr w14:paraId="69650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5B3708D">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9</w:t>
            </w:r>
          </w:p>
        </w:tc>
        <w:tc>
          <w:tcPr>
            <w:tcW w:w="936" w:type="dxa"/>
            <w:vAlign w:val="center"/>
          </w:tcPr>
          <w:p w14:paraId="0F241314">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8</w:t>
            </w:r>
            <w:r>
              <w:rPr>
                <w:rFonts w:hint="eastAsia" w:ascii="宋体" w:hAnsi="宋体" w:eastAsia="宋体" w:cs="宋体"/>
                <w:color w:val="auto"/>
                <w:spacing w:val="5"/>
                <w:sz w:val="21"/>
                <w:szCs w:val="21"/>
                <w:highlight w:val="none"/>
              </w:rPr>
              <w:t>.1.1</w:t>
            </w:r>
          </w:p>
        </w:tc>
        <w:tc>
          <w:tcPr>
            <w:tcW w:w="7226" w:type="dxa"/>
            <w:tcBorders>
              <w:right w:val="single" w:color="000000" w:sz="6" w:space="0"/>
            </w:tcBorders>
            <w:vAlign w:val="center"/>
          </w:tcPr>
          <w:p w14:paraId="4F10CAB6">
            <w:pPr>
              <w:snapToGrid w:val="0"/>
              <w:spacing w:before="104"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8"/>
                <w:sz w:val="21"/>
                <w:szCs w:val="21"/>
                <w:highlight w:val="none"/>
              </w:rPr>
              <w:t>发包人提供测量基准点、基准线和水准点及其书面资料的期限：</w:t>
            </w:r>
            <w:r>
              <w:rPr>
                <w:rFonts w:hint="eastAsia" w:ascii="宋体" w:hAnsi="宋体" w:eastAsia="宋体" w:cs="宋体"/>
                <w:color w:val="auto"/>
                <w:spacing w:val="8"/>
                <w:sz w:val="21"/>
                <w:szCs w:val="21"/>
                <w:highlight w:val="none"/>
                <w:u w:val="single" w:color="auto"/>
              </w:rPr>
              <w:t xml:space="preserve">    /   </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6"/>
                <w:sz w:val="21"/>
                <w:szCs w:val="21"/>
                <w:highlight w:val="none"/>
              </w:rPr>
              <w:t>承</w:t>
            </w:r>
            <w:r>
              <w:rPr>
                <w:rFonts w:hint="eastAsia" w:ascii="宋体" w:hAnsi="宋体" w:eastAsia="宋体" w:cs="宋体"/>
                <w:color w:val="auto"/>
                <w:spacing w:val="10"/>
                <w:sz w:val="21"/>
                <w:szCs w:val="21"/>
                <w:highlight w:val="none"/>
              </w:rPr>
              <w:t>包</w:t>
            </w:r>
            <w:r>
              <w:rPr>
                <w:rFonts w:hint="eastAsia" w:ascii="宋体" w:hAnsi="宋体" w:eastAsia="宋体" w:cs="宋体"/>
                <w:color w:val="auto"/>
                <w:spacing w:val="8"/>
                <w:sz w:val="21"/>
                <w:szCs w:val="21"/>
                <w:highlight w:val="none"/>
              </w:rPr>
              <w:t>人将施工控制网资料报送监理人审批的期限：</w:t>
            </w:r>
            <w:r>
              <w:rPr>
                <w:rFonts w:hint="eastAsia" w:ascii="宋体" w:hAnsi="宋体" w:eastAsia="宋体" w:cs="宋体"/>
                <w:color w:val="auto"/>
                <w:spacing w:val="8"/>
                <w:sz w:val="21"/>
                <w:szCs w:val="21"/>
                <w:highlight w:val="none"/>
                <w:u w:val="single" w:color="auto"/>
              </w:rPr>
              <w:t xml:space="preserve">    /</w:t>
            </w:r>
            <w:r>
              <w:rPr>
                <w:rFonts w:hint="eastAsia" w:ascii="宋体" w:hAnsi="宋体" w:eastAsia="宋体" w:cs="宋体"/>
                <w:color w:val="auto"/>
                <w:sz w:val="21"/>
                <w:szCs w:val="21"/>
                <w:highlight w:val="none"/>
                <w:u w:val="single" w:color="auto"/>
              </w:rPr>
              <w:t xml:space="preserve">    </w:t>
            </w:r>
          </w:p>
        </w:tc>
      </w:tr>
      <w:tr w14:paraId="72D6C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FD361EF">
            <w:pPr>
              <w:snapToGrid w:val="0"/>
              <w:spacing w:before="132"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0</w:t>
            </w:r>
          </w:p>
        </w:tc>
        <w:tc>
          <w:tcPr>
            <w:tcW w:w="936" w:type="dxa"/>
            <w:vAlign w:val="center"/>
          </w:tcPr>
          <w:p w14:paraId="6BFB490F">
            <w:pPr>
              <w:snapToGrid w:val="0"/>
              <w:spacing w:before="95"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1"/>
                <w:sz w:val="21"/>
                <w:szCs w:val="21"/>
                <w:highlight w:val="none"/>
              </w:rPr>
              <w:t>11</w:t>
            </w:r>
            <w:r>
              <w:rPr>
                <w:rFonts w:hint="eastAsia" w:ascii="宋体" w:hAnsi="宋体" w:eastAsia="宋体" w:cs="宋体"/>
                <w:color w:val="auto"/>
                <w:sz w:val="21"/>
                <w:szCs w:val="21"/>
                <w:highlight w:val="none"/>
              </w:rPr>
              <w:t>.5  (3)</w:t>
            </w:r>
          </w:p>
        </w:tc>
        <w:tc>
          <w:tcPr>
            <w:tcW w:w="7226" w:type="dxa"/>
            <w:tcBorders>
              <w:right w:val="single" w:color="000000" w:sz="6" w:space="0"/>
            </w:tcBorders>
            <w:vAlign w:val="center"/>
          </w:tcPr>
          <w:p w14:paraId="68F0117F">
            <w:pPr>
              <w:snapToGrid w:val="0"/>
              <w:spacing w:before="104"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2"/>
                <w:sz w:val="21"/>
                <w:szCs w:val="21"/>
                <w:highlight w:val="none"/>
              </w:rPr>
              <w:t>逾期</w:t>
            </w:r>
            <w:r>
              <w:rPr>
                <w:rFonts w:hint="eastAsia" w:ascii="宋体" w:hAnsi="宋体" w:eastAsia="宋体" w:cs="宋体"/>
                <w:color w:val="auto"/>
                <w:spacing w:val="7"/>
                <w:sz w:val="21"/>
                <w:szCs w:val="21"/>
                <w:highlight w:val="none"/>
              </w:rPr>
              <w:t>交</w:t>
            </w:r>
            <w:r>
              <w:rPr>
                <w:rFonts w:hint="eastAsia" w:ascii="宋体" w:hAnsi="宋体" w:eastAsia="宋体" w:cs="宋体"/>
                <w:color w:val="auto"/>
                <w:spacing w:val="6"/>
                <w:sz w:val="21"/>
                <w:szCs w:val="21"/>
                <w:highlight w:val="none"/>
              </w:rPr>
              <w:t>工违约金：</w:t>
            </w:r>
            <w:r>
              <w:rPr>
                <w:rFonts w:hint="eastAsia" w:ascii="宋体" w:hAnsi="宋体" w:eastAsia="宋体" w:cs="宋体"/>
                <w:color w:val="auto"/>
                <w:spacing w:val="6"/>
                <w:sz w:val="21"/>
                <w:szCs w:val="21"/>
                <w:highlight w:val="none"/>
                <w:u w:val="single" w:color="auto"/>
              </w:rPr>
              <w:t xml:space="preserve">    2 万 </w:t>
            </w:r>
            <w:r>
              <w:rPr>
                <w:rFonts w:hint="eastAsia" w:ascii="宋体" w:hAnsi="宋体" w:eastAsia="宋体" w:cs="宋体"/>
                <w:color w:val="auto"/>
                <w:spacing w:val="6"/>
                <w:sz w:val="21"/>
                <w:szCs w:val="21"/>
                <w:highlight w:val="none"/>
              </w:rPr>
              <w:t>元/天</w:t>
            </w:r>
          </w:p>
        </w:tc>
      </w:tr>
      <w:tr w14:paraId="606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3E3CCA2D">
            <w:pPr>
              <w:snapToGrid w:val="0"/>
              <w:spacing w:before="133"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1</w:t>
            </w:r>
          </w:p>
        </w:tc>
        <w:tc>
          <w:tcPr>
            <w:tcW w:w="936" w:type="dxa"/>
            <w:vAlign w:val="center"/>
          </w:tcPr>
          <w:p w14:paraId="2D04DAB0">
            <w:pPr>
              <w:snapToGrid w:val="0"/>
              <w:spacing w:before="96"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1"/>
                <w:sz w:val="21"/>
                <w:szCs w:val="21"/>
                <w:highlight w:val="none"/>
              </w:rPr>
              <w:t>11</w:t>
            </w:r>
            <w:r>
              <w:rPr>
                <w:rFonts w:hint="eastAsia" w:ascii="宋体" w:hAnsi="宋体" w:eastAsia="宋体" w:cs="宋体"/>
                <w:color w:val="auto"/>
                <w:sz w:val="21"/>
                <w:szCs w:val="21"/>
                <w:highlight w:val="none"/>
              </w:rPr>
              <w:t>.5  (3)</w:t>
            </w:r>
          </w:p>
        </w:tc>
        <w:tc>
          <w:tcPr>
            <w:tcW w:w="7226" w:type="dxa"/>
            <w:tcBorders>
              <w:right w:val="single" w:color="000000" w:sz="6" w:space="0"/>
            </w:tcBorders>
            <w:vAlign w:val="center"/>
          </w:tcPr>
          <w:p w14:paraId="44FE3CB5">
            <w:pPr>
              <w:snapToGrid w:val="0"/>
              <w:spacing w:before="105"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8"/>
                <w:sz w:val="21"/>
                <w:szCs w:val="21"/>
                <w:highlight w:val="none"/>
              </w:rPr>
              <w:t>逾期交工违约金限额：</w:t>
            </w:r>
            <w:r>
              <w:rPr>
                <w:rFonts w:hint="eastAsia" w:ascii="宋体" w:hAnsi="宋体" w:eastAsia="宋体" w:cs="宋体"/>
                <w:color w:val="auto"/>
                <w:spacing w:val="8"/>
                <w:sz w:val="21"/>
                <w:szCs w:val="21"/>
                <w:highlight w:val="none"/>
                <w:u w:val="single" w:color="auto"/>
              </w:rPr>
              <w:t xml:space="preserve">  10 </w:t>
            </w:r>
            <w:r>
              <w:rPr>
                <w:rFonts w:hint="eastAsia" w:ascii="宋体" w:hAnsi="宋体" w:eastAsia="宋体" w:cs="宋体"/>
                <w:color w:val="auto"/>
                <w:spacing w:val="8"/>
                <w:sz w:val="21"/>
                <w:szCs w:val="21"/>
                <w:highlight w:val="none"/>
                <w:u w:val="single" w:color="auto"/>
                <w:lang w:val="en-US" w:eastAsia="zh-CN"/>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z w:val="21"/>
                <w:szCs w:val="21"/>
                <w:highlight w:val="none"/>
              </w:rPr>
              <w:t>签约合同价</w:t>
            </w:r>
            <w:r>
              <w:rPr>
                <w:rStyle w:val="47"/>
                <w:rFonts w:hint="eastAsia" w:ascii="宋体" w:hAnsi="宋体" w:eastAsia="宋体" w:cs="宋体"/>
                <w:color w:val="auto"/>
                <w:sz w:val="21"/>
                <w:szCs w:val="21"/>
                <w:highlight w:val="none"/>
              </w:rPr>
              <w:footnoteReference w:id="42"/>
            </w:r>
          </w:p>
        </w:tc>
      </w:tr>
      <w:tr w14:paraId="714D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1E56F9D">
            <w:pPr>
              <w:snapToGrid w:val="0"/>
              <w:spacing w:before="133"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2</w:t>
            </w:r>
          </w:p>
        </w:tc>
        <w:tc>
          <w:tcPr>
            <w:tcW w:w="936" w:type="dxa"/>
            <w:vAlign w:val="center"/>
          </w:tcPr>
          <w:p w14:paraId="76F9AB1B">
            <w:pPr>
              <w:snapToGrid w:val="0"/>
              <w:spacing w:before="133"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1.6</w:t>
            </w:r>
          </w:p>
        </w:tc>
        <w:tc>
          <w:tcPr>
            <w:tcW w:w="7226" w:type="dxa"/>
            <w:tcBorders>
              <w:right w:val="single" w:color="000000" w:sz="6" w:space="0"/>
            </w:tcBorders>
            <w:vAlign w:val="center"/>
          </w:tcPr>
          <w:p w14:paraId="32F29881">
            <w:pPr>
              <w:snapToGrid w:val="0"/>
              <w:spacing w:before="105"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4"/>
                <w:position w:val="1"/>
                <w:sz w:val="21"/>
                <w:szCs w:val="21"/>
                <w:highlight w:val="none"/>
              </w:rPr>
              <w:t>提前完工</w:t>
            </w:r>
            <w:r>
              <w:rPr>
                <w:rFonts w:hint="eastAsia" w:ascii="宋体" w:hAnsi="宋体" w:eastAsia="宋体" w:cs="宋体"/>
                <w:color w:val="auto"/>
                <w:spacing w:val="3"/>
                <w:position w:val="1"/>
                <w:sz w:val="21"/>
                <w:szCs w:val="21"/>
                <w:highlight w:val="none"/>
              </w:rPr>
              <w:t>的</w:t>
            </w:r>
            <w:r>
              <w:rPr>
                <w:rFonts w:hint="eastAsia" w:ascii="宋体" w:hAnsi="宋体" w:eastAsia="宋体" w:cs="宋体"/>
                <w:color w:val="auto"/>
                <w:spacing w:val="2"/>
                <w:position w:val="1"/>
                <w:sz w:val="21"/>
                <w:szCs w:val="21"/>
                <w:highlight w:val="none"/>
              </w:rPr>
              <w:t>奖金，规定为：   /    元/天</w:t>
            </w:r>
          </w:p>
        </w:tc>
      </w:tr>
      <w:tr w14:paraId="76F8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D1DD4CD">
            <w:pPr>
              <w:snapToGrid w:val="0"/>
              <w:spacing w:before="153"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3</w:t>
            </w:r>
          </w:p>
        </w:tc>
        <w:tc>
          <w:tcPr>
            <w:tcW w:w="936" w:type="dxa"/>
            <w:vAlign w:val="center"/>
          </w:tcPr>
          <w:p w14:paraId="735B5F20">
            <w:pPr>
              <w:snapToGrid w:val="0"/>
              <w:spacing w:before="153"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1.6</w:t>
            </w:r>
          </w:p>
        </w:tc>
        <w:tc>
          <w:tcPr>
            <w:tcW w:w="7226" w:type="dxa"/>
            <w:tcBorders>
              <w:right w:val="single" w:color="000000" w:sz="6" w:space="0"/>
            </w:tcBorders>
            <w:vAlign w:val="center"/>
          </w:tcPr>
          <w:p w14:paraId="09064676">
            <w:pPr>
              <w:snapToGrid w:val="0"/>
              <w:spacing w:before="122"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4"/>
                <w:position w:val="1"/>
                <w:sz w:val="21"/>
                <w:szCs w:val="21"/>
                <w:highlight w:val="none"/>
              </w:rPr>
              <w:t>提前完工的奖金限额，规定为：   /    %签约合同</w:t>
            </w:r>
            <w:r>
              <w:rPr>
                <w:rFonts w:hint="eastAsia" w:ascii="宋体" w:hAnsi="宋体" w:eastAsia="宋体" w:cs="宋体"/>
                <w:color w:val="auto"/>
                <w:spacing w:val="2"/>
                <w:position w:val="1"/>
                <w:sz w:val="21"/>
                <w:szCs w:val="21"/>
                <w:highlight w:val="none"/>
              </w:rPr>
              <w:t>价</w:t>
            </w:r>
          </w:p>
        </w:tc>
      </w:tr>
      <w:tr w14:paraId="64F0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BE8CBA9">
            <w:pPr>
              <w:snapToGrid w:val="0"/>
              <w:spacing w:before="58"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4</w:t>
            </w:r>
          </w:p>
        </w:tc>
        <w:tc>
          <w:tcPr>
            <w:tcW w:w="936" w:type="dxa"/>
            <w:vAlign w:val="center"/>
          </w:tcPr>
          <w:p w14:paraId="596ACA97">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1"/>
                <w:sz w:val="21"/>
                <w:szCs w:val="21"/>
                <w:highlight w:val="none"/>
              </w:rPr>
              <w:t>14.6</w:t>
            </w:r>
          </w:p>
        </w:tc>
        <w:tc>
          <w:tcPr>
            <w:tcW w:w="7226" w:type="dxa"/>
            <w:tcBorders>
              <w:right w:val="single" w:color="000000" w:sz="6" w:space="0"/>
            </w:tcBorders>
            <w:vAlign w:val="center"/>
          </w:tcPr>
          <w:p w14:paraId="01915B9A">
            <w:pPr>
              <w:snapToGrid w:val="0"/>
              <w:spacing w:before="161"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4"/>
                <w:position w:val="15"/>
                <w:sz w:val="21"/>
                <w:szCs w:val="21"/>
                <w:highlight w:val="none"/>
              </w:rPr>
              <w:t>承</w:t>
            </w:r>
            <w:r>
              <w:rPr>
                <w:rFonts w:hint="eastAsia" w:ascii="宋体" w:hAnsi="宋体" w:eastAsia="宋体" w:cs="宋体"/>
                <w:color w:val="auto"/>
                <w:spacing w:val="12"/>
                <w:position w:val="15"/>
                <w:sz w:val="21"/>
                <w:szCs w:val="21"/>
                <w:highlight w:val="none"/>
              </w:rPr>
              <w:t xml:space="preserve">包人设立试验室的相关要求：必须满足《辽宁省公路水运工程建设项目工地试验室备案管理标准》  (辽交工监市发〔2013〕133 号) </w:t>
            </w:r>
            <w:r>
              <w:rPr>
                <w:rFonts w:hint="eastAsia" w:ascii="宋体" w:hAnsi="宋体" w:eastAsia="宋体" w:cs="宋体"/>
                <w:color w:val="auto"/>
                <w:spacing w:val="4"/>
                <w:sz w:val="21"/>
                <w:szCs w:val="21"/>
                <w:highlight w:val="none"/>
              </w:rPr>
              <w:t>。</w:t>
            </w:r>
          </w:p>
        </w:tc>
      </w:tr>
      <w:tr w14:paraId="2763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4B45929">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5</w:t>
            </w:r>
          </w:p>
        </w:tc>
        <w:tc>
          <w:tcPr>
            <w:tcW w:w="936" w:type="dxa"/>
            <w:vAlign w:val="center"/>
          </w:tcPr>
          <w:p w14:paraId="5F049AB4">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5.2</w:t>
            </w:r>
          </w:p>
        </w:tc>
        <w:tc>
          <w:tcPr>
            <w:tcW w:w="7226" w:type="dxa"/>
            <w:tcBorders>
              <w:right w:val="single" w:color="000000" w:sz="6" w:space="0"/>
            </w:tcBorders>
            <w:vAlign w:val="center"/>
          </w:tcPr>
          <w:p w14:paraId="2A5831BB">
            <w:pPr>
              <w:snapToGrid w:val="0"/>
              <w:spacing w:before="13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出</w:t>
            </w:r>
            <w:r>
              <w:rPr>
                <w:rFonts w:hint="eastAsia" w:ascii="宋体" w:hAnsi="宋体" w:eastAsia="宋体" w:cs="宋体"/>
                <w:color w:val="auto"/>
                <w:spacing w:val="18"/>
                <w:sz w:val="21"/>
                <w:szCs w:val="21"/>
                <w:highlight w:val="none"/>
              </w:rPr>
              <w:t>现</w:t>
            </w:r>
            <w:r>
              <w:rPr>
                <w:rFonts w:hint="eastAsia" w:ascii="宋体" w:hAnsi="宋体" w:eastAsia="宋体" w:cs="宋体"/>
                <w:color w:val="auto"/>
                <w:spacing w:val="11"/>
                <w:sz w:val="21"/>
                <w:szCs w:val="21"/>
                <w:highlight w:val="none"/>
              </w:rPr>
              <w:t>施工图设计文件本身存在错误和缺陷，导致施工图设计文件必须修改和补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充所导致的变更，仅当发包人对上述变更批准同意后，方可作为本合同工程的</w:t>
            </w:r>
            <w:r>
              <w:rPr>
                <w:rFonts w:hint="eastAsia" w:ascii="宋体" w:hAnsi="宋体" w:eastAsia="宋体" w:cs="宋体"/>
                <w:color w:val="auto"/>
                <w:spacing w:val="11"/>
                <w:sz w:val="21"/>
                <w:szCs w:val="21"/>
                <w:highlight w:val="none"/>
              </w:rPr>
              <w:t>变</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更</w:t>
            </w:r>
            <w:r>
              <w:rPr>
                <w:rFonts w:hint="eastAsia" w:ascii="宋体" w:hAnsi="宋体" w:eastAsia="宋体" w:cs="宋体"/>
                <w:color w:val="auto"/>
                <w:spacing w:val="4"/>
                <w:sz w:val="21"/>
                <w:szCs w:val="21"/>
                <w:highlight w:val="none"/>
              </w:rPr>
              <w:t>情形。</w:t>
            </w:r>
          </w:p>
          <w:p w14:paraId="7911E231">
            <w:pPr>
              <w:snapToGrid w:val="0"/>
              <w:spacing w:before="1"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5"/>
                <w:sz w:val="21"/>
                <w:szCs w:val="21"/>
                <w:highlight w:val="none"/>
              </w:rPr>
              <w:t>在</w:t>
            </w:r>
            <w:r>
              <w:rPr>
                <w:rFonts w:hint="eastAsia" w:ascii="宋体" w:hAnsi="宋体" w:eastAsia="宋体" w:cs="宋体"/>
                <w:color w:val="auto"/>
                <w:spacing w:val="8"/>
                <w:sz w:val="21"/>
                <w:szCs w:val="21"/>
                <w:highlight w:val="none"/>
              </w:rPr>
              <w:t>履行合同过程中，经发包人同意，监理人可按第 15.3 款约定的变更程序向承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包</w:t>
            </w:r>
            <w:r>
              <w:rPr>
                <w:rFonts w:hint="eastAsia" w:ascii="宋体" w:hAnsi="宋体" w:eastAsia="宋体" w:cs="宋体"/>
                <w:color w:val="auto"/>
                <w:spacing w:val="12"/>
                <w:sz w:val="21"/>
                <w:szCs w:val="21"/>
                <w:highlight w:val="none"/>
              </w:rPr>
              <w:t>人作出变更指示，承包人应遵照执行。没有监理人的变更指示，承包人不得擅</w:t>
            </w:r>
            <w:r>
              <w:rPr>
                <w:rFonts w:hint="eastAsia" w:ascii="宋体" w:hAnsi="宋体" w:eastAsia="宋体" w:cs="宋体"/>
                <w:color w:val="auto"/>
                <w:spacing w:val="-5"/>
                <w:sz w:val="21"/>
                <w:szCs w:val="21"/>
                <w:highlight w:val="none"/>
              </w:rPr>
              <w:t>自</w:t>
            </w:r>
            <w:r>
              <w:rPr>
                <w:rFonts w:hint="eastAsia" w:ascii="宋体" w:hAnsi="宋体" w:eastAsia="宋体" w:cs="宋体"/>
                <w:color w:val="auto"/>
                <w:spacing w:val="-3"/>
                <w:sz w:val="21"/>
                <w:szCs w:val="21"/>
                <w:highlight w:val="none"/>
              </w:rPr>
              <w:t>变更。</w:t>
            </w:r>
          </w:p>
        </w:tc>
      </w:tr>
      <w:tr w14:paraId="0D525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DF828C6">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6</w:t>
            </w:r>
          </w:p>
        </w:tc>
        <w:tc>
          <w:tcPr>
            <w:tcW w:w="936" w:type="dxa"/>
            <w:vAlign w:val="center"/>
          </w:tcPr>
          <w:p w14:paraId="60F850C0">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15.3.4</w:t>
            </w:r>
          </w:p>
        </w:tc>
        <w:tc>
          <w:tcPr>
            <w:tcW w:w="7226" w:type="dxa"/>
            <w:tcBorders>
              <w:right w:val="single" w:color="000000" w:sz="6" w:space="0"/>
            </w:tcBorders>
            <w:vAlign w:val="center"/>
          </w:tcPr>
          <w:p w14:paraId="55630A09">
            <w:pPr>
              <w:snapToGrid w:val="0"/>
              <w:spacing w:before="13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8"/>
                <w:position w:val="14"/>
                <w:sz w:val="21"/>
                <w:szCs w:val="21"/>
                <w:highlight w:val="none"/>
              </w:rPr>
              <w:t>本</w:t>
            </w:r>
            <w:r>
              <w:rPr>
                <w:rFonts w:hint="eastAsia" w:ascii="宋体" w:hAnsi="宋体" w:eastAsia="宋体" w:cs="宋体"/>
                <w:color w:val="auto"/>
                <w:spacing w:val="11"/>
                <w:position w:val="14"/>
                <w:sz w:val="21"/>
                <w:szCs w:val="21"/>
                <w:highlight w:val="none"/>
              </w:rPr>
              <w:t>项</w:t>
            </w:r>
            <w:r>
              <w:rPr>
                <w:rFonts w:hint="eastAsia" w:ascii="宋体" w:hAnsi="宋体" w:eastAsia="宋体" w:cs="宋体"/>
                <w:color w:val="auto"/>
                <w:spacing w:val="9"/>
                <w:position w:val="14"/>
                <w:sz w:val="21"/>
                <w:szCs w:val="21"/>
                <w:highlight w:val="none"/>
              </w:rPr>
              <w:t>目设计变更的程序按行业主管部门、项目管理法人制定的规定执行。</w:t>
            </w:r>
          </w:p>
          <w:p w14:paraId="6B9A0938">
            <w:pPr>
              <w:snapToGrid w:val="0"/>
              <w:spacing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9"/>
                <w:sz w:val="21"/>
                <w:szCs w:val="21"/>
                <w:highlight w:val="none"/>
              </w:rPr>
              <w:t>除设计变更外，其他合同工程费用增减的审批程序参照上述规定的执行。</w:t>
            </w:r>
          </w:p>
        </w:tc>
      </w:tr>
      <w:tr w14:paraId="58AB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38315C4">
            <w:pPr>
              <w:snapToGrid w:val="0"/>
              <w:spacing w:before="58"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7</w:t>
            </w:r>
          </w:p>
        </w:tc>
        <w:tc>
          <w:tcPr>
            <w:tcW w:w="936" w:type="dxa"/>
            <w:vAlign w:val="center"/>
          </w:tcPr>
          <w:p w14:paraId="01DE3935">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5.4</w:t>
            </w:r>
          </w:p>
        </w:tc>
        <w:tc>
          <w:tcPr>
            <w:tcW w:w="7226" w:type="dxa"/>
            <w:tcBorders>
              <w:right w:val="single" w:color="000000" w:sz="6" w:space="0"/>
            </w:tcBorders>
            <w:vAlign w:val="center"/>
          </w:tcPr>
          <w:p w14:paraId="09C5C616">
            <w:pPr>
              <w:snapToGrid w:val="0"/>
              <w:spacing w:before="13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5"/>
                <w:sz w:val="21"/>
                <w:szCs w:val="21"/>
                <w:highlight w:val="none"/>
              </w:rPr>
              <w:t>5.4  变更的估价原则</w:t>
            </w:r>
          </w:p>
          <w:p w14:paraId="1C526CF3">
            <w:pPr>
              <w:snapToGrid w:val="0"/>
              <w:spacing w:before="155"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本</w:t>
            </w:r>
            <w:r>
              <w:rPr>
                <w:rFonts w:hint="eastAsia" w:ascii="宋体" w:hAnsi="宋体" w:eastAsia="宋体" w:cs="宋体"/>
                <w:color w:val="auto"/>
                <w:spacing w:val="6"/>
                <w:sz w:val="21"/>
                <w:szCs w:val="21"/>
                <w:highlight w:val="none"/>
              </w:rPr>
              <w:t>款细化为：</w:t>
            </w:r>
          </w:p>
          <w:p w14:paraId="30D46B6A">
            <w:pPr>
              <w:snapToGrid w:val="0"/>
              <w:spacing w:before="154"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15</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5"/>
                <w:sz w:val="21"/>
                <w:szCs w:val="21"/>
                <w:highlight w:val="none"/>
              </w:rPr>
              <w:t>4. 1  如果取消某项工作，则该项工作的总额价不予支付。</w:t>
            </w:r>
          </w:p>
          <w:p w14:paraId="68A4817D">
            <w:pPr>
              <w:snapToGrid w:val="0"/>
              <w:spacing w:before="15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15.4.2  已标价工程量清单中有适用于变更工作的子目的，采用该子目的单价</w:t>
            </w:r>
            <w:r>
              <w:rPr>
                <w:rFonts w:hint="eastAsia" w:ascii="宋体" w:hAnsi="宋体" w:eastAsia="宋体" w:cs="宋体"/>
                <w:color w:val="auto"/>
                <w:sz w:val="21"/>
                <w:szCs w:val="21"/>
                <w:highlight w:val="none"/>
              </w:rPr>
              <w:t>。</w:t>
            </w:r>
          </w:p>
          <w:p w14:paraId="7D7D91F1">
            <w:pPr>
              <w:snapToGrid w:val="0"/>
              <w:spacing w:before="156"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1</w:t>
            </w:r>
            <w:r>
              <w:rPr>
                <w:rFonts w:hint="eastAsia" w:ascii="宋体" w:hAnsi="宋体" w:eastAsia="宋体" w:cs="宋体"/>
                <w:color w:val="auto"/>
                <w:spacing w:val="14"/>
                <w:sz w:val="21"/>
                <w:szCs w:val="21"/>
                <w:highlight w:val="none"/>
              </w:rPr>
              <w:t>5</w:t>
            </w:r>
            <w:r>
              <w:rPr>
                <w:rFonts w:hint="eastAsia" w:ascii="宋体" w:hAnsi="宋体" w:eastAsia="宋体" w:cs="宋体"/>
                <w:color w:val="auto"/>
                <w:spacing w:val="9"/>
                <w:sz w:val="21"/>
                <w:szCs w:val="21"/>
                <w:highlight w:val="none"/>
              </w:rPr>
              <w:t>.4.3  已标价工程量清单中无适用于变更工作的子目，但有类似子目的，可在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5"/>
                <w:sz w:val="21"/>
                <w:szCs w:val="21"/>
                <w:highlight w:val="none"/>
              </w:rPr>
              <w:t>合</w:t>
            </w:r>
            <w:r>
              <w:rPr>
                <w:rFonts w:hint="eastAsia" w:ascii="宋体" w:hAnsi="宋体" w:eastAsia="宋体" w:cs="宋体"/>
                <w:color w:val="auto"/>
                <w:spacing w:val="8"/>
                <w:sz w:val="21"/>
                <w:szCs w:val="21"/>
                <w:highlight w:val="none"/>
              </w:rPr>
              <w:t>理范围内参照类似子目的单价， 由监理人按第 3.5 款商定或确定变更工作的单</w:t>
            </w:r>
            <w:r>
              <w:rPr>
                <w:rFonts w:hint="eastAsia" w:ascii="宋体" w:hAnsi="宋体" w:eastAsia="宋体" w:cs="宋体"/>
                <w:color w:val="auto"/>
                <w:sz w:val="21"/>
                <w:szCs w:val="21"/>
                <w:highlight w:val="none"/>
              </w:rPr>
              <w:t>价。</w:t>
            </w:r>
          </w:p>
          <w:p w14:paraId="0870E032">
            <w:pPr>
              <w:snapToGrid w:val="0"/>
              <w:spacing w:before="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1</w:t>
            </w:r>
            <w:r>
              <w:rPr>
                <w:rFonts w:hint="eastAsia" w:ascii="宋体" w:hAnsi="宋体" w:eastAsia="宋体" w:cs="宋体"/>
                <w:color w:val="auto"/>
                <w:spacing w:val="14"/>
                <w:sz w:val="21"/>
                <w:szCs w:val="21"/>
                <w:highlight w:val="none"/>
              </w:rPr>
              <w:t>5</w:t>
            </w:r>
            <w:r>
              <w:rPr>
                <w:rFonts w:hint="eastAsia" w:ascii="宋体" w:hAnsi="宋体" w:eastAsia="宋体" w:cs="宋体"/>
                <w:color w:val="auto"/>
                <w:spacing w:val="9"/>
                <w:sz w:val="21"/>
                <w:szCs w:val="21"/>
                <w:highlight w:val="none"/>
              </w:rPr>
              <w:t>.4.4  已标价工程量清单中无适用或类似子目的单价，可在综合考虑承包人在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投</w:t>
            </w:r>
            <w:r>
              <w:rPr>
                <w:rFonts w:hint="eastAsia" w:ascii="宋体" w:hAnsi="宋体" w:eastAsia="宋体" w:cs="宋体"/>
                <w:color w:val="auto"/>
                <w:spacing w:val="12"/>
                <w:sz w:val="21"/>
                <w:szCs w:val="21"/>
                <w:highlight w:val="none"/>
              </w:rPr>
              <w:t>标时所提供的单价分析表的基础上，参照《公路工程建设项目概算预算编制办</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法》和《</w:t>
            </w:r>
            <w:r>
              <w:rPr>
                <w:rFonts w:hint="eastAsia" w:ascii="宋体" w:hAnsi="宋体" w:eastAsia="宋体" w:cs="宋体"/>
                <w:color w:val="auto"/>
                <w:spacing w:val="9"/>
                <w:sz w:val="21"/>
                <w:szCs w:val="21"/>
                <w:highlight w:val="none"/>
              </w:rPr>
              <w:t>公</w:t>
            </w:r>
            <w:r>
              <w:rPr>
                <w:rFonts w:hint="eastAsia" w:ascii="宋体" w:hAnsi="宋体" w:eastAsia="宋体" w:cs="宋体"/>
                <w:color w:val="auto"/>
                <w:spacing w:val="5"/>
                <w:sz w:val="21"/>
                <w:szCs w:val="21"/>
                <w:highlight w:val="none"/>
              </w:rPr>
              <w:t>路工程预算定额》进行计算，由监理人按第 3.5 款商定或确定变更工作</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5"/>
                <w:sz w:val="21"/>
                <w:szCs w:val="21"/>
                <w:highlight w:val="none"/>
              </w:rPr>
              <w:t>的</w:t>
            </w:r>
            <w:r>
              <w:rPr>
                <w:rFonts w:hint="eastAsia" w:ascii="宋体" w:hAnsi="宋体" w:eastAsia="宋体" w:cs="宋体"/>
                <w:color w:val="auto"/>
                <w:spacing w:val="8"/>
                <w:sz w:val="21"/>
                <w:szCs w:val="21"/>
                <w:highlight w:val="none"/>
              </w:rPr>
              <w:t>单价，变更单价不计取利润。</w:t>
            </w:r>
          </w:p>
          <w:p w14:paraId="5FEC3E38">
            <w:pPr>
              <w:snapToGrid w:val="0"/>
              <w:spacing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lang w:val="en-US" w:eastAsia="zh-CN"/>
              </w:rPr>
            </w:pPr>
            <w:r>
              <w:rPr>
                <w:rFonts w:hint="eastAsia" w:ascii="宋体" w:hAnsi="宋体" w:eastAsia="宋体" w:cs="宋体"/>
                <w:color w:val="auto"/>
                <w:spacing w:val="18"/>
                <w:position w:val="14"/>
                <w:sz w:val="21"/>
                <w:szCs w:val="21"/>
                <w:highlight w:val="none"/>
              </w:rPr>
              <w:t>1</w:t>
            </w:r>
            <w:r>
              <w:rPr>
                <w:rFonts w:hint="eastAsia" w:ascii="宋体" w:hAnsi="宋体" w:eastAsia="宋体" w:cs="宋体"/>
                <w:color w:val="auto"/>
                <w:spacing w:val="14"/>
                <w:position w:val="14"/>
                <w:sz w:val="21"/>
                <w:szCs w:val="21"/>
                <w:highlight w:val="none"/>
              </w:rPr>
              <w:t>5</w:t>
            </w:r>
            <w:r>
              <w:rPr>
                <w:rFonts w:hint="eastAsia" w:ascii="宋体" w:hAnsi="宋体" w:eastAsia="宋体" w:cs="宋体"/>
                <w:color w:val="auto"/>
                <w:spacing w:val="9"/>
                <w:position w:val="14"/>
                <w:sz w:val="21"/>
                <w:szCs w:val="21"/>
                <w:highlight w:val="none"/>
              </w:rPr>
              <w:t>.4.5  如果本工程的变更指示是因承包人过错、承包人违反合同或承包人责任造成的，则这种违约引起的任何额外费用应由承包人承担</w:t>
            </w:r>
            <w:r>
              <w:rPr>
                <w:rFonts w:hint="eastAsia" w:ascii="宋体" w:hAnsi="宋体" w:cs="宋体"/>
                <w:color w:val="auto"/>
                <w:spacing w:val="9"/>
                <w:position w:val="14"/>
                <w:sz w:val="21"/>
                <w:szCs w:val="21"/>
                <w:highlight w:val="none"/>
                <w:lang w:eastAsia="zh-CN"/>
              </w:rPr>
              <w:t>。</w:t>
            </w:r>
          </w:p>
        </w:tc>
      </w:tr>
      <w:tr w14:paraId="6C2D7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2F2057EC">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8</w:t>
            </w:r>
          </w:p>
        </w:tc>
        <w:tc>
          <w:tcPr>
            <w:tcW w:w="936" w:type="dxa"/>
            <w:vAlign w:val="center"/>
          </w:tcPr>
          <w:p w14:paraId="3422C59B">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15.5.2</w:t>
            </w:r>
          </w:p>
        </w:tc>
        <w:tc>
          <w:tcPr>
            <w:tcW w:w="7226" w:type="dxa"/>
            <w:tcBorders>
              <w:right w:val="single" w:color="000000" w:sz="6" w:space="0"/>
            </w:tcBorders>
            <w:vAlign w:val="center"/>
          </w:tcPr>
          <w:p w14:paraId="1F53DD10">
            <w:pPr>
              <w:snapToGrid w:val="0"/>
              <w:spacing w:before="141"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lang w:eastAsia="zh-CN"/>
              </w:rPr>
            </w:pPr>
            <w:r>
              <w:rPr>
                <w:rFonts w:hint="eastAsia" w:ascii="宋体" w:hAnsi="宋体" w:eastAsia="宋体" w:cs="宋体"/>
                <w:color w:val="auto"/>
                <w:spacing w:val="14"/>
                <w:sz w:val="21"/>
                <w:szCs w:val="21"/>
                <w:highlight w:val="none"/>
              </w:rPr>
              <w:t>承</w:t>
            </w:r>
            <w:r>
              <w:rPr>
                <w:rFonts w:hint="eastAsia" w:ascii="宋体" w:hAnsi="宋体" w:eastAsia="宋体" w:cs="宋体"/>
                <w:color w:val="auto"/>
                <w:spacing w:val="12"/>
                <w:sz w:val="21"/>
                <w:szCs w:val="21"/>
                <w:highlight w:val="none"/>
              </w:rPr>
              <w:t>包人提出的合理化建议降低了合同价格或者提高了工程经济效益的，发包人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按所节</w:t>
            </w:r>
            <w:r>
              <w:rPr>
                <w:rFonts w:hint="eastAsia" w:ascii="宋体" w:hAnsi="宋体" w:eastAsia="宋体" w:cs="宋体"/>
                <w:color w:val="auto"/>
                <w:spacing w:val="8"/>
                <w:sz w:val="21"/>
                <w:szCs w:val="21"/>
                <w:highlight w:val="none"/>
              </w:rPr>
              <w:t>约</w:t>
            </w:r>
            <w:r>
              <w:rPr>
                <w:rFonts w:hint="eastAsia" w:ascii="宋体" w:hAnsi="宋体" w:eastAsia="宋体" w:cs="宋体"/>
                <w:color w:val="auto"/>
                <w:spacing w:val="6"/>
                <w:sz w:val="21"/>
                <w:szCs w:val="21"/>
                <w:highlight w:val="none"/>
              </w:rPr>
              <w:t>成本的  /    %或增加收益的  /    %给予奖励</w:t>
            </w:r>
            <w:r>
              <w:rPr>
                <w:rFonts w:hint="eastAsia" w:ascii="宋体" w:hAnsi="宋体" w:cs="宋体"/>
                <w:color w:val="auto"/>
                <w:spacing w:val="6"/>
                <w:sz w:val="21"/>
                <w:szCs w:val="21"/>
                <w:highlight w:val="none"/>
                <w:lang w:eastAsia="zh-CN"/>
              </w:rPr>
              <w:t>。</w:t>
            </w:r>
          </w:p>
        </w:tc>
      </w:tr>
      <w:tr w14:paraId="6E6B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DD947B1">
            <w:pPr>
              <w:snapToGrid w:val="0"/>
              <w:spacing w:before="57"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9</w:t>
            </w:r>
          </w:p>
        </w:tc>
        <w:tc>
          <w:tcPr>
            <w:tcW w:w="936" w:type="dxa"/>
            <w:vAlign w:val="center"/>
          </w:tcPr>
          <w:p w14:paraId="2C3ACEFF">
            <w:pPr>
              <w:snapToGrid w:val="0"/>
              <w:spacing w:before="57"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11"/>
                <w:sz w:val="21"/>
                <w:szCs w:val="21"/>
                <w:highlight w:val="none"/>
              </w:rPr>
              <w:t>1</w:t>
            </w:r>
            <w:r>
              <w:rPr>
                <w:rFonts w:hint="eastAsia" w:ascii="宋体" w:hAnsi="宋体" w:eastAsia="宋体" w:cs="宋体"/>
                <w:color w:val="auto"/>
                <w:spacing w:val="-7"/>
                <w:sz w:val="21"/>
                <w:szCs w:val="21"/>
                <w:highlight w:val="none"/>
              </w:rPr>
              <w:t>6. 1</w:t>
            </w:r>
          </w:p>
        </w:tc>
        <w:tc>
          <w:tcPr>
            <w:tcW w:w="7226" w:type="dxa"/>
            <w:tcBorders>
              <w:right w:val="single" w:color="000000" w:sz="6" w:space="0"/>
            </w:tcBorders>
            <w:vAlign w:val="center"/>
          </w:tcPr>
          <w:p w14:paraId="01F3035F">
            <w:pPr>
              <w:snapToGrid w:val="0"/>
              <w:spacing w:before="12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u w:val="none" w:color="auto"/>
              </w:rPr>
              <w:sym w:font="Wingdings 2" w:char="00A3"/>
            </w:r>
            <w:r>
              <w:rPr>
                <w:rFonts w:hint="eastAsia" w:ascii="宋体" w:hAnsi="宋体" w:eastAsia="宋体" w:cs="宋体"/>
                <w:color w:val="auto"/>
                <w:spacing w:val="7"/>
                <w:sz w:val="21"/>
                <w:szCs w:val="21"/>
                <w:highlight w:val="none"/>
              </w:rPr>
              <w:t>因物价波动引起的价格调整按照</w:t>
            </w:r>
            <w:r>
              <w:rPr>
                <w:rFonts w:hint="eastAsia" w:ascii="宋体" w:hAnsi="宋体" w:eastAsia="宋体" w:cs="宋体"/>
                <w:color w:val="auto"/>
                <w:spacing w:val="7"/>
                <w:sz w:val="21"/>
                <w:szCs w:val="21"/>
                <w:highlight w:val="none"/>
                <w:u w:val="single" w:color="auto"/>
              </w:rPr>
              <w:t xml:space="preserve">    /  </w:t>
            </w:r>
            <w:r>
              <w:rPr>
                <w:rFonts w:hint="eastAsia" w:ascii="宋体" w:hAnsi="宋体" w:eastAsia="宋体" w:cs="宋体"/>
                <w:color w:val="auto"/>
                <w:spacing w:val="7"/>
                <w:sz w:val="21"/>
                <w:szCs w:val="21"/>
                <w:highlight w:val="none"/>
              </w:rPr>
              <w:t>约定的原则处理</w:t>
            </w:r>
          </w:p>
          <w:p w14:paraId="2646DAEF">
            <w:pPr>
              <w:snapToGrid w:val="0"/>
              <w:spacing w:before="79"/>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1"/>
                <w:sz w:val="21"/>
                <w:szCs w:val="21"/>
                <w:highlight w:val="none"/>
                <w:u w:val="none" w:color="auto"/>
              </w:rPr>
              <w:sym w:font="Wingdings 2" w:char="0052"/>
            </w:r>
            <w:r>
              <w:rPr>
                <w:rFonts w:hint="eastAsia" w:ascii="宋体" w:hAnsi="宋体" w:eastAsia="宋体" w:cs="宋体"/>
                <w:color w:val="auto"/>
                <w:sz w:val="21"/>
                <w:szCs w:val="21"/>
                <w:highlight w:val="none"/>
              </w:rPr>
              <w:t>合同期内不调价</w:t>
            </w:r>
            <w:r>
              <w:rPr>
                <w:rStyle w:val="47"/>
                <w:rFonts w:hint="eastAsia" w:ascii="宋体" w:hAnsi="宋体" w:eastAsia="宋体" w:cs="宋体"/>
                <w:color w:val="auto"/>
                <w:sz w:val="21"/>
                <w:szCs w:val="21"/>
                <w:highlight w:val="none"/>
              </w:rPr>
              <w:footnoteReference w:id="43"/>
            </w:r>
            <w:r>
              <w:rPr>
                <w:rStyle w:val="47"/>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，因物价波动引起的价格调整本合同不予考虑。</w:t>
            </w:r>
          </w:p>
        </w:tc>
      </w:tr>
      <w:tr w14:paraId="0B3B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2E18350E">
            <w:pPr>
              <w:snapToGrid w:val="0"/>
              <w:spacing w:before="58" w:line="240" w:lineRule="auto"/>
              <w:ind w:left="0" w:leftChars="0" w:right="0" w:rightChars="0" w:firstLine="0" w:firstLineChars="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rPr>
              <w:t>0</w:t>
            </w:r>
          </w:p>
        </w:tc>
        <w:tc>
          <w:tcPr>
            <w:tcW w:w="936" w:type="dxa"/>
            <w:vAlign w:val="center"/>
          </w:tcPr>
          <w:p w14:paraId="5191ADEA">
            <w:pPr>
              <w:snapToGrid w:val="0"/>
              <w:spacing w:before="58" w:line="240" w:lineRule="auto"/>
              <w:ind w:left="0" w:leftChars="0" w:right="0" w:rightChars="0" w:firstLine="0" w:firstLineChars="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6.3</w:t>
            </w:r>
          </w:p>
        </w:tc>
        <w:tc>
          <w:tcPr>
            <w:tcW w:w="7226" w:type="dxa"/>
            <w:tcBorders>
              <w:right w:val="single" w:color="000000" w:sz="6" w:space="0"/>
            </w:tcBorders>
            <w:vAlign w:val="center"/>
          </w:tcPr>
          <w:p w14:paraId="3BF2F735">
            <w:pPr>
              <w:snapToGrid w:val="0"/>
              <w:spacing w:before="148" w:line="240" w:lineRule="auto"/>
              <w:ind w:left="0" w:leftChars="0" w:right="0" w:rightChars="0" w:firstLine="0" w:firstLineChars="0"/>
              <w:jc w:val="left"/>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22"/>
                <w:sz w:val="21"/>
                <w:szCs w:val="21"/>
                <w:highlight w:val="none"/>
              </w:rPr>
              <w:t>除非</w:t>
            </w:r>
            <w:r>
              <w:rPr>
                <w:rFonts w:hint="eastAsia" w:ascii="宋体" w:hAnsi="宋体" w:eastAsia="宋体" w:cs="宋体"/>
                <w:color w:val="auto"/>
                <w:spacing w:val="13"/>
                <w:sz w:val="21"/>
                <w:szCs w:val="21"/>
                <w:highlight w:val="none"/>
              </w:rPr>
              <w:t>发</w:t>
            </w:r>
            <w:r>
              <w:rPr>
                <w:rFonts w:hint="eastAsia" w:ascii="宋体" w:hAnsi="宋体" w:eastAsia="宋体" w:cs="宋体"/>
                <w:color w:val="auto"/>
                <w:spacing w:val="11"/>
                <w:sz w:val="21"/>
                <w:szCs w:val="21"/>
                <w:highlight w:val="none"/>
              </w:rPr>
              <w:t>包人和监理人专门批准，如果本工程技术规范和图纸标准低于国家和行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业</w:t>
            </w:r>
            <w:r>
              <w:rPr>
                <w:rFonts w:hint="eastAsia" w:ascii="宋体" w:hAnsi="宋体" w:eastAsia="宋体" w:cs="宋体"/>
                <w:color w:val="auto"/>
                <w:spacing w:val="12"/>
                <w:sz w:val="21"/>
                <w:szCs w:val="21"/>
                <w:highlight w:val="none"/>
              </w:rPr>
              <w:t>标准，则应按国家和行业标准执行，承包人由此增加的费用，发包人不另行计</w:t>
            </w:r>
            <w:r>
              <w:rPr>
                <w:rFonts w:hint="eastAsia" w:ascii="宋体" w:hAnsi="宋体" w:eastAsia="宋体" w:cs="宋体"/>
                <w:color w:val="auto"/>
                <w:spacing w:val="5"/>
                <w:sz w:val="21"/>
                <w:szCs w:val="21"/>
                <w:highlight w:val="none"/>
              </w:rPr>
              <w:t>量支付。</w:t>
            </w:r>
          </w:p>
        </w:tc>
      </w:tr>
      <w:tr w14:paraId="40AF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582FD90">
            <w:pPr>
              <w:snapToGrid w:val="0"/>
              <w:spacing w:before="58" w:line="240" w:lineRule="auto"/>
              <w:ind w:left="0" w:leftChars="0" w:right="0" w:rightChars="0" w:firstLine="0" w:firstLineChars="0"/>
              <w:jc w:val="center"/>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lang w:val="en-US" w:eastAsia="zh-CN"/>
              </w:rPr>
              <w:t>1</w:t>
            </w:r>
          </w:p>
        </w:tc>
        <w:tc>
          <w:tcPr>
            <w:tcW w:w="936" w:type="dxa"/>
            <w:vAlign w:val="center"/>
          </w:tcPr>
          <w:p w14:paraId="59643150">
            <w:pPr>
              <w:snapToGrid w:val="0"/>
              <w:spacing w:before="58" w:line="240" w:lineRule="auto"/>
              <w:ind w:left="0" w:leftChars="0" w:right="0" w:rightChars="0" w:firstLine="0" w:firstLineChars="0"/>
              <w:jc w:val="center"/>
              <w:rPr>
                <w:rFonts w:hint="eastAsia" w:ascii="宋体" w:hAnsi="宋体" w:eastAsia="宋体" w:cs="宋体"/>
                <w:color w:val="auto"/>
                <w:spacing w:val="-3"/>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7. 1.3</w:t>
            </w:r>
          </w:p>
        </w:tc>
        <w:tc>
          <w:tcPr>
            <w:tcW w:w="7226" w:type="dxa"/>
            <w:tcBorders>
              <w:right w:val="single" w:color="000000" w:sz="6" w:space="0"/>
            </w:tcBorders>
            <w:vAlign w:val="center"/>
          </w:tcPr>
          <w:p w14:paraId="7D3794B5">
            <w:pPr>
              <w:snapToGrid w:val="0"/>
              <w:spacing w:before="139" w:line="240" w:lineRule="auto"/>
              <w:ind w:left="0" w:leftChars="0" w:right="0" w:rightChars="0" w:firstLine="0" w:firstLineChars="0"/>
              <w:jc w:val="left"/>
              <w:rPr>
                <w:rFonts w:hint="eastAsia" w:ascii="宋体" w:hAnsi="宋体" w:eastAsia="宋体" w:cs="宋体"/>
                <w:color w:val="auto"/>
                <w:spacing w:val="22"/>
                <w:sz w:val="21"/>
                <w:szCs w:val="21"/>
                <w:highlight w:val="none"/>
              </w:rPr>
            </w:pPr>
            <w:r>
              <w:rPr>
                <w:rFonts w:hint="eastAsia" w:ascii="宋体" w:hAnsi="宋体" w:eastAsia="宋体" w:cs="宋体"/>
                <w:color w:val="auto"/>
                <w:spacing w:val="14"/>
                <w:position w:val="14"/>
                <w:sz w:val="21"/>
                <w:szCs w:val="21"/>
                <w:highlight w:val="none"/>
              </w:rPr>
              <w:t>单</w:t>
            </w:r>
            <w:r>
              <w:rPr>
                <w:rFonts w:hint="eastAsia" w:ascii="宋体" w:hAnsi="宋体" w:eastAsia="宋体" w:cs="宋体"/>
                <w:color w:val="auto"/>
                <w:spacing w:val="11"/>
                <w:position w:val="14"/>
                <w:sz w:val="21"/>
                <w:szCs w:val="21"/>
                <w:highlight w:val="none"/>
              </w:rPr>
              <w:t>价</w:t>
            </w:r>
            <w:r>
              <w:rPr>
                <w:rFonts w:hint="eastAsia" w:ascii="宋体" w:hAnsi="宋体" w:eastAsia="宋体" w:cs="宋体"/>
                <w:color w:val="auto"/>
                <w:spacing w:val="7"/>
                <w:position w:val="14"/>
                <w:sz w:val="21"/>
                <w:szCs w:val="21"/>
                <w:highlight w:val="none"/>
              </w:rPr>
              <w:t>子目已完成工程量按月计量，总价子目按第 17. 1.5 项 (总价子目的计量)计量后，汇入当月计量。</w:t>
            </w:r>
          </w:p>
        </w:tc>
      </w:tr>
      <w:tr w14:paraId="5B37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050F2F5">
            <w:pPr>
              <w:snapToGrid w:val="0"/>
              <w:spacing w:before="57" w:line="240" w:lineRule="auto"/>
              <w:ind w:left="0" w:leftChars="0" w:right="0" w:rightChars="0" w:firstLine="0" w:firstLineChars="0"/>
              <w:jc w:val="center"/>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lang w:val="en-US" w:eastAsia="zh-CN"/>
              </w:rPr>
              <w:t>2</w:t>
            </w:r>
          </w:p>
        </w:tc>
        <w:tc>
          <w:tcPr>
            <w:tcW w:w="936" w:type="dxa"/>
            <w:vAlign w:val="center"/>
          </w:tcPr>
          <w:p w14:paraId="33675F78">
            <w:pPr>
              <w:snapToGrid w:val="0"/>
              <w:spacing w:before="57" w:line="240" w:lineRule="auto"/>
              <w:ind w:left="0" w:leftChars="0" w:right="0" w:rightChars="0" w:firstLine="0" w:firstLineChars="0"/>
              <w:jc w:val="center"/>
              <w:rPr>
                <w:rFonts w:hint="eastAsia" w:ascii="宋体" w:hAnsi="宋体" w:eastAsia="宋体" w:cs="宋体"/>
                <w:color w:val="auto"/>
                <w:spacing w:val="-3"/>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7. 1.4</w:t>
            </w:r>
          </w:p>
        </w:tc>
        <w:tc>
          <w:tcPr>
            <w:tcW w:w="7226" w:type="dxa"/>
            <w:tcBorders>
              <w:right w:val="single" w:color="000000" w:sz="6" w:space="0"/>
            </w:tcBorders>
            <w:vAlign w:val="center"/>
          </w:tcPr>
          <w:p w14:paraId="2604CA63">
            <w:pPr>
              <w:snapToGrid w:val="0"/>
              <w:spacing w:before="14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 xml:space="preserve">17. 1.4  </w:t>
            </w:r>
            <w:r>
              <w:rPr>
                <w:rFonts w:hint="eastAsia" w:ascii="宋体" w:hAnsi="宋体" w:eastAsia="宋体" w:cs="宋体"/>
                <w:color w:val="auto"/>
                <w:spacing w:val="1"/>
                <w:sz w:val="21"/>
                <w:szCs w:val="21"/>
                <w:highlight w:val="none"/>
              </w:rPr>
              <w:t>单价子目的计量</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本</w:t>
            </w:r>
            <w:r>
              <w:rPr>
                <w:rFonts w:hint="eastAsia" w:ascii="宋体" w:hAnsi="宋体" w:eastAsia="宋体" w:cs="宋体"/>
                <w:color w:val="auto"/>
                <w:spacing w:val="6"/>
                <w:sz w:val="21"/>
                <w:szCs w:val="21"/>
                <w:highlight w:val="none"/>
              </w:rPr>
              <w:t>项约定为：</w:t>
            </w:r>
          </w:p>
          <w:p w14:paraId="73085F40">
            <w:pPr>
              <w:snapToGrid w:val="0"/>
              <w:spacing w:before="154"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1) 已标价工程量清单中的单价子目工程量为估算工程量。结算工程量是承包</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人</w:t>
            </w:r>
            <w:r>
              <w:rPr>
                <w:rFonts w:hint="eastAsia" w:ascii="宋体" w:hAnsi="宋体" w:eastAsia="宋体" w:cs="宋体"/>
                <w:color w:val="auto"/>
                <w:spacing w:val="9"/>
                <w:sz w:val="21"/>
                <w:szCs w:val="21"/>
                <w:highlight w:val="none"/>
              </w:rPr>
              <w:t>实际完成的，并按合同约定的计量方法进行计量的工程量。</w:t>
            </w:r>
          </w:p>
          <w:p w14:paraId="63D2E7B2">
            <w:pPr>
              <w:snapToGrid w:val="0"/>
              <w:spacing w:before="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2) 承包人对已完成的工程进行计量，向监理人提交进度付款申请单、已完成</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工</w:t>
            </w:r>
            <w:r>
              <w:rPr>
                <w:rFonts w:hint="eastAsia" w:ascii="宋体" w:hAnsi="宋体" w:eastAsia="宋体" w:cs="宋体"/>
                <w:color w:val="auto"/>
                <w:spacing w:val="8"/>
                <w:sz w:val="21"/>
                <w:szCs w:val="21"/>
                <w:highlight w:val="none"/>
              </w:rPr>
              <w:t>程量报表和有关计量资料。</w:t>
            </w:r>
          </w:p>
          <w:p w14:paraId="1E5D85C1">
            <w:pPr>
              <w:snapToGrid w:val="0"/>
              <w:spacing w:before="3"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w:t>
            </w:r>
            <w:r>
              <w:rPr>
                <w:rFonts w:hint="eastAsia" w:ascii="宋体" w:hAnsi="宋体" w:eastAsia="宋体" w:cs="宋体"/>
                <w:color w:val="auto"/>
                <w:spacing w:val="11"/>
                <w:sz w:val="21"/>
                <w:szCs w:val="21"/>
                <w:highlight w:val="none"/>
              </w:rPr>
              <w:t>3) 监理人对承包人提交的工程量报表进行复核，以确定实际完成的工程量。</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对数量有异</w:t>
            </w:r>
            <w:r>
              <w:rPr>
                <w:rFonts w:hint="eastAsia" w:ascii="宋体" w:hAnsi="宋体" w:eastAsia="宋体" w:cs="宋体"/>
                <w:color w:val="auto"/>
                <w:spacing w:val="5"/>
                <w:sz w:val="21"/>
                <w:szCs w:val="21"/>
                <w:highlight w:val="none"/>
              </w:rPr>
              <w:t>议的，可要求承包人按第 8.2 款约定进行共同复核和抽样复测。承包人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应</w:t>
            </w:r>
            <w:r>
              <w:rPr>
                <w:rFonts w:hint="eastAsia" w:ascii="宋体" w:hAnsi="宋体" w:eastAsia="宋体" w:cs="宋体"/>
                <w:color w:val="auto"/>
                <w:spacing w:val="12"/>
                <w:sz w:val="21"/>
                <w:szCs w:val="21"/>
                <w:highlight w:val="none"/>
              </w:rPr>
              <w:t>协助监理人进行复核并按监理人要求提供补充计量资料。承包人未按监理人要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8"/>
                <w:sz w:val="21"/>
                <w:szCs w:val="21"/>
                <w:highlight w:val="none"/>
              </w:rPr>
              <w:t>求</w:t>
            </w:r>
            <w:r>
              <w:rPr>
                <w:rFonts w:hint="eastAsia" w:ascii="宋体" w:hAnsi="宋体" w:eastAsia="宋体" w:cs="宋体"/>
                <w:color w:val="auto"/>
                <w:spacing w:val="13"/>
                <w:sz w:val="21"/>
                <w:szCs w:val="21"/>
                <w:highlight w:val="none"/>
              </w:rPr>
              <w:t>参</w:t>
            </w:r>
            <w:r>
              <w:rPr>
                <w:rFonts w:hint="eastAsia" w:ascii="宋体" w:hAnsi="宋体" w:eastAsia="宋体" w:cs="宋体"/>
                <w:color w:val="auto"/>
                <w:spacing w:val="9"/>
                <w:sz w:val="21"/>
                <w:szCs w:val="21"/>
                <w:highlight w:val="none"/>
              </w:rPr>
              <w:t>加复核，监理人复核或修正的工程量视为承包人实际完成的工程量。</w:t>
            </w:r>
          </w:p>
          <w:p w14:paraId="31C156A6">
            <w:pPr>
              <w:snapToGrid w:val="0"/>
              <w:spacing w:before="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4) 监理人认为有必要时，可通知承包人共同进行联合测量、计量，承包人应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遵照执行。</w:t>
            </w:r>
          </w:p>
          <w:p w14:paraId="313C2343">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5) 承包人完成工程量清单中每个子目的工程量后，监理人应要求承包人派员</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共同对每个子目的历次计量报表进行汇总， 以核实最终结算工程量。监理人可</w:t>
            </w:r>
            <w:r>
              <w:rPr>
                <w:rFonts w:hint="eastAsia" w:ascii="宋体" w:hAnsi="宋体" w:eastAsia="宋体" w:cs="宋体"/>
                <w:color w:val="auto"/>
                <w:spacing w:val="7"/>
                <w:sz w:val="21"/>
                <w:szCs w:val="21"/>
                <w:highlight w:val="none"/>
              </w:rPr>
              <w:t>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求承包人提供补充计量资料， 以确定最后一次进度付款的准确工程量。承包人</w:t>
            </w:r>
            <w:r>
              <w:rPr>
                <w:rFonts w:hint="eastAsia" w:ascii="宋体" w:hAnsi="宋体" w:eastAsia="宋体" w:cs="宋体"/>
                <w:color w:val="auto"/>
                <w:spacing w:val="7"/>
                <w:sz w:val="21"/>
                <w:szCs w:val="21"/>
                <w:highlight w:val="none"/>
              </w:rPr>
              <w:t>未</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按</w:t>
            </w:r>
            <w:r>
              <w:rPr>
                <w:rFonts w:hint="eastAsia" w:ascii="宋体" w:hAnsi="宋体" w:eastAsia="宋体" w:cs="宋体"/>
                <w:color w:val="auto"/>
                <w:spacing w:val="12"/>
                <w:sz w:val="21"/>
                <w:szCs w:val="21"/>
                <w:highlight w:val="none"/>
              </w:rPr>
              <w:t>监理人要求派员参加的，监理人最终核实的工程量视为承包人完成该子目的准</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确工程量。</w:t>
            </w:r>
          </w:p>
          <w:p w14:paraId="09AB1703">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w:t>
            </w:r>
            <w:r>
              <w:rPr>
                <w:rFonts w:hint="eastAsia" w:ascii="宋体" w:hAnsi="宋体" w:eastAsia="宋体" w:cs="宋体"/>
                <w:color w:val="auto"/>
                <w:spacing w:val="9"/>
                <w:sz w:val="21"/>
                <w:szCs w:val="21"/>
                <w:highlight w:val="none"/>
              </w:rPr>
              <w:t>6) 监理人应在收到承包人提交的工程量报表后的 7 天内进行复核，监理人未</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在</w:t>
            </w:r>
            <w:r>
              <w:rPr>
                <w:rFonts w:hint="eastAsia" w:ascii="宋体" w:hAnsi="宋体" w:eastAsia="宋体" w:cs="宋体"/>
                <w:color w:val="auto"/>
                <w:spacing w:val="12"/>
                <w:sz w:val="21"/>
                <w:szCs w:val="21"/>
                <w:highlight w:val="none"/>
              </w:rPr>
              <w:t>约定时间内复核的，承包人提交的工程量报表中的工程量视为承包人实际完成</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6"/>
                <w:sz w:val="21"/>
                <w:szCs w:val="21"/>
                <w:highlight w:val="none"/>
              </w:rPr>
              <w:t>的</w:t>
            </w:r>
            <w:r>
              <w:rPr>
                <w:rFonts w:hint="eastAsia" w:ascii="宋体" w:hAnsi="宋体" w:eastAsia="宋体" w:cs="宋体"/>
                <w:color w:val="auto"/>
                <w:spacing w:val="9"/>
                <w:sz w:val="21"/>
                <w:szCs w:val="21"/>
                <w:highlight w:val="none"/>
              </w:rPr>
              <w:t>工</w:t>
            </w:r>
            <w:r>
              <w:rPr>
                <w:rFonts w:hint="eastAsia" w:ascii="宋体" w:hAnsi="宋体" w:eastAsia="宋体" w:cs="宋体"/>
                <w:color w:val="auto"/>
                <w:spacing w:val="8"/>
                <w:sz w:val="21"/>
                <w:szCs w:val="21"/>
                <w:highlight w:val="none"/>
              </w:rPr>
              <w:t>程量，据此计算工程价款。</w:t>
            </w:r>
          </w:p>
          <w:p w14:paraId="3639F8B2">
            <w:pPr>
              <w:snapToGrid w:val="0"/>
              <w:spacing w:line="240" w:lineRule="auto"/>
              <w:jc w:val="left"/>
              <w:rPr>
                <w:rFonts w:hint="eastAsia" w:ascii="宋体" w:hAnsi="宋体" w:eastAsia="宋体" w:cs="宋体"/>
                <w:color w:val="auto"/>
                <w:spacing w:val="22"/>
                <w:sz w:val="21"/>
                <w:szCs w:val="21"/>
                <w:highlight w:val="none"/>
              </w:rPr>
            </w:pPr>
            <w:r>
              <w:rPr>
                <w:rFonts w:hint="eastAsia" w:ascii="宋体" w:hAnsi="宋体" w:eastAsia="宋体" w:cs="宋体"/>
                <w:color w:val="auto"/>
                <w:spacing w:val="16"/>
                <w:position w:val="15"/>
                <w:sz w:val="21"/>
                <w:szCs w:val="21"/>
                <w:highlight w:val="none"/>
              </w:rPr>
              <w:t>(</w:t>
            </w:r>
            <w:r>
              <w:rPr>
                <w:rFonts w:hint="eastAsia" w:ascii="宋体" w:hAnsi="宋体" w:eastAsia="宋体" w:cs="宋体"/>
                <w:color w:val="auto"/>
                <w:spacing w:val="11"/>
                <w:position w:val="15"/>
                <w:sz w:val="21"/>
                <w:szCs w:val="21"/>
                <w:highlight w:val="none"/>
              </w:rPr>
              <w:t>7) 承包人未在已标价工程量清单中填入单价或总额价的工程子目，将被认为其已包含在本合同的其他子目的单价和总额价中，发包人将不另行支付。</w:t>
            </w:r>
          </w:p>
        </w:tc>
      </w:tr>
      <w:tr w14:paraId="44E9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19C5EA44">
            <w:pPr>
              <w:snapToGrid w:val="0"/>
              <w:spacing w:before="57" w:line="240" w:lineRule="auto"/>
              <w:ind w:left="0" w:leftChars="0" w:right="0" w:rightChars="0" w:firstLine="0" w:firstLineChars="0"/>
              <w:jc w:val="center"/>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lang w:val="en-US" w:eastAsia="zh-CN"/>
              </w:rPr>
              <w:t>3</w:t>
            </w:r>
          </w:p>
        </w:tc>
        <w:tc>
          <w:tcPr>
            <w:tcW w:w="936" w:type="dxa"/>
            <w:vAlign w:val="center"/>
          </w:tcPr>
          <w:p w14:paraId="44CD239E">
            <w:pPr>
              <w:snapToGrid w:val="0"/>
              <w:spacing w:before="57" w:line="240" w:lineRule="auto"/>
              <w:ind w:left="0" w:leftChars="0" w:right="0" w:rightChars="0" w:firstLine="0" w:firstLineChars="0"/>
              <w:jc w:val="center"/>
              <w:rPr>
                <w:rFonts w:hint="eastAsia" w:ascii="宋体" w:hAnsi="宋体" w:eastAsia="宋体" w:cs="宋体"/>
                <w:color w:val="auto"/>
                <w:spacing w:val="-3"/>
                <w:sz w:val="21"/>
                <w:szCs w:val="21"/>
                <w:highlight w:val="none"/>
              </w:rPr>
            </w:pPr>
            <w:r>
              <w:rPr>
                <w:rFonts w:hint="eastAsia" w:ascii="宋体" w:hAnsi="宋体" w:eastAsia="宋体" w:cs="宋体"/>
                <w:color w:val="auto"/>
                <w:spacing w:val="-9"/>
                <w:sz w:val="21"/>
                <w:szCs w:val="21"/>
                <w:highlight w:val="none"/>
              </w:rPr>
              <w:t>1</w:t>
            </w:r>
            <w:r>
              <w:rPr>
                <w:rFonts w:hint="eastAsia" w:ascii="宋体" w:hAnsi="宋体" w:eastAsia="宋体" w:cs="宋体"/>
                <w:color w:val="auto"/>
                <w:spacing w:val="-6"/>
                <w:sz w:val="21"/>
                <w:szCs w:val="21"/>
                <w:highlight w:val="none"/>
              </w:rPr>
              <w:t>7. 1.5</w:t>
            </w:r>
          </w:p>
        </w:tc>
        <w:tc>
          <w:tcPr>
            <w:tcW w:w="7226" w:type="dxa"/>
            <w:tcBorders>
              <w:right w:val="single" w:color="000000" w:sz="6" w:space="0"/>
            </w:tcBorders>
            <w:vAlign w:val="center"/>
          </w:tcPr>
          <w:p w14:paraId="6F6AC6BF">
            <w:pPr>
              <w:snapToGrid w:val="0"/>
              <w:spacing w:before="14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本</w:t>
            </w:r>
            <w:r>
              <w:rPr>
                <w:rFonts w:hint="eastAsia" w:ascii="宋体" w:hAnsi="宋体" w:eastAsia="宋体" w:cs="宋体"/>
                <w:color w:val="auto"/>
                <w:spacing w:val="9"/>
                <w:sz w:val="21"/>
                <w:szCs w:val="21"/>
                <w:highlight w:val="none"/>
              </w:rPr>
              <w:t>项目工程量清单中总价子目的分解和计量支付原则补充以下约定：</w:t>
            </w:r>
          </w:p>
          <w:p w14:paraId="0B66C528">
            <w:pPr>
              <w:snapToGrid w:val="0"/>
              <w:spacing w:before="155"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1) 工程一切险及第三方责任险在首次计量支付前必须按要求投保完成，并在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8"/>
                <w:sz w:val="21"/>
                <w:szCs w:val="21"/>
                <w:highlight w:val="none"/>
              </w:rPr>
              <w:t>第</w:t>
            </w:r>
            <w:r>
              <w:rPr>
                <w:rFonts w:hint="eastAsia" w:ascii="宋体" w:hAnsi="宋体" w:eastAsia="宋体" w:cs="宋体"/>
                <w:color w:val="auto"/>
                <w:spacing w:val="14"/>
                <w:sz w:val="21"/>
                <w:szCs w:val="21"/>
                <w:highlight w:val="none"/>
              </w:rPr>
              <w:t>一</w:t>
            </w:r>
            <w:r>
              <w:rPr>
                <w:rFonts w:hint="eastAsia" w:ascii="宋体" w:hAnsi="宋体" w:eastAsia="宋体" w:cs="宋体"/>
                <w:color w:val="auto"/>
                <w:spacing w:val="9"/>
                <w:sz w:val="21"/>
                <w:szCs w:val="21"/>
                <w:highlight w:val="none"/>
              </w:rPr>
              <w:t>次支付时将保险单及发票原件送至发包人，并在计量支付凭证中附复印件。</w:t>
            </w:r>
          </w:p>
          <w:p w14:paraId="733CE18C">
            <w:pPr>
              <w:snapToGrid w:val="0"/>
              <w:spacing w:before="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2) 竣工文件在完成编制，上交给发包人后，经发包人验收合格后，由发包人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一</w:t>
            </w:r>
            <w:r>
              <w:rPr>
                <w:rFonts w:hint="eastAsia" w:ascii="宋体" w:hAnsi="宋体" w:eastAsia="宋体" w:cs="宋体"/>
                <w:color w:val="auto"/>
                <w:spacing w:val="6"/>
                <w:sz w:val="21"/>
                <w:szCs w:val="21"/>
                <w:highlight w:val="none"/>
              </w:rPr>
              <w:t>次性支付。</w:t>
            </w:r>
          </w:p>
          <w:p w14:paraId="0E072FEB">
            <w:pPr>
              <w:snapToGrid w:val="0"/>
              <w:spacing w:before="13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w:t>
            </w:r>
            <w:r>
              <w:rPr>
                <w:rFonts w:hint="eastAsia" w:ascii="宋体" w:hAnsi="宋体" w:eastAsia="宋体" w:cs="宋体"/>
                <w:color w:val="auto"/>
                <w:spacing w:val="11"/>
                <w:sz w:val="21"/>
                <w:szCs w:val="21"/>
                <w:highlight w:val="none"/>
              </w:rPr>
              <w:t>3) 临时占地、临时供电、电信设施、工地建设及拌和站安装与拆除在首次计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量时支付 50% ，在工程交工验收前再</w:t>
            </w:r>
            <w:r>
              <w:rPr>
                <w:rFonts w:hint="eastAsia" w:ascii="宋体" w:hAnsi="宋体" w:eastAsia="宋体" w:cs="宋体"/>
                <w:color w:val="auto"/>
                <w:spacing w:val="1"/>
                <w:sz w:val="21"/>
                <w:szCs w:val="21"/>
                <w:highlight w:val="none"/>
              </w:rPr>
              <w:t>支付 30% ，另 20%在交工验收后支付。</w:t>
            </w: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4) 施工环保费、安全生产费用、交通封闭费、供水与排污设施及临时道路修</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6"/>
                <w:sz w:val="21"/>
                <w:szCs w:val="21"/>
                <w:highlight w:val="none"/>
              </w:rPr>
              <w:t>建</w:t>
            </w:r>
            <w:r>
              <w:rPr>
                <w:rFonts w:hint="eastAsia" w:ascii="宋体" w:hAnsi="宋体" w:eastAsia="宋体" w:cs="宋体"/>
                <w:color w:val="auto"/>
                <w:spacing w:val="11"/>
                <w:sz w:val="21"/>
                <w:szCs w:val="21"/>
                <w:highlight w:val="none"/>
              </w:rPr>
              <w:t>均</w:t>
            </w:r>
            <w:r>
              <w:rPr>
                <w:rFonts w:hint="eastAsia" w:ascii="宋体" w:hAnsi="宋体" w:eastAsia="宋体" w:cs="宋体"/>
                <w:color w:val="auto"/>
                <w:spacing w:val="8"/>
                <w:sz w:val="21"/>
                <w:szCs w:val="21"/>
                <w:highlight w:val="none"/>
              </w:rPr>
              <w:t>按工程量完成比例进行计量支付。</w:t>
            </w:r>
          </w:p>
          <w:p w14:paraId="01EF674E">
            <w:pPr>
              <w:snapToGrid w:val="0"/>
              <w:spacing w:before="1" w:line="240" w:lineRule="auto"/>
              <w:ind w:left="0" w:leftChars="0" w:right="0" w:rightChars="0" w:firstLine="0" w:firstLineChars="0"/>
              <w:jc w:val="left"/>
              <w:rPr>
                <w:rFonts w:hint="default" w:ascii="宋体" w:hAnsi="宋体" w:eastAsia="宋体" w:cs="宋体"/>
                <w:color w:val="auto"/>
                <w:spacing w:val="22"/>
                <w:sz w:val="21"/>
                <w:szCs w:val="21"/>
                <w:highlight w:val="none"/>
                <w:lang w:val="en-US" w:eastAsia="zh-CN"/>
              </w:rPr>
            </w:pPr>
            <w:r>
              <w:rPr>
                <w:rFonts w:hint="eastAsia" w:ascii="宋体" w:hAnsi="宋体" w:eastAsia="宋体" w:cs="宋体"/>
                <w:color w:val="auto"/>
                <w:spacing w:val="22"/>
                <w:position w:val="14"/>
                <w:sz w:val="21"/>
                <w:szCs w:val="21"/>
                <w:highlight w:val="none"/>
              </w:rPr>
              <w:t>(</w:t>
            </w:r>
            <w:r>
              <w:rPr>
                <w:rFonts w:hint="eastAsia" w:ascii="宋体" w:hAnsi="宋体" w:eastAsia="宋体" w:cs="宋体"/>
                <w:color w:val="auto"/>
                <w:spacing w:val="17"/>
                <w:position w:val="14"/>
                <w:sz w:val="21"/>
                <w:szCs w:val="21"/>
                <w:highlight w:val="none"/>
              </w:rPr>
              <w:t>5</w:t>
            </w:r>
            <w:r>
              <w:rPr>
                <w:rFonts w:hint="eastAsia" w:ascii="宋体" w:hAnsi="宋体" w:eastAsia="宋体" w:cs="宋体"/>
                <w:color w:val="auto"/>
                <w:spacing w:val="11"/>
                <w:position w:val="14"/>
                <w:sz w:val="21"/>
                <w:szCs w:val="21"/>
                <w:highlight w:val="none"/>
              </w:rPr>
              <w:t>) 安全生产费用需报送材料：安全生产费用需上报材料二份，总监办一份</w:t>
            </w:r>
            <w:r>
              <w:rPr>
                <w:rFonts w:hint="eastAsia" w:ascii="宋体" w:hAnsi="宋体" w:cs="宋体"/>
                <w:color w:val="auto"/>
                <w:spacing w:val="11"/>
                <w:position w:val="14"/>
                <w:sz w:val="21"/>
                <w:szCs w:val="21"/>
                <w:highlight w:val="none"/>
                <w:lang w:eastAsia="zh-CN"/>
              </w:rPr>
              <w:t>，</w:t>
            </w:r>
            <w:r>
              <w:rPr>
                <w:rFonts w:hint="eastAsia" w:ascii="宋体" w:hAnsi="宋体" w:cs="宋体"/>
                <w:color w:val="auto"/>
                <w:spacing w:val="11"/>
                <w:position w:val="14"/>
                <w:sz w:val="21"/>
                <w:szCs w:val="21"/>
                <w:highlight w:val="none"/>
                <w:lang w:val="en-US" w:eastAsia="zh-CN"/>
              </w:rPr>
              <w:t>发包人一份。</w:t>
            </w:r>
          </w:p>
        </w:tc>
      </w:tr>
      <w:tr w14:paraId="5C007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F55D4EE">
            <w:pPr>
              <w:snapToGrid w:val="0"/>
              <w:spacing w:before="130" w:line="240" w:lineRule="auto"/>
              <w:ind w:left="0" w:leftChars="0" w:right="0" w:rightChars="0" w:firstLine="0" w:firstLineChars="0"/>
              <w:jc w:val="center"/>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lang w:val="en-US" w:eastAsia="zh-CN"/>
              </w:rPr>
              <w:t>4</w:t>
            </w:r>
          </w:p>
        </w:tc>
        <w:tc>
          <w:tcPr>
            <w:tcW w:w="936" w:type="dxa"/>
            <w:vAlign w:val="center"/>
          </w:tcPr>
          <w:p w14:paraId="0C64465A">
            <w:pPr>
              <w:snapToGrid w:val="0"/>
              <w:spacing w:before="92" w:line="240" w:lineRule="auto"/>
              <w:ind w:left="0" w:leftChars="0" w:right="0" w:rightChars="0" w:firstLine="0" w:firstLineChars="0"/>
              <w:jc w:val="center"/>
              <w:rPr>
                <w:rFonts w:hint="eastAsia" w:ascii="宋体" w:hAnsi="宋体" w:eastAsia="宋体" w:cs="宋体"/>
                <w:color w:val="auto"/>
                <w:spacing w:val="-9"/>
                <w:sz w:val="21"/>
                <w:szCs w:val="21"/>
                <w:highlight w:val="none"/>
              </w:rPr>
            </w:pPr>
            <w:r>
              <w:rPr>
                <w:rFonts w:hint="eastAsia" w:ascii="宋体" w:hAnsi="宋体" w:eastAsia="宋体" w:cs="宋体"/>
                <w:color w:val="auto"/>
                <w:spacing w:val="-3"/>
                <w:sz w:val="21"/>
                <w:szCs w:val="21"/>
                <w:highlight w:val="none"/>
              </w:rPr>
              <w:t>17.2. 1 (1</w:t>
            </w:r>
            <w:r>
              <w:rPr>
                <w:rFonts w:hint="eastAsia" w:ascii="宋体" w:hAnsi="宋体" w:eastAsia="宋体" w:cs="宋体"/>
                <w:color w:val="auto"/>
                <w:spacing w:val="-2"/>
                <w:sz w:val="21"/>
                <w:szCs w:val="21"/>
                <w:highlight w:val="none"/>
              </w:rPr>
              <w:t>)</w:t>
            </w:r>
          </w:p>
        </w:tc>
        <w:tc>
          <w:tcPr>
            <w:tcW w:w="7226" w:type="dxa"/>
            <w:tcBorders>
              <w:right w:val="single" w:color="000000" w:sz="6" w:space="0"/>
            </w:tcBorders>
            <w:vAlign w:val="center"/>
          </w:tcPr>
          <w:p w14:paraId="0B2810E2">
            <w:pPr>
              <w:snapToGrid w:val="0"/>
              <w:spacing w:before="100" w:line="240" w:lineRule="auto"/>
              <w:ind w:left="0" w:leftChars="0" w:right="0" w:rightChars="0" w:firstLine="0" w:firstLineChars="0"/>
              <w:jc w:val="left"/>
              <w:rPr>
                <w:rFonts w:hint="eastAsia" w:ascii="宋体" w:hAnsi="宋体" w:eastAsia="宋体" w:cs="宋体"/>
                <w:color w:val="auto"/>
                <w:spacing w:val="7"/>
                <w:sz w:val="21"/>
                <w:szCs w:val="21"/>
                <w:highlight w:val="none"/>
              </w:rPr>
            </w:pPr>
            <w:r>
              <w:rPr>
                <w:rFonts w:hint="eastAsia" w:ascii="宋体" w:hAnsi="宋体" w:eastAsia="宋体" w:cs="宋体"/>
                <w:color w:val="auto"/>
                <w:spacing w:val="8"/>
                <w:position w:val="1"/>
                <w:sz w:val="21"/>
                <w:szCs w:val="21"/>
                <w:highlight w:val="none"/>
              </w:rPr>
              <w:t>开工预付款</w:t>
            </w:r>
            <w:r>
              <w:rPr>
                <w:rFonts w:hint="eastAsia" w:ascii="宋体" w:hAnsi="宋体" w:eastAsia="宋体" w:cs="宋体"/>
                <w:color w:val="auto"/>
                <w:spacing w:val="5"/>
                <w:position w:val="1"/>
                <w:sz w:val="21"/>
                <w:szCs w:val="21"/>
                <w:highlight w:val="none"/>
              </w:rPr>
              <w:t>金</w:t>
            </w:r>
            <w:r>
              <w:rPr>
                <w:rFonts w:hint="eastAsia" w:ascii="宋体" w:hAnsi="宋体" w:eastAsia="宋体" w:cs="宋体"/>
                <w:color w:val="auto"/>
                <w:spacing w:val="4"/>
                <w:position w:val="1"/>
                <w:sz w:val="21"/>
                <w:szCs w:val="21"/>
                <w:highlight w:val="none"/>
              </w:rPr>
              <w:t>额，规定为：   /    %签约</w:t>
            </w:r>
            <w:r>
              <w:rPr>
                <w:rFonts w:hint="eastAsia" w:ascii="宋体" w:hAnsi="宋体" w:eastAsia="宋体" w:cs="宋体"/>
                <w:color w:val="auto"/>
                <w:sz w:val="21"/>
                <w:szCs w:val="21"/>
                <w:highlight w:val="none"/>
              </w:rPr>
              <w:t>合同价</w:t>
            </w:r>
            <w:r>
              <w:rPr>
                <w:rStyle w:val="47"/>
                <w:rFonts w:hint="eastAsia" w:ascii="宋体" w:hAnsi="宋体" w:eastAsia="宋体" w:cs="宋体"/>
                <w:color w:val="auto"/>
                <w:sz w:val="21"/>
                <w:szCs w:val="21"/>
                <w:highlight w:val="none"/>
              </w:rPr>
              <w:footnoteReference w:id="44"/>
            </w:r>
            <w:r>
              <w:rPr>
                <w:rFonts w:hint="eastAsia" w:ascii="宋体" w:hAnsi="宋体" w:eastAsia="宋体" w:cs="宋体"/>
                <w:color w:val="auto"/>
                <w:spacing w:val="4"/>
                <w:position w:val="1"/>
                <w:sz w:val="21"/>
                <w:szCs w:val="21"/>
                <w:highlight w:val="none"/>
              </w:rPr>
              <w:t xml:space="preserve">  (不含暂列金额)</w:t>
            </w:r>
          </w:p>
        </w:tc>
      </w:tr>
      <w:tr w14:paraId="3748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549E2F8">
            <w:pPr>
              <w:snapToGrid w:val="0"/>
              <w:spacing w:before="148" w:line="240" w:lineRule="auto"/>
              <w:ind w:left="0" w:leftChars="0" w:right="0" w:rightChars="0" w:firstLine="0" w:firstLineChars="0"/>
              <w:jc w:val="center"/>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val="en-US" w:eastAsia="zh-CN"/>
              </w:rPr>
              <w:t>35</w:t>
            </w:r>
          </w:p>
        </w:tc>
        <w:tc>
          <w:tcPr>
            <w:tcW w:w="936" w:type="dxa"/>
            <w:vAlign w:val="center"/>
          </w:tcPr>
          <w:p w14:paraId="632C94DD">
            <w:pPr>
              <w:snapToGrid w:val="0"/>
              <w:spacing w:before="111" w:line="240" w:lineRule="auto"/>
              <w:ind w:left="0" w:leftChars="0" w:right="0" w:rightChars="0" w:firstLine="0" w:firstLineChars="0"/>
              <w:jc w:val="center"/>
              <w:rPr>
                <w:rFonts w:hint="eastAsia" w:ascii="宋体" w:hAnsi="宋体" w:eastAsia="宋体" w:cs="宋体"/>
                <w:color w:val="auto"/>
                <w:spacing w:val="-9"/>
                <w:sz w:val="21"/>
                <w:szCs w:val="21"/>
                <w:highlight w:val="none"/>
              </w:rPr>
            </w:pPr>
            <w:r>
              <w:rPr>
                <w:rFonts w:hint="eastAsia" w:ascii="宋体" w:hAnsi="宋体" w:eastAsia="宋体" w:cs="宋体"/>
                <w:color w:val="auto"/>
                <w:spacing w:val="-3"/>
                <w:sz w:val="21"/>
                <w:szCs w:val="21"/>
                <w:highlight w:val="none"/>
              </w:rPr>
              <w:t>17.2. 1 (2</w:t>
            </w:r>
            <w:r>
              <w:rPr>
                <w:rFonts w:hint="eastAsia" w:ascii="宋体" w:hAnsi="宋体" w:eastAsia="宋体" w:cs="宋体"/>
                <w:color w:val="auto"/>
                <w:spacing w:val="-2"/>
                <w:sz w:val="21"/>
                <w:szCs w:val="21"/>
                <w:highlight w:val="none"/>
              </w:rPr>
              <w:t>)</w:t>
            </w:r>
          </w:p>
        </w:tc>
        <w:tc>
          <w:tcPr>
            <w:tcW w:w="7226" w:type="dxa"/>
            <w:tcBorders>
              <w:right w:val="single" w:color="000000" w:sz="6" w:space="0"/>
            </w:tcBorders>
            <w:vAlign w:val="center"/>
          </w:tcPr>
          <w:p w14:paraId="2F29E69F">
            <w:pPr>
              <w:snapToGrid w:val="0"/>
              <w:spacing w:before="120" w:line="240" w:lineRule="auto"/>
              <w:ind w:left="0" w:leftChars="0" w:right="0" w:rightChars="0" w:firstLine="0" w:firstLineChars="0"/>
              <w:jc w:val="left"/>
              <w:rPr>
                <w:rFonts w:hint="eastAsia" w:ascii="宋体" w:hAnsi="宋体" w:eastAsia="宋体" w:cs="宋体"/>
                <w:color w:val="auto"/>
                <w:spacing w:val="7"/>
                <w:sz w:val="21"/>
                <w:szCs w:val="21"/>
                <w:highlight w:val="none"/>
              </w:rPr>
            </w:pPr>
            <w:r>
              <w:rPr>
                <w:rFonts w:hint="eastAsia" w:ascii="宋体" w:hAnsi="宋体" w:eastAsia="宋体" w:cs="宋体"/>
                <w:color w:val="auto"/>
                <w:spacing w:val="1"/>
                <w:position w:val="1"/>
                <w:sz w:val="21"/>
                <w:szCs w:val="21"/>
                <w:highlight w:val="none"/>
              </w:rPr>
              <w:t>材料、设备预付款比例，规定为：   /    等主要材料、设备单据所</w:t>
            </w:r>
            <w:r>
              <w:rPr>
                <w:rFonts w:hint="eastAsia" w:ascii="宋体" w:hAnsi="宋体" w:eastAsia="宋体" w:cs="宋体"/>
                <w:color w:val="auto"/>
                <w:position w:val="1"/>
                <w:sz w:val="21"/>
                <w:szCs w:val="21"/>
                <w:highlight w:val="none"/>
              </w:rPr>
              <w:t>列费用</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rPr>
              <w:t>%</w:t>
            </w:r>
            <w:r>
              <w:rPr>
                <w:rStyle w:val="47"/>
                <w:rFonts w:hint="eastAsia" w:ascii="宋体" w:hAnsi="宋体" w:eastAsia="宋体" w:cs="宋体"/>
                <w:color w:val="auto"/>
                <w:sz w:val="21"/>
                <w:szCs w:val="21"/>
                <w:highlight w:val="none"/>
              </w:rPr>
              <w:t xml:space="preserve"> </w:t>
            </w:r>
            <w:r>
              <w:rPr>
                <w:rStyle w:val="47"/>
                <w:rFonts w:hint="eastAsia" w:ascii="宋体" w:hAnsi="宋体" w:eastAsia="宋体" w:cs="宋体"/>
                <w:color w:val="auto"/>
                <w:sz w:val="21"/>
                <w:szCs w:val="21"/>
                <w:highlight w:val="none"/>
              </w:rPr>
              <w:footnoteReference w:id="45"/>
            </w:r>
          </w:p>
        </w:tc>
      </w:tr>
      <w:tr w14:paraId="3702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A5F2955">
            <w:pPr>
              <w:snapToGrid w:val="0"/>
              <w:spacing w:before="57" w:line="240" w:lineRule="auto"/>
              <w:ind w:left="0" w:leftChars="0" w:right="0" w:rightChars="0" w:firstLine="0" w:firstLineChars="0"/>
              <w:jc w:val="center"/>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val="en-US" w:eastAsia="zh-CN"/>
              </w:rPr>
              <w:t>36</w:t>
            </w:r>
          </w:p>
        </w:tc>
        <w:tc>
          <w:tcPr>
            <w:tcW w:w="936" w:type="dxa"/>
            <w:vAlign w:val="center"/>
          </w:tcPr>
          <w:p w14:paraId="77882117">
            <w:pPr>
              <w:snapToGrid w:val="0"/>
              <w:spacing w:before="57" w:line="240" w:lineRule="auto"/>
              <w:ind w:left="0" w:leftChars="0" w:right="0" w:rightChars="0" w:firstLine="0" w:firstLineChars="0"/>
              <w:jc w:val="center"/>
              <w:rPr>
                <w:rFonts w:hint="eastAsia" w:ascii="宋体" w:hAnsi="宋体" w:eastAsia="宋体" w:cs="宋体"/>
                <w:color w:val="auto"/>
                <w:spacing w:val="-9"/>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4"/>
                <w:sz w:val="21"/>
                <w:szCs w:val="21"/>
                <w:highlight w:val="none"/>
              </w:rPr>
              <w:t>7.3. 1</w:t>
            </w:r>
          </w:p>
        </w:tc>
        <w:tc>
          <w:tcPr>
            <w:tcW w:w="7226" w:type="dxa"/>
            <w:tcBorders>
              <w:right w:val="single" w:color="000000" w:sz="6" w:space="0"/>
            </w:tcBorders>
            <w:vAlign w:val="center"/>
          </w:tcPr>
          <w:p w14:paraId="038AA5D1">
            <w:pPr>
              <w:snapToGrid w:val="0"/>
              <w:spacing w:before="121" w:line="240" w:lineRule="auto"/>
              <w:ind w:left="0" w:leftChars="0" w:right="0" w:rightChars="0" w:firstLine="0" w:firstLineChars="0"/>
              <w:jc w:val="left"/>
              <w:rPr>
                <w:rFonts w:hint="eastAsia" w:ascii="宋体" w:hAnsi="宋体" w:eastAsia="宋体" w:cs="宋体"/>
                <w:color w:val="auto"/>
                <w:spacing w:val="7"/>
                <w:sz w:val="21"/>
                <w:szCs w:val="21"/>
                <w:highlight w:val="none"/>
              </w:rPr>
            </w:pPr>
            <w:r>
              <w:rPr>
                <w:rFonts w:hint="eastAsia" w:ascii="宋体" w:hAnsi="宋体" w:eastAsia="宋体" w:cs="宋体"/>
                <w:b/>
                <w:bCs/>
                <w:color w:val="auto"/>
                <w:spacing w:val="14"/>
                <w:sz w:val="21"/>
                <w:szCs w:val="21"/>
                <w:highlight w:val="none"/>
              </w:rPr>
              <w:t>付</w:t>
            </w:r>
            <w:r>
              <w:rPr>
                <w:rFonts w:hint="eastAsia" w:ascii="宋体" w:hAnsi="宋体" w:eastAsia="宋体" w:cs="宋体"/>
                <w:b/>
                <w:bCs/>
                <w:color w:val="auto"/>
                <w:spacing w:val="9"/>
                <w:sz w:val="21"/>
                <w:szCs w:val="21"/>
                <w:highlight w:val="none"/>
              </w:rPr>
              <w:t>款</w:t>
            </w:r>
            <w:r>
              <w:rPr>
                <w:rFonts w:hint="eastAsia" w:ascii="宋体" w:hAnsi="宋体" w:eastAsia="宋体" w:cs="宋体"/>
                <w:b/>
                <w:bCs/>
                <w:color w:val="auto"/>
                <w:spacing w:val="7"/>
                <w:sz w:val="21"/>
                <w:szCs w:val="21"/>
                <w:highlight w:val="none"/>
              </w:rPr>
              <w:t>周期及方式：按工程月形象进度，发包人向承包人支付实际完成工程量的80%的工程价款；工程完工且决算价款经财政部门审定后，支付至审定价款的98%，预留2%作为质量保修金，质保金在质保期（一年）过后一次性返还（不计利息）。本项目采用固定单价合同。</w:t>
            </w:r>
          </w:p>
        </w:tc>
      </w:tr>
      <w:tr w14:paraId="6EA3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26947FBD">
            <w:pPr>
              <w:snapToGrid w:val="0"/>
              <w:spacing w:before="130" w:line="240" w:lineRule="auto"/>
              <w:ind w:left="0" w:leftChars="0" w:right="0" w:rightChars="0" w:firstLine="0" w:firstLineChars="0"/>
              <w:jc w:val="center"/>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lang w:val="en-US" w:eastAsia="zh-CN"/>
              </w:rPr>
              <w:t>7</w:t>
            </w:r>
          </w:p>
        </w:tc>
        <w:tc>
          <w:tcPr>
            <w:tcW w:w="936" w:type="dxa"/>
            <w:vAlign w:val="center"/>
          </w:tcPr>
          <w:p w14:paraId="24D2DA3F">
            <w:pPr>
              <w:snapToGrid w:val="0"/>
              <w:spacing w:before="94" w:line="240" w:lineRule="auto"/>
              <w:ind w:left="0" w:leftChars="0" w:right="0" w:rightChars="0" w:firstLine="0" w:firstLineChars="0"/>
              <w:jc w:val="center"/>
              <w:rPr>
                <w:rFonts w:hint="eastAsia" w:ascii="宋体" w:hAnsi="宋体" w:eastAsia="宋体" w:cs="宋体"/>
                <w:color w:val="auto"/>
                <w:spacing w:val="-9"/>
                <w:sz w:val="21"/>
                <w:szCs w:val="21"/>
                <w:highlight w:val="none"/>
              </w:rPr>
            </w:pPr>
            <w:r>
              <w:rPr>
                <w:rFonts w:hint="eastAsia" w:ascii="宋体" w:hAnsi="宋体" w:eastAsia="宋体" w:cs="宋体"/>
                <w:color w:val="auto"/>
                <w:spacing w:val="2"/>
                <w:sz w:val="21"/>
                <w:szCs w:val="21"/>
                <w:highlight w:val="none"/>
              </w:rPr>
              <w:t>17.3.3 (1</w:t>
            </w:r>
            <w:r>
              <w:rPr>
                <w:rFonts w:hint="eastAsia" w:ascii="宋体" w:hAnsi="宋体" w:eastAsia="宋体" w:cs="宋体"/>
                <w:color w:val="auto"/>
                <w:sz w:val="21"/>
                <w:szCs w:val="21"/>
                <w:highlight w:val="none"/>
              </w:rPr>
              <w:t>)</w:t>
            </w:r>
          </w:p>
        </w:tc>
        <w:tc>
          <w:tcPr>
            <w:tcW w:w="7226" w:type="dxa"/>
            <w:tcBorders>
              <w:right w:val="single" w:color="000000" w:sz="6" w:space="0"/>
            </w:tcBorders>
            <w:vAlign w:val="center"/>
          </w:tcPr>
          <w:p w14:paraId="77EE56B5">
            <w:pPr>
              <w:snapToGrid w:val="0"/>
              <w:spacing w:before="103" w:line="240" w:lineRule="auto"/>
              <w:ind w:left="0" w:leftChars="0" w:right="0" w:rightChars="0" w:firstLine="0" w:firstLineChars="0"/>
              <w:jc w:val="left"/>
              <w:rPr>
                <w:rFonts w:hint="eastAsia" w:ascii="宋体" w:hAnsi="宋体" w:eastAsia="宋体" w:cs="宋体"/>
                <w:color w:val="auto"/>
                <w:spacing w:val="7"/>
                <w:sz w:val="21"/>
                <w:szCs w:val="21"/>
                <w:highlight w:val="none"/>
              </w:rPr>
            </w:pPr>
            <w:r>
              <w:rPr>
                <w:rFonts w:hint="eastAsia" w:ascii="宋体" w:hAnsi="宋体" w:eastAsia="宋体" w:cs="宋体"/>
                <w:color w:val="auto"/>
                <w:sz w:val="21"/>
                <w:szCs w:val="21"/>
                <w:highlight w:val="none"/>
              </w:rPr>
              <w:t>进度付款证书最低限额：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%签约合同价或</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r>
              <w:rPr>
                <w:rStyle w:val="47"/>
                <w:rFonts w:hint="eastAsia" w:ascii="宋体" w:hAnsi="宋体" w:eastAsia="宋体" w:cs="宋体"/>
                <w:color w:val="auto"/>
                <w:sz w:val="21"/>
                <w:szCs w:val="21"/>
                <w:highlight w:val="none"/>
              </w:rPr>
              <w:footnoteReference w:id="46"/>
            </w:r>
          </w:p>
        </w:tc>
      </w:tr>
      <w:tr w14:paraId="33CD0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43BA1A8B">
            <w:pPr>
              <w:snapToGrid w:val="0"/>
              <w:spacing w:before="57" w:line="240" w:lineRule="auto"/>
              <w:ind w:left="0" w:leftChars="0" w:right="0" w:rightChars="0" w:firstLine="0" w:firstLineChars="0"/>
              <w:jc w:val="center"/>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lang w:val="en-US" w:eastAsia="zh-CN"/>
              </w:rPr>
              <w:t>8</w:t>
            </w:r>
          </w:p>
        </w:tc>
        <w:tc>
          <w:tcPr>
            <w:tcW w:w="936" w:type="dxa"/>
            <w:vAlign w:val="center"/>
          </w:tcPr>
          <w:p w14:paraId="525DDE83">
            <w:pPr>
              <w:pageBreakBefore w:val="0"/>
              <w:kinsoku/>
              <w:wordWrap w:val="0"/>
              <w:bidi w:val="0"/>
              <w:snapToGrid w:val="0"/>
              <w:spacing w:line="240" w:lineRule="auto"/>
              <w:ind w:left="0" w:leftChars="0" w:right="0" w:rightChars="0" w:firstLine="0" w:firstLineChars="0"/>
              <w:jc w:val="center"/>
              <w:rPr>
                <w:rFonts w:hint="eastAsia" w:ascii="宋体" w:hAnsi="宋体" w:eastAsia="宋体" w:cs="宋体"/>
                <w:color w:val="auto"/>
                <w:spacing w:val="2"/>
                <w:sz w:val="21"/>
                <w:szCs w:val="21"/>
                <w:highlight w:val="none"/>
              </w:rPr>
            </w:pPr>
            <w:r>
              <w:rPr>
                <w:rFonts w:hint="eastAsia" w:ascii="宋体" w:hAnsi="宋体" w:eastAsia="宋体" w:cs="宋体"/>
                <w:color w:val="auto"/>
                <w:sz w:val="21"/>
                <w:szCs w:val="21"/>
                <w:highlight w:val="none"/>
              </w:rPr>
              <w:t>17.3.3（2）</w:t>
            </w:r>
          </w:p>
        </w:tc>
        <w:tc>
          <w:tcPr>
            <w:tcW w:w="7226" w:type="dxa"/>
            <w:tcBorders>
              <w:right w:val="single" w:color="000000" w:sz="6" w:space="0"/>
            </w:tcBorders>
            <w:vAlign w:val="center"/>
          </w:tcPr>
          <w:p w14:paraId="7FED5C4A">
            <w:pPr>
              <w:pageBreakBefore w:val="0"/>
              <w:kinsoku/>
              <w:wordWrap w:val="0"/>
              <w:bidi w:val="0"/>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逾期付款违约金的利率：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w:t>
            </w:r>
            <w:r>
              <w:rPr>
                <w:rStyle w:val="47"/>
                <w:rFonts w:hint="eastAsia" w:ascii="宋体" w:hAnsi="宋体" w:eastAsia="宋体" w:cs="宋体"/>
                <w:color w:val="auto"/>
                <w:sz w:val="21"/>
                <w:szCs w:val="21"/>
                <w:highlight w:val="none"/>
              </w:rPr>
              <w:footnoteReference w:id="47"/>
            </w:r>
          </w:p>
        </w:tc>
      </w:tr>
      <w:tr w14:paraId="29A0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0262251E">
            <w:pPr>
              <w:snapToGrid w:val="0"/>
              <w:spacing w:before="58" w:line="240" w:lineRule="auto"/>
              <w:ind w:left="0" w:leftChars="0" w:right="0" w:rightChars="0" w:firstLine="0" w:firstLineChars="0"/>
              <w:jc w:val="center"/>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39</w:t>
            </w:r>
          </w:p>
        </w:tc>
        <w:tc>
          <w:tcPr>
            <w:tcW w:w="936" w:type="dxa"/>
            <w:vAlign w:val="center"/>
          </w:tcPr>
          <w:p w14:paraId="05ECA2CB">
            <w:pPr>
              <w:snapToGrid w:val="0"/>
              <w:spacing w:before="57" w:line="240" w:lineRule="auto"/>
              <w:ind w:left="0" w:leftChars="0" w:right="0" w:rightChars="0" w:firstLine="0" w:firstLineChars="0"/>
              <w:jc w:val="center"/>
              <w:rPr>
                <w:rFonts w:hint="eastAsia" w:ascii="宋体" w:hAnsi="宋体" w:eastAsia="宋体" w:cs="宋体"/>
                <w:color w:val="auto"/>
                <w:spacing w:val="-9"/>
                <w:sz w:val="21"/>
                <w:szCs w:val="21"/>
                <w:highlight w:val="none"/>
              </w:rPr>
            </w:pPr>
            <w:r>
              <w:rPr>
                <w:rFonts w:hint="eastAsia" w:ascii="宋体" w:hAnsi="宋体" w:eastAsia="宋体" w:cs="宋体"/>
                <w:color w:val="auto"/>
                <w:spacing w:val="1"/>
                <w:sz w:val="21"/>
                <w:szCs w:val="21"/>
                <w:highlight w:val="none"/>
              </w:rPr>
              <w:t>17.3.</w:t>
            </w:r>
            <w:r>
              <w:rPr>
                <w:rFonts w:hint="eastAsia" w:ascii="宋体" w:hAnsi="宋体" w:eastAsia="宋体" w:cs="宋体"/>
                <w:color w:val="auto"/>
                <w:sz w:val="21"/>
                <w:szCs w:val="21"/>
                <w:highlight w:val="none"/>
              </w:rPr>
              <w:t>5</w:t>
            </w:r>
          </w:p>
        </w:tc>
        <w:tc>
          <w:tcPr>
            <w:tcW w:w="7226" w:type="dxa"/>
            <w:tcBorders>
              <w:right w:val="single" w:color="000000" w:sz="6" w:space="0"/>
            </w:tcBorders>
            <w:vAlign w:val="center"/>
          </w:tcPr>
          <w:p w14:paraId="73F4D354">
            <w:pPr>
              <w:snapToGrid w:val="0"/>
              <w:spacing w:before="140" w:line="240" w:lineRule="auto"/>
              <w:ind w:left="0" w:leftChars="0" w:right="0" w:rightChars="0" w:firstLine="0" w:firstLineChars="0"/>
              <w:jc w:val="left"/>
              <w:rPr>
                <w:rFonts w:hint="eastAsia" w:ascii="宋体" w:hAnsi="宋体" w:eastAsia="宋体" w:cs="宋体"/>
                <w:color w:val="auto"/>
                <w:spacing w:val="7"/>
                <w:sz w:val="21"/>
                <w:szCs w:val="21"/>
                <w:highlight w:val="none"/>
              </w:rPr>
            </w:pPr>
            <w:r>
              <w:rPr>
                <w:rFonts w:hint="eastAsia" w:ascii="宋体" w:hAnsi="宋体" w:eastAsia="宋体" w:cs="宋体"/>
                <w:color w:val="auto"/>
                <w:spacing w:val="14"/>
                <w:position w:val="14"/>
                <w:sz w:val="21"/>
                <w:szCs w:val="21"/>
                <w:highlight w:val="none"/>
              </w:rPr>
              <w:t>农</w:t>
            </w:r>
            <w:r>
              <w:rPr>
                <w:rFonts w:hint="eastAsia" w:ascii="宋体" w:hAnsi="宋体" w:eastAsia="宋体" w:cs="宋体"/>
                <w:color w:val="auto"/>
                <w:spacing w:val="12"/>
                <w:position w:val="14"/>
                <w:sz w:val="21"/>
                <w:szCs w:val="21"/>
                <w:highlight w:val="none"/>
              </w:rPr>
              <w:t>民工工资保证金的额度、提交形式、使用范围、扣留条件、返还时间：执</w:t>
            </w:r>
            <w:r>
              <w:rPr>
                <w:rFonts w:hint="eastAsia" w:ascii="宋体" w:hAnsi="宋体" w:eastAsia="宋体" w:cs="宋体"/>
                <w:color w:val="auto"/>
                <w:spacing w:val="16"/>
                <w:sz w:val="21"/>
                <w:szCs w:val="21"/>
                <w:highlight w:val="none"/>
                <w:lang w:val="en-US" w:eastAsia="zh-CN"/>
              </w:rPr>
              <w:t>行项</w:t>
            </w:r>
            <w:r>
              <w:rPr>
                <w:rFonts w:hint="eastAsia" w:ascii="宋体" w:hAnsi="宋体" w:eastAsia="宋体" w:cs="宋体"/>
                <w:color w:val="auto"/>
                <w:spacing w:val="16"/>
                <w:sz w:val="21"/>
                <w:szCs w:val="21"/>
                <w:highlight w:val="none"/>
              </w:rPr>
              <w:t>目</w:t>
            </w:r>
            <w:r>
              <w:rPr>
                <w:rFonts w:hint="eastAsia" w:ascii="宋体" w:hAnsi="宋体" w:eastAsia="宋体" w:cs="宋体"/>
                <w:color w:val="auto"/>
                <w:spacing w:val="15"/>
                <w:sz w:val="21"/>
                <w:szCs w:val="21"/>
                <w:highlight w:val="none"/>
              </w:rPr>
              <w:t>所</w:t>
            </w:r>
            <w:r>
              <w:rPr>
                <w:rFonts w:hint="eastAsia" w:ascii="宋体" w:hAnsi="宋体" w:eastAsia="宋体" w:cs="宋体"/>
                <w:color w:val="auto"/>
                <w:spacing w:val="8"/>
                <w:sz w:val="21"/>
                <w:szCs w:val="21"/>
                <w:highlight w:val="none"/>
              </w:rPr>
              <w:t>在省、市的人力资源社会保障行政部门、交通运输主管部门等施行的规定。</w:t>
            </w:r>
          </w:p>
        </w:tc>
      </w:tr>
      <w:tr w14:paraId="2D85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6D657B4">
            <w:pPr>
              <w:snapToGrid w:val="0"/>
              <w:spacing w:before="58" w:line="240" w:lineRule="auto"/>
              <w:ind w:left="0" w:leftChars="0" w:right="0" w:rightChars="0" w:firstLine="0" w:firstLineChars="0"/>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40</w:t>
            </w:r>
          </w:p>
        </w:tc>
        <w:tc>
          <w:tcPr>
            <w:tcW w:w="936" w:type="dxa"/>
            <w:vAlign w:val="center"/>
          </w:tcPr>
          <w:p w14:paraId="72CC5684">
            <w:pPr>
              <w:snapToGrid w:val="0"/>
              <w:spacing w:before="58" w:line="240" w:lineRule="auto"/>
              <w:ind w:left="0" w:leftChars="0" w:right="0" w:rightChars="0" w:firstLine="0" w:firstLineChars="0"/>
              <w:jc w:val="center"/>
              <w:rPr>
                <w:rFonts w:hint="eastAsia" w:ascii="宋体" w:hAnsi="宋体" w:eastAsia="宋体" w:cs="宋体"/>
                <w:color w:val="auto"/>
                <w:spacing w:val="-9"/>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4"/>
                <w:sz w:val="21"/>
                <w:szCs w:val="21"/>
                <w:highlight w:val="none"/>
              </w:rPr>
              <w:t>7.4. 1</w:t>
            </w:r>
          </w:p>
        </w:tc>
        <w:tc>
          <w:tcPr>
            <w:tcW w:w="7226" w:type="dxa"/>
            <w:tcBorders>
              <w:right w:val="single" w:color="000000" w:sz="6" w:space="0"/>
            </w:tcBorders>
            <w:vAlign w:val="center"/>
          </w:tcPr>
          <w:p w14:paraId="48A1A9CD">
            <w:pPr>
              <w:snapToGrid w:val="0"/>
              <w:spacing w:before="10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质量保证金</w:t>
            </w:r>
            <w:r>
              <w:rPr>
                <w:rFonts w:hint="eastAsia" w:ascii="宋体" w:hAnsi="宋体" w:eastAsia="宋体" w:cs="宋体"/>
                <w:color w:val="auto"/>
                <w:spacing w:val="8"/>
                <w:sz w:val="21"/>
                <w:szCs w:val="21"/>
                <w:highlight w:val="none"/>
              </w:rPr>
              <w:t>金</w:t>
            </w:r>
            <w:r>
              <w:rPr>
                <w:rFonts w:hint="eastAsia" w:ascii="宋体" w:hAnsi="宋体" w:eastAsia="宋体" w:cs="宋体"/>
                <w:color w:val="auto"/>
                <w:spacing w:val="5"/>
                <w:sz w:val="21"/>
                <w:szCs w:val="21"/>
                <w:highlight w:val="none"/>
              </w:rPr>
              <w:t>额，规定为：</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lang w:val="en-US" w:eastAsia="zh-CN"/>
              </w:rPr>
              <w:t>2</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rPr>
              <w:t>工程价款结算总额，质量保证金不计付利息。</w:t>
            </w:r>
          </w:p>
          <w:p w14:paraId="672D1E4F">
            <w:pPr>
              <w:snapToGrid w:val="0"/>
              <w:spacing w:before="12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1) 承包人履约保证金、质量保证金均采用银行保函形式的，在发包人与承包</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人</w:t>
            </w:r>
            <w:r>
              <w:rPr>
                <w:rFonts w:hint="eastAsia" w:ascii="宋体" w:hAnsi="宋体" w:eastAsia="宋体" w:cs="宋体"/>
                <w:color w:val="auto"/>
                <w:spacing w:val="12"/>
                <w:sz w:val="21"/>
                <w:szCs w:val="21"/>
                <w:highlight w:val="none"/>
              </w:rPr>
              <w:t>完成本合同工程价款结算后，承包人应在工程验收证书颁发之前，按《项目专</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用合同条款数据表》 中规定的额度向发包人提交质量保证金银行保函，出具保</w:t>
            </w:r>
            <w:r>
              <w:rPr>
                <w:rFonts w:hint="eastAsia" w:ascii="宋体" w:hAnsi="宋体" w:eastAsia="宋体" w:cs="宋体"/>
                <w:color w:val="auto"/>
                <w:spacing w:val="7"/>
                <w:sz w:val="21"/>
                <w:szCs w:val="21"/>
                <w:highlight w:val="none"/>
              </w:rPr>
              <w:t>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的</w:t>
            </w:r>
            <w:r>
              <w:rPr>
                <w:rFonts w:hint="eastAsia" w:ascii="宋体" w:hAnsi="宋体" w:eastAsia="宋体" w:cs="宋体"/>
                <w:color w:val="auto"/>
                <w:spacing w:val="12"/>
                <w:sz w:val="21"/>
                <w:szCs w:val="21"/>
                <w:highlight w:val="none"/>
              </w:rPr>
              <w:t>银行须具有相应担保能力，且按照发包人批准的格式出具，所需费用由承包人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承担，保函的有效期应至缺陷责任期满之日止。</w:t>
            </w:r>
          </w:p>
          <w:p w14:paraId="5E145E7D">
            <w:pPr>
              <w:snapToGrid w:val="0"/>
              <w:spacing w:before="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履约保证金保函的有效期至缺陷责任期满之日止，且承包人履约保证金保函</w:t>
            </w:r>
            <w:r>
              <w:rPr>
                <w:rFonts w:hint="eastAsia" w:ascii="宋体" w:hAnsi="宋体" w:eastAsia="宋体" w:cs="宋体"/>
                <w:color w:val="auto"/>
                <w:spacing w:val="11"/>
                <w:sz w:val="21"/>
                <w:szCs w:val="21"/>
                <w:highlight w:val="none"/>
              </w:rPr>
              <w:t>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8"/>
                <w:sz w:val="21"/>
                <w:szCs w:val="21"/>
                <w:highlight w:val="none"/>
              </w:rPr>
              <w:t>额</w:t>
            </w:r>
            <w:r>
              <w:rPr>
                <w:rFonts w:hint="eastAsia" w:ascii="宋体" w:hAnsi="宋体" w:eastAsia="宋体" w:cs="宋体"/>
                <w:color w:val="auto"/>
                <w:spacing w:val="12"/>
                <w:sz w:val="21"/>
                <w:szCs w:val="21"/>
                <w:highlight w:val="none"/>
              </w:rPr>
              <w:t>不</w:t>
            </w:r>
            <w:r>
              <w:rPr>
                <w:rFonts w:hint="eastAsia" w:ascii="宋体" w:hAnsi="宋体" w:eastAsia="宋体" w:cs="宋体"/>
                <w:color w:val="auto"/>
                <w:spacing w:val="9"/>
                <w:sz w:val="21"/>
                <w:szCs w:val="21"/>
                <w:highlight w:val="none"/>
              </w:rPr>
              <w:t>低于质量保证金金额的，承包人无须另行提交质量保证金银行保函。</w:t>
            </w:r>
          </w:p>
          <w:p w14:paraId="210DC3FA">
            <w:pPr>
              <w:snapToGrid w:val="0"/>
              <w:spacing w:before="3"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履约保证金保函的有效期至缺陷责任期满之日止，但承包人履约保证金保函</w:t>
            </w:r>
            <w:r>
              <w:rPr>
                <w:rFonts w:hint="eastAsia" w:ascii="宋体" w:hAnsi="宋体" w:eastAsia="宋体" w:cs="宋体"/>
                <w:color w:val="auto"/>
                <w:spacing w:val="11"/>
                <w:sz w:val="21"/>
                <w:szCs w:val="21"/>
                <w:highlight w:val="none"/>
              </w:rPr>
              <w:t>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4"/>
                <w:sz w:val="21"/>
                <w:szCs w:val="21"/>
                <w:highlight w:val="none"/>
              </w:rPr>
              <w:t>额</w:t>
            </w:r>
            <w:r>
              <w:rPr>
                <w:rFonts w:hint="eastAsia" w:ascii="宋体" w:hAnsi="宋体" w:eastAsia="宋体" w:cs="宋体"/>
                <w:color w:val="auto"/>
                <w:spacing w:val="18"/>
                <w:sz w:val="21"/>
                <w:szCs w:val="21"/>
                <w:highlight w:val="none"/>
              </w:rPr>
              <w:t>低</w:t>
            </w:r>
            <w:r>
              <w:rPr>
                <w:rFonts w:hint="eastAsia" w:ascii="宋体" w:hAnsi="宋体" w:eastAsia="宋体" w:cs="宋体"/>
                <w:color w:val="auto"/>
                <w:spacing w:val="12"/>
                <w:sz w:val="21"/>
                <w:szCs w:val="21"/>
                <w:highlight w:val="none"/>
              </w:rPr>
              <w:t>于质量保证金金额的，承包人应另行提交全额质量保证金银行保函。同时，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发</w:t>
            </w:r>
            <w:r>
              <w:rPr>
                <w:rFonts w:hint="eastAsia" w:ascii="宋体" w:hAnsi="宋体" w:eastAsia="宋体" w:cs="宋体"/>
                <w:color w:val="auto"/>
                <w:spacing w:val="8"/>
                <w:sz w:val="21"/>
                <w:szCs w:val="21"/>
                <w:highlight w:val="none"/>
              </w:rPr>
              <w:t>包</w:t>
            </w:r>
            <w:r>
              <w:rPr>
                <w:rFonts w:hint="eastAsia" w:ascii="宋体" w:hAnsi="宋体" w:eastAsia="宋体" w:cs="宋体"/>
                <w:color w:val="auto"/>
                <w:spacing w:val="7"/>
                <w:sz w:val="21"/>
                <w:szCs w:val="21"/>
                <w:highlight w:val="none"/>
              </w:rPr>
              <w:t>人将提前终止承包人履约保证金保函的有效期 (至颁发工程验收证书之日)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并</w:t>
            </w:r>
            <w:r>
              <w:rPr>
                <w:rFonts w:hint="eastAsia" w:ascii="宋体" w:hAnsi="宋体" w:eastAsia="宋体" w:cs="宋体"/>
                <w:color w:val="auto"/>
                <w:spacing w:val="8"/>
                <w:sz w:val="21"/>
                <w:szCs w:val="21"/>
                <w:highlight w:val="none"/>
              </w:rPr>
              <w:t>函告出具保函的银行。</w:t>
            </w:r>
          </w:p>
          <w:p w14:paraId="00704B97">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(2</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10"/>
                <w:sz w:val="21"/>
                <w:szCs w:val="21"/>
                <w:highlight w:val="none"/>
              </w:rPr>
              <w:t xml:space="preserve"> 承包人履约保证金、质量保证金均采用现金 (电汇或银行汇票形式) 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承包人应在签发工程验收证书时，按《项目专用合同条款数据表》 中的规定的</w:t>
            </w:r>
            <w:r>
              <w:rPr>
                <w:rFonts w:hint="eastAsia" w:ascii="宋体" w:hAnsi="宋体" w:eastAsia="宋体" w:cs="宋体"/>
                <w:color w:val="auto"/>
                <w:spacing w:val="7"/>
                <w:sz w:val="21"/>
                <w:szCs w:val="21"/>
                <w:highlight w:val="none"/>
              </w:rPr>
              <w:t>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额</w:t>
            </w:r>
            <w:r>
              <w:rPr>
                <w:rFonts w:hint="eastAsia" w:ascii="宋体" w:hAnsi="宋体" w:eastAsia="宋体" w:cs="宋体"/>
                <w:color w:val="auto"/>
                <w:spacing w:val="8"/>
                <w:sz w:val="21"/>
                <w:szCs w:val="21"/>
                <w:highlight w:val="none"/>
              </w:rPr>
              <w:t>向发包人提交质量保证金。</w:t>
            </w:r>
          </w:p>
          <w:p w14:paraId="1387199A">
            <w:pPr>
              <w:snapToGrid w:val="0"/>
              <w:spacing w:before="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如履约保证金金额不低于质量保证金金额的，发包人从履约保证金中扣留相</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额</w:t>
            </w:r>
            <w:r>
              <w:rPr>
                <w:rFonts w:hint="eastAsia" w:ascii="宋体" w:hAnsi="宋体" w:eastAsia="宋体" w:cs="宋体"/>
                <w:color w:val="auto"/>
                <w:spacing w:val="8"/>
                <w:sz w:val="21"/>
                <w:szCs w:val="21"/>
                <w:highlight w:val="none"/>
              </w:rPr>
              <w:t>度的质量保证金，并在签发工程验收证书时，将剩余履约保证金退还给承包人。</w:t>
            </w:r>
          </w:p>
          <w:p w14:paraId="532FE142">
            <w:pPr>
              <w:snapToGrid w:val="0"/>
              <w:spacing w:before="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如履约保证金金额低于质量保证金金额的，发包人将扣留全部履约保证金作</w:t>
            </w:r>
            <w:r>
              <w:rPr>
                <w:rFonts w:hint="eastAsia" w:ascii="宋体" w:hAnsi="宋体" w:eastAsia="宋体" w:cs="宋体"/>
                <w:color w:val="auto"/>
                <w:spacing w:val="11"/>
                <w:sz w:val="21"/>
                <w:szCs w:val="21"/>
                <w:highlight w:val="none"/>
              </w:rPr>
              <w:t>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质</w:t>
            </w:r>
            <w:r>
              <w:rPr>
                <w:rFonts w:hint="eastAsia" w:ascii="宋体" w:hAnsi="宋体" w:eastAsia="宋体" w:cs="宋体"/>
                <w:color w:val="auto"/>
                <w:spacing w:val="12"/>
                <w:sz w:val="21"/>
                <w:szCs w:val="21"/>
                <w:highlight w:val="none"/>
              </w:rPr>
              <w:t>量保证金的一部分，且承包人应在签发工程验收证书时向发包人提交质量保证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金的剩余</w:t>
            </w:r>
            <w:r>
              <w:rPr>
                <w:rFonts w:hint="eastAsia" w:ascii="宋体" w:hAnsi="宋体" w:eastAsia="宋体" w:cs="宋体"/>
                <w:color w:val="auto"/>
                <w:spacing w:val="5"/>
                <w:sz w:val="21"/>
                <w:szCs w:val="21"/>
                <w:highlight w:val="none"/>
              </w:rPr>
              <w:t>部</w:t>
            </w:r>
            <w:r>
              <w:rPr>
                <w:rFonts w:hint="eastAsia" w:ascii="宋体" w:hAnsi="宋体" w:eastAsia="宋体" w:cs="宋体"/>
                <w:color w:val="auto"/>
                <w:spacing w:val="4"/>
                <w:sz w:val="21"/>
                <w:szCs w:val="21"/>
                <w:highlight w:val="none"/>
              </w:rPr>
              <w:t>分 ( “质量保证金”减去“履约保证金”) 。</w:t>
            </w:r>
          </w:p>
          <w:p w14:paraId="0E05B9BB">
            <w:pPr>
              <w:snapToGrid w:val="0"/>
              <w:spacing w:before="13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(3</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10"/>
                <w:sz w:val="21"/>
                <w:szCs w:val="21"/>
                <w:highlight w:val="none"/>
              </w:rPr>
              <w:t xml:space="preserve"> 承包人履约保证金采用现金 (电汇或银行汇票形式) 、质量保证金采用银</w:t>
            </w:r>
            <w:r>
              <w:rPr>
                <w:rFonts w:hint="eastAsia" w:ascii="宋体" w:hAnsi="宋体" w:eastAsia="宋体" w:cs="宋体"/>
                <w:color w:val="auto"/>
                <w:spacing w:val="12"/>
                <w:sz w:val="21"/>
                <w:szCs w:val="21"/>
                <w:highlight w:val="none"/>
              </w:rPr>
              <w:t>行保函形式的，在发包人与承包人完成本合同工程价款结算后，承包人应在工</w:t>
            </w:r>
            <w:r>
              <w:rPr>
                <w:rFonts w:hint="eastAsia" w:ascii="宋体" w:hAnsi="宋体" w:eastAsia="宋体" w:cs="宋体"/>
                <w:color w:val="auto"/>
                <w:spacing w:val="10"/>
                <w:sz w:val="21"/>
                <w:szCs w:val="21"/>
                <w:highlight w:val="none"/>
              </w:rPr>
              <w:t>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验收证书颁发时，按《项目专用合同条款数据表》 中规定的额度向发包人提交</w:t>
            </w:r>
            <w:r>
              <w:rPr>
                <w:rFonts w:hint="eastAsia" w:ascii="宋体" w:hAnsi="宋体" w:eastAsia="宋体" w:cs="宋体"/>
                <w:color w:val="auto"/>
                <w:spacing w:val="7"/>
                <w:sz w:val="21"/>
                <w:szCs w:val="21"/>
                <w:highlight w:val="none"/>
              </w:rPr>
              <w:t>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量</w:t>
            </w:r>
            <w:r>
              <w:rPr>
                <w:rFonts w:hint="eastAsia" w:ascii="宋体" w:hAnsi="宋体" w:eastAsia="宋体" w:cs="宋体"/>
                <w:color w:val="auto"/>
                <w:spacing w:val="12"/>
                <w:sz w:val="21"/>
                <w:szCs w:val="21"/>
                <w:highlight w:val="none"/>
              </w:rPr>
              <w:t>保证金银行保函，出具保函的银行须具有相应担保能力，且按照发包人批准的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8"/>
                <w:sz w:val="21"/>
                <w:szCs w:val="21"/>
                <w:highlight w:val="none"/>
              </w:rPr>
              <w:t>格</w:t>
            </w:r>
            <w:r>
              <w:rPr>
                <w:rFonts w:hint="eastAsia" w:ascii="宋体" w:hAnsi="宋体" w:eastAsia="宋体" w:cs="宋体"/>
                <w:color w:val="auto"/>
                <w:spacing w:val="15"/>
                <w:sz w:val="21"/>
                <w:szCs w:val="21"/>
                <w:highlight w:val="none"/>
              </w:rPr>
              <w:t>式</w:t>
            </w:r>
            <w:r>
              <w:rPr>
                <w:rFonts w:hint="eastAsia" w:ascii="宋体" w:hAnsi="宋体" w:eastAsia="宋体" w:cs="宋体"/>
                <w:color w:val="auto"/>
                <w:spacing w:val="9"/>
                <w:sz w:val="21"/>
                <w:szCs w:val="21"/>
                <w:highlight w:val="none"/>
              </w:rPr>
              <w:t>出具，所需费用由承包人承担，保函的有效期应至缺陷责任期满之日止。</w:t>
            </w:r>
          </w:p>
          <w:p w14:paraId="32707F15">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(4) 承包人履约保证金采用银行保函形式、质量保证金采用现金 (电汇或银</w:t>
            </w:r>
            <w:r>
              <w:rPr>
                <w:rFonts w:hint="eastAsia" w:ascii="宋体" w:hAnsi="宋体" w:eastAsia="宋体" w:cs="宋体"/>
                <w:color w:val="auto"/>
                <w:spacing w:val="5"/>
                <w:sz w:val="21"/>
                <w:szCs w:val="21"/>
                <w:highlight w:val="none"/>
              </w:rPr>
              <w:t>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6"/>
                <w:sz w:val="21"/>
                <w:szCs w:val="21"/>
                <w:highlight w:val="none"/>
              </w:rPr>
              <w:t>汇票</w:t>
            </w:r>
            <w:r>
              <w:rPr>
                <w:rFonts w:hint="eastAsia" w:ascii="宋体" w:hAnsi="宋体" w:eastAsia="宋体" w:cs="宋体"/>
                <w:color w:val="auto"/>
                <w:spacing w:val="8"/>
                <w:sz w:val="21"/>
                <w:szCs w:val="21"/>
                <w:highlight w:val="none"/>
              </w:rPr>
              <w:t>形式) 的，承包人应在工程验收证书颁发时，按《项目专用合同条款数据表》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中规定的额度向发包人提交质量保证金</w:t>
            </w:r>
            <w:r>
              <w:rPr>
                <w:rFonts w:hint="eastAsia" w:ascii="宋体" w:hAnsi="宋体" w:eastAsia="宋体" w:cs="宋体"/>
                <w:color w:val="auto"/>
                <w:spacing w:val="7"/>
                <w:sz w:val="21"/>
                <w:szCs w:val="21"/>
                <w:highlight w:val="none"/>
              </w:rPr>
              <w:t>。</w:t>
            </w:r>
          </w:p>
          <w:p w14:paraId="3F600CAF">
            <w:pPr>
              <w:snapToGrid w:val="0"/>
              <w:spacing w:line="240" w:lineRule="auto"/>
              <w:ind w:left="0" w:leftChars="0" w:right="0" w:rightChars="0" w:firstLine="0" w:firstLineChars="0"/>
              <w:jc w:val="left"/>
              <w:rPr>
                <w:rFonts w:hint="eastAsia" w:ascii="宋体" w:hAnsi="宋体" w:eastAsia="宋体" w:cs="宋体"/>
                <w:color w:val="auto"/>
                <w:spacing w:val="11"/>
                <w:position w:val="14"/>
                <w:sz w:val="21"/>
                <w:szCs w:val="21"/>
                <w:highlight w:val="none"/>
              </w:rPr>
            </w:pPr>
            <w:r>
              <w:rPr>
                <w:rFonts w:hint="eastAsia" w:ascii="宋体" w:hAnsi="宋体" w:eastAsia="宋体" w:cs="宋体"/>
                <w:color w:val="auto"/>
                <w:spacing w:val="16"/>
                <w:position w:val="14"/>
                <w:sz w:val="21"/>
                <w:szCs w:val="21"/>
                <w:highlight w:val="none"/>
              </w:rPr>
              <w:t>(</w:t>
            </w:r>
            <w:r>
              <w:rPr>
                <w:rFonts w:hint="eastAsia" w:ascii="宋体" w:hAnsi="宋体" w:eastAsia="宋体" w:cs="宋体"/>
                <w:color w:val="auto"/>
                <w:spacing w:val="11"/>
                <w:position w:val="14"/>
                <w:sz w:val="21"/>
                <w:szCs w:val="21"/>
                <w:highlight w:val="none"/>
              </w:rPr>
              <w:t>5) 质量保证金属建设资金，应专款专用，承包人不得用于抵债或作为处理经济纠纷</w:t>
            </w:r>
            <w:r>
              <w:rPr>
                <w:rFonts w:hint="eastAsia" w:ascii="宋体" w:hAnsi="宋体" w:eastAsia="宋体" w:cs="宋体"/>
                <w:color w:val="auto"/>
                <w:spacing w:val="11"/>
                <w:position w:val="14"/>
                <w:sz w:val="21"/>
                <w:szCs w:val="21"/>
                <w:highlight w:val="none"/>
                <w:lang w:eastAsia="zh-CN"/>
              </w:rPr>
              <w:t>。</w:t>
            </w:r>
          </w:p>
        </w:tc>
      </w:tr>
      <w:tr w14:paraId="35B04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2B0F42C8">
            <w:pPr>
              <w:snapToGrid w:val="0"/>
              <w:spacing w:before="13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1</w:t>
            </w:r>
          </w:p>
        </w:tc>
        <w:tc>
          <w:tcPr>
            <w:tcW w:w="936" w:type="dxa"/>
            <w:vAlign w:val="center"/>
          </w:tcPr>
          <w:p w14:paraId="3DD4DFBC">
            <w:pPr>
              <w:snapToGrid w:val="0"/>
              <w:spacing w:before="93"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17.5. 1 (1</w:t>
            </w:r>
            <w:r>
              <w:rPr>
                <w:rFonts w:hint="eastAsia" w:ascii="宋体" w:hAnsi="宋体" w:eastAsia="宋体" w:cs="宋体"/>
                <w:color w:val="auto"/>
                <w:spacing w:val="-2"/>
                <w:sz w:val="21"/>
                <w:szCs w:val="21"/>
                <w:highlight w:val="none"/>
              </w:rPr>
              <w:t>)</w:t>
            </w:r>
          </w:p>
        </w:tc>
        <w:tc>
          <w:tcPr>
            <w:tcW w:w="7226" w:type="dxa"/>
            <w:tcBorders>
              <w:right w:val="single" w:color="000000" w:sz="6" w:space="0"/>
            </w:tcBorders>
            <w:vAlign w:val="center"/>
          </w:tcPr>
          <w:p w14:paraId="015A0EAA">
            <w:pPr>
              <w:snapToGrid w:val="0"/>
              <w:spacing w:before="13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承包人</w:t>
            </w:r>
            <w:r>
              <w:rPr>
                <w:rFonts w:hint="eastAsia" w:ascii="宋体" w:hAnsi="宋体" w:eastAsia="宋体" w:cs="宋体"/>
                <w:color w:val="auto"/>
                <w:spacing w:val="-7"/>
                <w:sz w:val="21"/>
                <w:szCs w:val="21"/>
                <w:highlight w:val="none"/>
              </w:rPr>
              <w:t>向</w:t>
            </w:r>
            <w:r>
              <w:rPr>
                <w:rFonts w:hint="eastAsia" w:ascii="宋体" w:hAnsi="宋体" w:eastAsia="宋体" w:cs="宋体"/>
                <w:color w:val="auto"/>
                <w:spacing w:val="-4"/>
                <w:sz w:val="21"/>
                <w:szCs w:val="21"/>
                <w:highlight w:val="none"/>
              </w:rPr>
              <w:t>监理人提交交工付款申请单 (包括相关证明材料) 的份数，规定为：</w:t>
            </w:r>
            <w:r>
              <w:rPr>
                <w:rFonts w:hint="eastAsia" w:ascii="宋体" w:hAnsi="宋体" w:eastAsia="宋体" w:cs="宋体"/>
                <w:color w:val="auto"/>
                <w:spacing w:val="-4"/>
                <w:sz w:val="21"/>
                <w:szCs w:val="21"/>
                <w:highlight w:val="none"/>
                <w:u w:val="none" w:color="auto"/>
              </w:rPr>
              <w:t xml:space="preserve"> 6 份</w:t>
            </w:r>
            <w:r>
              <w:rPr>
                <w:rFonts w:hint="eastAsia" w:ascii="宋体" w:hAnsi="宋体" w:eastAsia="宋体" w:cs="宋体"/>
                <w:color w:val="auto"/>
                <w:sz w:val="21"/>
                <w:szCs w:val="21"/>
                <w:highlight w:val="none"/>
                <w:u w:val="none" w:color="auto"/>
              </w:rPr>
              <w:t xml:space="preserve"> </w:t>
            </w:r>
          </w:p>
        </w:tc>
      </w:tr>
      <w:tr w14:paraId="0C59A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7D7FD0A5">
            <w:pPr>
              <w:snapToGrid w:val="0"/>
              <w:spacing w:before="15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2</w:t>
            </w:r>
          </w:p>
        </w:tc>
        <w:tc>
          <w:tcPr>
            <w:tcW w:w="936" w:type="dxa"/>
            <w:vAlign w:val="center"/>
          </w:tcPr>
          <w:p w14:paraId="7FE774A6">
            <w:pPr>
              <w:snapToGrid w:val="0"/>
              <w:spacing w:before="91"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17.6. 1 (1</w:t>
            </w:r>
            <w:r>
              <w:rPr>
                <w:rFonts w:hint="eastAsia" w:ascii="宋体" w:hAnsi="宋体" w:eastAsia="宋体" w:cs="宋体"/>
                <w:color w:val="auto"/>
                <w:spacing w:val="-2"/>
                <w:sz w:val="21"/>
                <w:szCs w:val="21"/>
                <w:highlight w:val="none"/>
              </w:rPr>
              <w:t>)</w:t>
            </w:r>
          </w:p>
        </w:tc>
        <w:tc>
          <w:tcPr>
            <w:tcW w:w="7226" w:type="dxa"/>
            <w:tcBorders>
              <w:right w:val="single" w:color="000000" w:sz="6" w:space="0"/>
            </w:tcBorders>
            <w:vAlign w:val="center"/>
          </w:tcPr>
          <w:p w14:paraId="77867000">
            <w:pPr>
              <w:snapToGrid w:val="0"/>
              <w:spacing w:before="140"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承包人向监理人提交最终结清申请单 (包括相关证明材料) 的份数，规定为：</w:t>
            </w:r>
            <w:r>
              <w:rPr>
                <w:rFonts w:hint="eastAsia" w:ascii="宋体" w:hAnsi="宋体" w:eastAsia="宋体" w:cs="宋体"/>
                <w:color w:val="auto"/>
                <w:spacing w:val="-8"/>
                <w:sz w:val="21"/>
                <w:szCs w:val="21"/>
                <w:highlight w:val="none"/>
                <w:u w:val="none"/>
              </w:rPr>
              <w:t xml:space="preserve">6 </w:t>
            </w:r>
            <w:r>
              <w:rPr>
                <w:rFonts w:hint="eastAsia" w:ascii="宋体" w:hAnsi="宋体" w:eastAsia="宋体" w:cs="宋体"/>
                <w:color w:val="auto"/>
                <w:spacing w:val="-5"/>
                <w:sz w:val="21"/>
                <w:szCs w:val="21"/>
                <w:highlight w:val="none"/>
                <w:u w:val="none"/>
              </w:rPr>
              <w:t>份</w:t>
            </w:r>
          </w:p>
        </w:tc>
      </w:tr>
      <w:tr w14:paraId="6C4C0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10CC7FE9">
            <w:pPr>
              <w:snapToGrid w:val="0"/>
              <w:spacing w:before="58"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3</w:t>
            </w:r>
          </w:p>
        </w:tc>
        <w:tc>
          <w:tcPr>
            <w:tcW w:w="936" w:type="dxa"/>
            <w:vAlign w:val="center"/>
          </w:tcPr>
          <w:p w14:paraId="2BA2712E">
            <w:pPr>
              <w:snapToGrid w:val="0"/>
              <w:spacing w:before="111"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18.2  (2</w:t>
            </w:r>
            <w:r>
              <w:rPr>
                <w:rFonts w:hint="eastAsia" w:ascii="宋体" w:hAnsi="宋体" w:eastAsia="宋体" w:cs="宋体"/>
                <w:color w:val="auto"/>
                <w:sz w:val="21"/>
                <w:szCs w:val="21"/>
                <w:highlight w:val="none"/>
              </w:rPr>
              <w:t>)</w:t>
            </w:r>
          </w:p>
        </w:tc>
        <w:tc>
          <w:tcPr>
            <w:tcW w:w="7226" w:type="dxa"/>
            <w:tcBorders>
              <w:right w:val="single" w:color="000000" w:sz="6" w:space="0"/>
            </w:tcBorders>
            <w:vAlign w:val="center"/>
          </w:tcPr>
          <w:p w14:paraId="4F4066FC">
            <w:pPr>
              <w:snapToGrid w:val="0"/>
              <w:spacing w:before="157"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 xml:space="preserve">竣工资料的份数，规定为：4 </w:t>
            </w:r>
            <w:r>
              <w:rPr>
                <w:rFonts w:hint="eastAsia" w:ascii="宋体" w:hAnsi="宋体" w:eastAsia="宋体" w:cs="宋体"/>
                <w:color w:val="auto"/>
                <w:spacing w:val="-3"/>
                <w:sz w:val="21"/>
                <w:szCs w:val="21"/>
                <w:highlight w:val="none"/>
              </w:rPr>
              <w:t>份</w:t>
            </w:r>
          </w:p>
        </w:tc>
      </w:tr>
      <w:tr w14:paraId="0FAD3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22DEFDB4">
            <w:pPr>
              <w:snapToGrid w:val="0"/>
              <w:spacing w:before="58"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4</w:t>
            </w:r>
          </w:p>
        </w:tc>
        <w:tc>
          <w:tcPr>
            <w:tcW w:w="936" w:type="dxa"/>
            <w:vAlign w:val="center"/>
          </w:tcPr>
          <w:p w14:paraId="30FDF9BE">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4"/>
                <w:sz w:val="21"/>
                <w:szCs w:val="21"/>
                <w:highlight w:val="none"/>
              </w:rPr>
              <w:t>8.5. 1</w:t>
            </w:r>
          </w:p>
        </w:tc>
        <w:tc>
          <w:tcPr>
            <w:tcW w:w="7226" w:type="dxa"/>
            <w:tcBorders>
              <w:right w:val="single" w:color="000000" w:sz="6" w:space="0"/>
            </w:tcBorders>
            <w:vAlign w:val="center"/>
          </w:tcPr>
          <w:p w14:paraId="10BEAEB2">
            <w:pPr>
              <w:snapToGrid w:val="0"/>
              <w:spacing w:before="15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单</w:t>
            </w:r>
            <w:r>
              <w:rPr>
                <w:rFonts w:hint="eastAsia" w:ascii="宋体" w:hAnsi="宋体" w:eastAsia="宋体" w:cs="宋体"/>
                <w:color w:val="auto"/>
                <w:spacing w:val="9"/>
                <w:sz w:val="21"/>
                <w:szCs w:val="21"/>
                <w:highlight w:val="none"/>
              </w:rPr>
              <w:t>位工程或工程设备是否需投入施工期运行，规定为：</w:t>
            </w:r>
            <w:r>
              <w:rPr>
                <w:rFonts w:hint="eastAsia" w:ascii="宋体" w:hAnsi="宋体" w:eastAsia="宋体" w:cs="宋体"/>
                <w:color w:val="auto"/>
                <w:spacing w:val="9"/>
                <w:sz w:val="21"/>
                <w:szCs w:val="21"/>
                <w:highlight w:val="none"/>
                <w:u w:val="single" w:color="auto"/>
              </w:rPr>
              <w:t xml:space="preserve"> 否</w:t>
            </w:r>
            <w:r>
              <w:rPr>
                <w:rFonts w:hint="eastAsia" w:ascii="宋体" w:hAnsi="宋体" w:eastAsia="宋体" w:cs="宋体"/>
                <w:color w:val="auto"/>
                <w:sz w:val="21"/>
                <w:szCs w:val="21"/>
                <w:highlight w:val="none"/>
                <w:u w:val="single" w:color="auto"/>
              </w:rPr>
              <w:t xml:space="preserve"> </w:t>
            </w:r>
          </w:p>
          <w:p w14:paraId="36D63BE0">
            <w:pPr>
              <w:snapToGrid w:val="0"/>
              <w:spacing w:before="153"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如单位工程或工程设备需要进行施工期运行，需要施工期运行的单位工程或</w:t>
            </w:r>
            <w:r>
              <w:rPr>
                <w:rFonts w:hint="eastAsia" w:ascii="宋体" w:hAnsi="宋体" w:eastAsia="宋体" w:cs="宋体"/>
                <w:color w:val="auto"/>
                <w:spacing w:val="11"/>
                <w:sz w:val="21"/>
                <w:szCs w:val="21"/>
                <w:highlight w:val="none"/>
              </w:rPr>
              <w:t>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程设备，具体规定为：</w:t>
            </w:r>
            <w:r>
              <w:rPr>
                <w:rFonts w:hint="eastAsia" w:ascii="宋体" w:hAnsi="宋体" w:eastAsia="宋体" w:cs="宋体"/>
                <w:color w:val="auto"/>
                <w:sz w:val="21"/>
                <w:szCs w:val="21"/>
                <w:highlight w:val="none"/>
                <w:u w:val="single" w:color="auto"/>
              </w:rPr>
              <w:t xml:space="preserve">   /   </w:t>
            </w:r>
          </w:p>
        </w:tc>
      </w:tr>
      <w:tr w14:paraId="2B000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6C0115B0">
            <w:pPr>
              <w:snapToGrid w:val="0"/>
              <w:spacing w:before="15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5</w:t>
            </w:r>
          </w:p>
        </w:tc>
        <w:tc>
          <w:tcPr>
            <w:tcW w:w="936" w:type="dxa"/>
            <w:vAlign w:val="center"/>
          </w:tcPr>
          <w:p w14:paraId="6C3DA383">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4"/>
                <w:sz w:val="21"/>
                <w:szCs w:val="21"/>
                <w:highlight w:val="none"/>
              </w:rPr>
              <w:t>8.6. 1</w:t>
            </w:r>
          </w:p>
        </w:tc>
        <w:tc>
          <w:tcPr>
            <w:tcW w:w="7226" w:type="dxa"/>
            <w:tcBorders>
              <w:right w:val="single" w:color="000000" w:sz="6" w:space="0"/>
            </w:tcBorders>
            <w:vAlign w:val="center"/>
          </w:tcPr>
          <w:p w14:paraId="0E7DA44F">
            <w:pPr>
              <w:snapToGrid w:val="0"/>
              <w:spacing w:before="140"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本工程及工程设备是否进行试运行，规定为：</w:t>
            </w:r>
            <w:r>
              <w:rPr>
                <w:rFonts w:hint="eastAsia" w:ascii="宋体" w:hAnsi="宋体" w:eastAsia="宋体" w:cs="宋体"/>
                <w:color w:val="auto"/>
                <w:spacing w:val="9"/>
                <w:sz w:val="21"/>
                <w:szCs w:val="21"/>
                <w:highlight w:val="none"/>
                <w:u w:val="single" w:color="auto"/>
              </w:rPr>
              <w:t xml:space="preserve"> 否</w:t>
            </w:r>
            <w:r>
              <w:rPr>
                <w:rFonts w:hint="eastAsia" w:ascii="宋体" w:hAnsi="宋体" w:eastAsia="宋体" w:cs="宋体"/>
                <w:color w:val="auto"/>
                <w:sz w:val="21"/>
                <w:szCs w:val="21"/>
                <w:highlight w:val="none"/>
                <w:u w:val="single" w:color="auto"/>
              </w:rPr>
              <w:t xml:space="preserve"> </w:t>
            </w:r>
          </w:p>
          <w:p w14:paraId="65CEC337">
            <w:pPr>
              <w:snapToGrid w:val="0"/>
              <w:spacing w:before="120"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
                <w:position w:val="1"/>
                <w:sz w:val="21"/>
                <w:szCs w:val="21"/>
                <w:highlight w:val="none"/>
              </w:rPr>
              <w:t>如本工程及工程设备需要进行试运行，试运行的</w:t>
            </w:r>
            <w:r>
              <w:rPr>
                <w:rFonts w:hint="eastAsia" w:ascii="宋体" w:hAnsi="宋体" w:eastAsia="宋体" w:cs="宋体"/>
                <w:color w:val="auto"/>
                <w:position w:val="1"/>
                <w:sz w:val="21"/>
                <w:szCs w:val="21"/>
                <w:highlight w:val="none"/>
              </w:rPr>
              <w:t>具体规定为：   /</w:t>
            </w:r>
          </w:p>
        </w:tc>
      </w:tr>
      <w:tr w14:paraId="56500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788A905">
            <w:pPr>
              <w:snapToGrid w:val="0"/>
              <w:spacing w:before="15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6</w:t>
            </w:r>
          </w:p>
        </w:tc>
        <w:tc>
          <w:tcPr>
            <w:tcW w:w="936" w:type="dxa"/>
            <w:vAlign w:val="center"/>
          </w:tcPr>
          <w:p w14:paraId="38B072A2">
            <w:pPr>
              <w:snapToGrid w:val="0"/>
              <w:spacing w:before="111"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19.7(1</w:t>
            </w:r>
            <w:r>
              <w:rPr>
                <w:rFonts w:hint="eastAsia" w:ascii="宋体" w:hAnsi="宋体" w:eastAsia="宋体" w:cs="宋体"/>
                <w:color w:val="auto"/>
                <w:sz w:val="21"/>
                <w:szCs w:val="21"/>
                <w:highlight w:val="none"/>
              </w:rPr>
              <w:t>)</w:t>
            </w:r>
          </w:p>
        </w:tc>
        <w:tc>
          <w:tcPr>
            <w:tcW w:w="7226" w:type="dxa"/>
            <w:tcBorders>
              <w:right w:val="single" w:color="000000" w:sz="6" w:space="0"/>
            </w:tcBorders>
            <w:vAlign w:val="center"/>
          </w:tcPr>
          <w:p w14:paraId="73F2E9EB">
            <w:pPr>
              <w:snapToGrid w:val="0"/>
              <w:spacing w:before="160"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保</w:t>
            </w:r>
            <w:r>
              <w:rPr>
                <w:rFonts w:hint="eastAsia" w:ascii="宋体" w:hAnsi="宋体" w:eastAsia="宋体" w:cs="宋体"/>
                <w:color w:val="auto"/>
                <w:spacing w:val="4"/>
                <w:sz w:val="21"/>
                <w:szCs w:val="21"/>
                <w:highlight w:val="none"/>
              </w:rPr>
              <w:t>修期： 自实际交工验收合格之日起计算  12 个月</w:t>
            </w:r>
          </w:p>
        </w:tc>
      </w:tr>
      <w:tr w14:paraId="7B9BB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666F1B5">
            <w:pPr>
              <w:snapToGrid w:val="0"/>
              <w:spacing w:before="58"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7</w:t>
            </w:r>
          </w:p>
        </w:tc>
        <w:tc>
          <w:tcPr>
            <w:tcW w:w="936" w:type="dxa"/>
            <w:vAlign w:val="center"/>
          </w:tcPr>
          <w:p w14:paraId="0B37B48C">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4"/>
                <w:sz w:val="21"/>
                <w:szCs w:val="21"/>
                <w:highlight w:val="none"/>
              </w:rPr>
              <w:t>0</w:t>
            </w:r>
            <w:r>
              <w:rPr>
                <w:rFonts w:hint="eastAsia" w:ascii="宋体" w:hAnsi="宋体" w:eastAsia="宋体" w:cs="宋体"/>
                <w:color w:val="auto"/>
                <w:spacing w:val="-3"/>
                <w:sz w:val="21"/>
                <w:szCs w:val="21"/>
                <w:highlight w:val="none"/>
              </w:rPr>
              <w:t>. 1</w:t>
            </w:r>
          </w:p>
        </w:tc>
        <w:tc>
          <w:tcPr>
            <w:tcW w:w="7226" w:type="dxa"/>
            <w:tcBorders>
              <w:right w:val="single" w:color="000000" w:sz="6" w:space="0"/>
            </w:tcBorders>
            <w:vAlign w:val="center"/>
          </w:tcPr>
          <w:p w14:paraId="4DD3E63A">
            <w:pPr>
              <w:snapToGrid w:val="0"/>
              <w:spacing w:before="158"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建筑工程一切险的投保内容：为本合同工程的永久工程、临时工程和设备及已</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运</w:t>
            </w:r>
            <w:r>
              <w:rPr>
                <w:rFonts w:hint="eastAsia" w:ascii="宋体" w:hAnsi="宋体" w:eastAsia="宋体" w:cs="宋体"/>
                <w:color w:val="auto"/>
                <w:spacing w:val="9"/>
                <w:sz w:val="21"/>
                <w:szCs w:val="21"/>
                <w:highlight w:val="none"/>
              </w:rPr>
              <w:t>至施工工地用于永久工程的材料和设备所投的保险。</w:t>
            </w:r>
          </w:p>
          <w:p w14:paraId="4774F2C6">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保险金额：工程量清单全部章节的合计金额</w:t>
            </w:r>
            <w:r>
              <w:rPr>
                <w:rFonts w:hint="eastAsia" w:ascii="宋体" w:hAnsi="宋体" w:eastAsia="宋体" w:cs="宋体"/>
                <w:color w:val="auto"/>
                <w:spacing w:val="8"/>
                <w:sz w:val="21"/>
                <w:szCs w:val="21"/>
                <w:highlight w:val="none"/>
              </w:rPr>
              <w:t>。</w:t>
            </w:r>
          </w:p>
          <w:p w14:paraId="072C5567">
            <w:pPr>
              <w:snapToGrid w:val="0"/>
              <w:spacing w:before="115"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保</w:t>
            </w:r>
            <w:r>
              <w:rPr>
                <w:rFonts w:hint="eastAsia" w:ascii="宋体" w:hAnsi="宋体" w:eastAsia="宋体" w:cs="宋体"/>
                <w:color w:val="auto"/>
                <w:spacing w:val="5"/>
                <w:sz w:val="21"/>
                <w:szCs w:val="21"/>
                <w:highlight w:val="none"/>
              </w:rPr>
              <w:t>险费率：</w:t>
            </w:r>
            <w:r>
              <w:rPr>
                <w:rFonts w:hint="eastAsia" w:ascii="宋体" w:hAnsi="宋体" w:eastAsia="宋体" w:cs="宋体"/>
                <w:color w:val="auto"/>
                <w:spacing w:val="5"/>
                <w:sz w:val="21"/>
                <w:szCs w:val="21"/>
                <w:highlight w:val="none"/>
                <w:u w:val="single" w:color="auto"/>
              </w:rPr>
              <w:t xml:space="preserve">  0.3%  </w:t>
            </w:r>
            <w:r>
              <w:rPr>
                <w:rFonts w:hint="eastAsia" w:ascii="宋体" w:hAnsi="宋体" w:eastAsia="宋体" w:cs="宋体"/>
                <w:color w:val="auto"/>
                <w:spacing w:val="5"/>
                <w:sz w:val="21"/>
                <w:szCs w:val="21"/>
                <w:highlight w:val="none"/>
              </w:rPr>
              <w:t>。</w:t>
            </w:r>
          </w:p>
          <w:p w14:paraId="75EB8673">
            <w:pPr>
              <w:snapToGrid w:val="0"/>
              <w:spacing w:before="119"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保险</w:t>
            </w:r>
            <w:r>
              <w:rPr>
                <w:rFonts w:hint="eastAsia" w:ascii="宋体" w:hAnsi="宋体" w:eastAsia="宋体" w:cs="宋体"/>
                <w:color w:val="auto"/>
                <w:spacing w:val="14"/>
                <w:sz w:val="21"/>
                <w:szCs w:val="21"/>
                <w:highlight w:val="none"/>
              </w:rPr>
              <w:t>期</w:t>
            </w:r>
            <w:r>
              <w:rPr>
                <w:rFonts w:hint="eastAsia" w:ascii="宋体" w:hAnsi="宋体" w:eastAsia="宋体" w:cs="宋体"/>
                <w:color w:val="auto"/>
                <w:spacing w:val="11"/>
                <w:sz w:val="21"/>
                <w:szCs w:val="21"/>
                <w:highlight w:val="none"/>
              </w:rPr>
              <w:t>限：开工日起直至本合同工程签发缺陷责任期终止证书止 (即合同工期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 xml:space="preserve">＋缺陷责任期) </w:t>
            </w:r>
            <w:r>
              <w:rPr>
                <w:rFonts w:hint="eastAsia" w:ascii="宋体" w:hAnsi="宋体" w:eastAsia="宋体" w:cs="宋体"/>
                <w:color w:val="auto"/>
                <w:spacing w:val="3"/>
                <w:sz w:val="21"/>
                <w:szCs w:val="21"/>
                <w:highlight w:val="none"/>
              </w:rPr>
              <w:t>。</w:t>
            </w:r>
          </w:p>
          <w:p w14:paraId="2B2334C0">
            <w:pPr>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承</w:t>
            </w:r>
            <w:r>
              <w:rPr>
                <w:rFonts w:hint="eastAsia" w:ascii="宋体" w:hAnsi="宋体" w:eastAsia="宋体" w:cs="宋体"/>
                <w:color w:val="auto"/>
                <w:spacing w:val="12"/>
                <w:sz w:val="21"/>
                <w:szCs w:val="21"/>
                <w:highlight w:val="none"/>
              </w:rPr>
              <w:t>包人应以发包人和承包人的共同名义投保建筑工程一切险。承包人因办理建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筑工程一切险所发生的费用应认为已含入其他支付项中，发包人不另行计量，出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资</w:t>
            </w:r>
            <w:r>
              <w:rPr>
                <w:rFonts w:hint="eastAsia" w:ascii="宋体" w:hAnsi="宋体" w:eastAsia="宋体" w:cs="宋体"/>
                <w:color w:val="auto"/>
                <w:spacing w:val="7"/>
                <w:sz w:val="21"/>
                <w:szCs w:val="21"/>
                <w:highlight w:val="none"/>
              </w:rPr>
              <w:t>人不另行支付。</w:t>
            </w:r>
          </w:p>
          <w:p w14:paraId="50C590BA">
            <w:pPr>
              <w:snapToGrid w:val="0"/>
              <w:spacing w:before="1"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当本</w:t>
            </w:r>
            <w:r>
              <w:rPr>
                <w:rFonts w:hint="eastAsia" w:ascii="宋体" w:hAnsi="宋体" w:eastAsia="宋体" w:cs="宋体"/>
                <w:color w:val="auto"/>
                <w:spacing w:val="12"/>
                <w:sz w:val="21"/>
                <w:szCs w:val="21"/>
                <w:highlight w:val="none"/>
              </w:rPr>
              <w:t>合</w:t>
            </w:r>
            <w:r>
              <w:rPr>
                <w:rFonts w:hint="eastAsia" w:ascii="宋体" w:hAnsi="宋体" w:eastAsia="宋体" w:cs="宋体"/>
                <w:color w:val="auto"/>
                <w:spacing w:val="11"/>
                <w:sz w:val="21"/>
                <w:szCs w:val="21"/>
                <w:highlight w:val="none"/>
              </w:rPr>
              <w:t>同工程发生损失或损害时，承包人应按保险单规定的条件和期限及时向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保</w:t>
            </w:r>
            <w:r>
              <w:rPr>
                <w:rFonts w:hint="eastAsia" w:ascii="宋体" w:hAnsi="宋体" w:eastAsia="宋体" w:cs="宋体"/>
                <w:color w:val="auto"/>
                <w:spacing w:val="12"/>
                <w:sz w:val="21"/>
                <w:szCs w:val="21"/>
                <w:highlight w:val="none"/>
              </w:rPr>
              <w:t>险人报告，并抄送发包人和监理人。如损害继续发生，承包人在递交第一次报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告后，每 7 天报告一次，直到损害结束。办理本款所述的保险并不免除合同规</w:t>
            </w:r>
            <w:r>
              <w:rPr>
                <w:rFonts w:hint="eastAsia" w:ascii="宋体" w:hAnsi="宋体" w:eastAsia="宋体" w:cs="宋体"/>
                <w:color w:val="auto"/>
                <w:spacing w:val="8"/>
                <w:sz w:val="21"/>
                <w:szCs w:val="21"/>
                <w:highlight w:val="none"/>
              </w:rPr>
              <w:t>定</w:t>
            </w:r>
            <w:r>
              <w:rPr>
                <w:rFonts w:hint="eastAsia" w:ascii="宋体" w:hAnsi="宋体" w:eastAsia="宋体" w:cs="宋体"/>
                <w:color w:val="auto"/>
                <w:spacing w:val="12"/>
                <w:sz w:val="21"/>
                <w:szCs w:val="21"/>
                <w:highlight w:val="none"/>
              </w:rPr>
              <w:t>的</w:t>
            </w:r>
            <w:r>
              <w:rPr>
                <w:rFonts w:hint="eastAsia" w:ascii="宋体" w:hAnsi="宋体" w:eastAsia="宋体" w:cs="宋体"/>
                <w:color w:val="auto"/>
                <w:spacing w:val="6"/>
                <w:sz w:val="21"/>
                <w:szCs w:val="21"/>
                <w:highlight w:val="none"/>
              </w:rPr>
              <w:t>承包人的义务和责任。</w:t>
            </w:r>
          </w:p>
        </w:tc>
      </w:tr>
      <w:tr w14:paraId="1723C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57A2633">
            <w:pPr>
              <w:snapToGrid w:val="0"/>
              <w:spacing w:before="58"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8</w:t>
            </w:r>
          </w:p>
        </w:tc>
        <w:tc>
          <w:tcPr>
            <w:tcW w:w="936" w:type="dxa"/>
            <w:vAlign w:val="center"/>
          </w:tcPr>
          <w:p w14:paraId="41E2942D">
            <w:pPr>
              <w:snapToGrid w:val="0"/>
              <w:spacing w:before="57"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w:t>
            </w:r>
            <w:r>
              <w:rPr>
                <w:rFonts w:hint="eastAsia" w:ascii="宋体" w:hAnsi="宋体" w:eastAsia="宋体" w:cs="宋体"/>
                <w:color w:val="auto"/>
                <w:spacing w:val="2"/>
                <w:sz w:val="21"/>
                <w:szCs w:val="21"/>
                <w:highlight w:val="none"/>
              </w:rPr>
              <w:t>4</w:t>
            </w:r>
          </w:p>
        </w:tc>
        <w:tc>
          <w:tcPr>
            <w:tcW w:w="7226" w:type="dxa"/>
            <w:tcBorders>
              <w:right w:val="single" w:color="000000" w:sz="6" w:space="0"/>
            </w:tcBorders>
            <w:vAlign w:val="center"/>
          </w:tcPr>
          <w:p w14:paraId="42D32D53">
            <w:pPr>
              <w:snapToGrid w:val="0"/>
              <w:spacing w:before="142" w:line="240" w:lineRule="auto"/>
              <w:ind w:left="0" w:leftChars="0" w:right="0" w:rightChars="0" w:firstLine="0" w:firstLineChars="0"/>
              <w:jc w:val="left"/>
              <w:rPr>
                <w:rFonts w:hint="eastAsia" w:ascii="宋体" w:hAnsi="宋体" w:eastAsia="宋体" w:cs="宋体"/>
                <w:color w:val="auto"/>
                <w:spacing w:val="4"/>
                <w:position w:val="15"/>
                <w:sz w:val="21"/>
                <w:szCs w:val="21"/>
                <w:highlight w:val="none"/>
              </w:rPr>
            </w:pPr>
            <w:r>
              <w:rPr>
                <w:rFonts w:hint="eastAsia" w:ascii="宋体" w:hAnsi="宋体" w:eastAsia="宋体" w:cs="宋体"/>
                <w:color w:val="auto"/>
                <w:spacing w:val="8"/>
                <w:position w:val="15"/>
                <w:sz w:val="21"/>
                <w:szCs w:val="21"/>
                <w:highlight w:val="none"/>
              </w:rPr>
              <w:t>20.4. 1</w:t>
            </w:r>
            <w:r>
              <w:rPr>
                <w:rFonts w:hint="eastAsia" w:ascii="宋体" w:hAnsi="宋体" w:eastAsia="宋体" w:cs="宋体"/>
                <w:color w:val="auto"/>
                <w:spacing w:val="4"/>
                <w:position w:val="15"/>
                <w:sz w:val="21"/>
                <w:szCs w:val="21"/>
                <w:highlight w:val="none"/>
              </w:rPr>
              <w:t xml:space="preserve"> 第三者责任系指在保险期内，对因工程意外事故造成的、依法应由被保险人负责的工地上及毗邻地区的第三者人身伤亡、疾病或财产损失 (本工程除外) ，以及被保险人因此而支付的诉讼费用和事先经保险人书面同意支付的其他费用等 赔偿责任。</w:t>
            </w:r>
          </w:p>
          <w:p w14:paraId="4458B69D">
            <w:pPr>
              <w:snapToGrid w:val="0"/>
              <w:spacing w:before="142" w:line="240" w:lineRule="auto"/>
              <w:ind w:left="0" w:leftChars="0" w:right="0" w:rightChars="0" w:firstLine="0" w:firstLineChars="0"/>
              <w:jc w:val="left"/>
              <w:rPr>
                <w:rFonts w:hint="eastAsia" w:ascii="宋体" w:hAnsi="宋体" w:eastAsia="宋体" w:cs="宋体"/>
                <w:color w:val="auto"/>
                <w:spacing w:val="4"/>
                <w:position w:val="15"/>
                <w:sz w:val="21"/>
                <w:szCs w:val="21"/>
                <w:highlight w:val="none"/>
              </w:rPr>
            </w:pPr>
            <w:r>
              <w:rPr>
                <w:rFonts w:hint="eastAsia" w:ascii="宋体" w:hAnsi="宋体" w:eastAsia="宋体" w:cs="宋体"/>
                <w:color w:val="auto"/>
                <w:spacing w:val="4"/>
                <w:position w:val="15"/>
                <w:sz w:val="21"/>
                <w:szCs w:val="21"/>
                <w:highlight w:val="none"/>
              </w:rPr>
              <w:t>20.4.2  在缺陷责任期终止证书颁发前，承包人应以承包人和发包人的共同名义， 投保第 20.4. 1 项约定的第三者责任险，其中：</w:t>
            </w:r>
          </w:p>
          <w:p w14:paraId="6BB113FE">
            <w:pPr>
              <w:snapToGrid w:val="0"/>
              <w:spacing w:before="142" w:line="240" w:lineRule="auto"/>
              <w:ind w:left="0" w:leftChars="0" w:right="0" w:rightChars="0" w:firstLine="0" w:firstLineChars="0"/>
              <w:jc w:val="left"/>
              <w:rPr>
                <w:rFonts w:hint="eastAsia" w:ascii="宋体" w:hAnsi="宋体" w:eastAsia="宋体" w:cs="宋体"/>
                <w:color w:val="auto"/>
                <w:spacing w:val="4"/>
                <w:position w:val="15"/>
                <w:sz w:val="21"/>
                <w:szCs w:val="21"/>
                <w:highlight w:val="none"/>
              </w:rPr>
            </w:pPr>
            <w:r>
              <w:rPr>
                <w:rFonts w:hint="eastAsia" w:ascii="宋体" w:hAnsi="宋体" w:eastAsia="宋体" w:cs="宋体"/>
                <w:color w:val="auto"/>
                <w:spacing w:val="4"/>
                <w:position w:val="15"/>
                <w:sz w:val="21"/>
                <w:szCs w:val="21"/>
                <w:highlight w:val="none"/>
              </w:rPr>
              <w:t>第三者责任险的最低投保金额，规定为：</w:t>
            </w:r>
            <w:r>
              <w:rPr>
                <w:rFonts w:hint="eastAsia" w:ascii="宋体" w:hAnsi="宋体" w:eastAsia="宋体" w:cs="宋体"/>
                <w:color w:val="auto"/>
                <w:spacing w:val="4"/>
                <w:position w:val="15"/>
                <w:sz w:val="21"/>
                <w:szCs w:val="21"/>
                <w:highlight w:val="none"/>
                <w:u w:val="single"/>
              </w:rPr>
              <w:t xml:space="preserve">100 </w:t>
            </w:r>
            <w:r>
              <w:rPr>
                <w:rFonts w:hint="eastAsia" w:ascii="宋体" w:hAnsi="宋体" w:eastAsia="宋体" w:cs="宋体"/>
                <w:color w:val="auto"/>
                <w:spacing w:val="4"/>
                <w:position w:val="15"/>
                <w:sz w:val="21"/>
                <w:szCs w:val="21"/>
                <w:highlight w:val="none"/>
              </w:rPr>
              <w:t>万元 。</w:t>
            </w:r>
          </w:p>
          <w:p w14:paraId="72CFD48F">
            <w:pPr>
              <w:snapToGrid w:val="0"/>
              <w:spacing w:before="142" w:line="240" w:lineRule="auto"/>
              <w:ind w:left="0" w:leftChars="0" w:right="0" w:rightChars="0" w:firstLine="0" w:firstLineChars="0"/>
              <w:jc w:val="left"/>
              <w:rPr>
                <w:rFonts w:hint="eastAsia" w:ascii="宋体" w:hAnsi="宋体" w:eastAsia="宋体" w:cs="宋体"/>
                <w:color w:val="auto"/>
                <w:spacing w:val="4"/>
                <w:position w:val="15"/>
                <w:sz w:val="21"/>
                <w:szCs w:val="21"/>
                <w:highlight w:val="none"/>
              </w:rPr>
            </w:pPr>
            <w:r>
              <w:rPr>
                <w:rFonts w:hint="eastAsia" w:ascii="宋体" w:hAnsi="宋体" w:eastAsia="宋体" w:cs="宋体"/>
                <w:color w:val="auto"/>
                <w:spacing w:val="4"/>
                <w:position w:val="15"/>
                <w:sz w:val="21"/>
                <w:szCs w:val="21"/>
                <w:highlight w:val="none"/>
              </w:rPr>
              <w:t>保险费率：</w:t>
            </w:r>
            <w:r>
              <w:rPr>
                <w:rFonts w:hint="eastAsia" w:ascii="宋体" w:hAnsi="宋体" w:eastAsia="宋体" w:cs="宋体"/>
                <w:color w:val="auto"/>
                <w:spacing w:val="4"/>
                <w:position w:val="15"/>
                <w:sz w:val="21"/>
                <w:szCs w:val="21"/>
                <w:highlight w:val="none"/>
                <w:u w:val="single"/>
              </w:rPr>
              <w:t xml:space="preserve">  0.1%  </w:t>
            </w:r>
            <w:r>
              <w:rPr>
                <w:rFonts w:hint="eastAsia" w:ascii="宋体" w:hAnsi="宋体" w:eastAsia="宋体" w:cs="宋体"/>
                <w:color w:val="auto"/>
                <w:spacing w:val="4"/>
                <w:position w:val="15"/>
                <w:sz w:val="21"/>
                <w:szCs w:val="21"/>
                <w:highlight w:val="none"/>
              </w:rPr>
              <w:t>。</w:t>
            </w:r>
          </w:p>
          <w:p w14:paraId="44C0B79F">
            <w:pPr>
              <w:snapToGrid w:val="0"/>
              <w:spacing w:before="142"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pacing w:val="4"/>
                <w:position w:val="15"/>
                <w:sz w:val="21"/>
                <w:szCs w:val="21"/>
                <w:highlight w:val="none"/>
              </w:rPr>
              <w:t>20.4.3 承包人因办理第三者责任险所发生的费用应认为已含入其他支付项中，发包人不另行计量，出资人不另行支付。</w:t>
            </w:r>
          </w:p>
        </w:tc>
      </w:tr>
      <w:tr w14:paraId="78F58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top"/>
          </w:tcPr>
          <w:p w14:paraId="380BB02E">
            <w:pPr>
              <w:keepNext/>
              <w:snapToGrid w:val="0"/>
              <w:spacing w:line="266" w:lineRule="auto"/>
              <w:rPr>
                <w:rFonts w:hint="eastAsia" w:ascii="宋体" w:hAnsi="宋体" w:eastAsia="宋体" w:cs="宋体"/>
                <w:color w:val="auto"/>
                <w:sz w:val="21"/>
                <w:szCs w:val="21"/>
                <w:highlight w:val="none"/>
              </w:rPr>
            </w:pPr>
            <w:bookmarkStart w:id="1716" w:name="_Toc234833222"/>
          </w:p>
          <w:p w14:paraId="6BE5EFB6">
            <w:pPr>
              <w:keepNext/>
              <w:snapToGrid w:val="0"/>
              <w:spacing w:line="266" w:lineRule="auto"/>
              <w:rPr>
                <w:rFonts w:hint="eastAsia" w:ascii="宋体" w:hAnsi="宋体" w:eastAsia="宋体" w:cs="宋体"/>
                <w:color w:val="auto"/>
                <w:sz w:val="21"/>
                <w:szCs w:val="21"/>
                <w:highlight w:val="none"/>
              </w:rPr>
            </w:pPr>
          </w:p>
          <w:p w14:paraId="214A24B3">
            <w:pPr>
              <w:keepNext/>
              <w:snapToGrid w:val="0"/>
              <w:spacing w:line="267" w:lineRule="auto"/>
              <w:rPr>
                <w:rFonts w:hint="eastAsia" w:ascii="宋体" w:hAnsi="宋体" w:eastAsia="宋体" w:cs="宋体"/>
                <w:color w:val="auto"/>
                <w:sz w:val="21"/>
                <w:szCs w:val="21"/>
                <w:highlight w:val="none"/>
              </w:rPr>
            </w:pPr>
          </w:p>
          <w:p w14:paraId="23CC0A3A">
            <w:pPr>
              <w:keepNext/>
              <w:snapToGrid w:val="0"/>
              <w:spacing w:line="267" w:lineRule="auto"/>
              <w:rPr>
                <w:rFonts w:hint="eastAsia" w:ascii="宋体" w:hAnsi="宋体" w:eastAsia="宋体" w:cs="宋体"/>
                <w:color w:val="auto"/>
                <w:sz w:val="21"/>
                <w:szCs w:val="21"/>
                <w:highlight w:val="none"/>
              </w:rPr>
            </w:pPr>
          </w:p>
          <w:p w14:paraId="710EB9C3">
            <w:pPr>
              <w:keepNext/>
              <w:snapToGrid w:val="0"/>
              <w:spacing w:before="57" w:line="195" w:lineRule="auto"/>
              <w:ind w:left="15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9</w:t>
            </w:r>
          </w:p>
        </w:tc>
        <w:tc>
          <w:tcPr>
            <w:tcW w:w="936" w:type="dxa"/>
            <w:vAlign w:val="top"/>
          </w:tcPr>
          <w:p w14:paraId="64737760">
            <w:pPr>
              <w:keepNext/>
              <w:snapToGrid w:val="0"/>
              <w:spacing w:line="266" w:lineRule="auto"/>
              <w:rPr>
                <w:rFonts w:hint="eastAsia" w:ascii="宋体" w:hAnsi="宋体" w:eastAsia="宋体" w:cs="宋体"/>
                <w:color w:val="auto"/>
                <w:sz w:val="21"/>
                <w:szCs w:val="21"/>
                <w:highlight w:val="none"/>
              </w:rPr>
            </w:pPr>
          </w:p>
          <w:p w14:paraId="7C9ADA9C">
            <w:pPr>
              <w:keepNext/>
              <w:snapToGrid w:val="0"/>
              <w:spacing w:line="266" w:lineRule="auto"/>
              <w:rPr>
                <w:rFonts w:hint="eastAsia" w:ascii="宋体" w:hAnsi="宋体" w:eastAsia="宋体" w:cs="宋体"/>
                <w:color w:val="auto"/>
                <w:sz w:val="21"/>
                <w:szCs w:val="21"/>
                <w:highlight w:val="none"/>
              </w:rPr>
            </w:pPr>
          </w:p>
          <w:p w14:paraId="3DA249AF">
            <w:pPr>
              <w:keepNext/>
              <w:snapToGrid w:val="0"/>
              <w:spacing w:line="267" w:lineRule="auto"/>
              <w:rPr>
                <w:rFonts w:hint="eastAsia" w:ascii="宋体" w:hAnsi="宋体" w:eastAsia="宋体" w:cs="宋体"/>
                <w:color w:val="auto"/>
                <w:sz w:val="21"/>
                <w:szCs w:val="21"/>
                <w:highlight w:val="none"/>
              </w:rPr>
            </w:pPr>
          </w:p>
          <w:p w14:paraId="43D4A190">
            <w:pPr>
              <w:keepNext/>
              <w:snapToGrid w:val="0"/>
              <w:spacing w:line="267" w:lineRule="auto"/>
              <w:rPr>
                <w:rFonts w:hint="eastAsia" w:ascii="宋体" w:hAnsi="宋体" w:eastAsia="宋体" w:cs="宋体"/>
                <w:color w:val="auto"/>
                <w:sz w:val="21"/>
                <w:szCs w:val="21"/>
                <w:highlight w:val="none"/>
              </w:rPr>
            </w:pPr>
          </w:p>
          <w:p w14:paraId="236236E7">
            <w:pPr>
              <w:keepNext/>
              <w:snapToGrid w:val="0"/>
              <w:spacing w:before="58" w:line="195" w:lineRule="auto"/>
              <w:ind w:left="36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2</w:t>
            </w:r>
            <w:r>
              <w:rPr>
                <w:rFonts w:hint="eastAsia" w:ascii="宋体" w:hAnsi="宋体" w:eastAsia="宋体" w:cs="宋体"/>
                <w:color w:val="auto"/>
                <w:spacing w:val="4"/>
                <w:sz w:val="21"/>
                <w:szCs w:val="21"/>
                <w:highlight w:val="none"/>
              </w:rPr>
              <w:t>0.5</w:t>
            </w:r>
          </w:p>
        </w:tc>
        <w:tc>
          <w:tcPr>
            <w:tcW w:w="7226" w:type="dxa"/>
            <w:tcBorders>
              <w:right w:val="single" w:color="000000" w:sz="6" w:space="0"/>
            </w:tcBorders>
            <w:vAlign w:val="top"/>
          </w:tcPr>
          <w:p w14:paraId="346B3DB5">
            <w:pPr>
              <w:keepNext/>
              <w:snapToGrid w:val="0"/>
              <w:spacing w:before="138" w:line="369" w:lineRule="auto"/>
              <w:ind w:left="109" w:right="104" w:firstLine="235"/>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承包</w:t>
            </w:r>
            <w:r>
              <w:rPr>
                <w:rFonts w:hint="eastAsia" w:ascii="宋体" w:hAnsi="宋体" w:eastAsia="宋体" w:cs="宋体"/>
                <w:color w:val="auto"/>
                <w:spacing w:val="14"/>
                <w:sz w:val="21"/>
                <w:szCs w:val="21"/>
                <w:highlight w:val="none"/>
              </w:rPr>
              <w:t>人</w:t>
            </w:r>
            <w:r>
              <w:rPr>
                <w:rFonts w:hint="eastAsia" w:ascii="宋体" w:hAnsi="宋体" w:eastAsia="宋体" w:cs="宋体"/>
                <w:color w:val="auto"/>
                <w:spacing w:val="10"/>
                <w:sz w:val="21"/>
                <w:szCs w:val="21"/>
                <w:highlight w:val="none"/>
              </w:rPr>
              <w:t>职工的 (人身) 事故险及建筑意外伤害险由承包人自行投保，保险费应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认</w:t>
            </w:r>
            <w:r>
              <w:rPr>
                <w:rFonts w:hint="eastAsia" w:ascii="宋体" w:hAnsi="宋体" w:eastAsia="宋体" w:cs="宋体"/>
                <w:color w:val="auto"/>
                <w:spacing w:val="9"/>
                <w:sz w:val="21"/>
                <w:szCs w:val="21"/>
                <w:highlight w:val="none"/>
              </w:rPr>
              <w:t>为已含入其他支付项中，发包人不另行计量或支付。</w:t>
            </w:r>
          </w:p>
          <w:p w14:paraId="1D7CB18F">
            <w:pPr>
              <w:keepNext/>
              <w:snapToGrid w:val="0"/>
              <w:spacing w:line="369" w:lineRule="auto"/>
              <w:ind w:left="110" w:right="102" w:firstLine="23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2"/>
                <w:sz w:val="21"/>
                <w:szCs w:val="21"/>
                <w:highlight w:val="none"/>
              </w:rPr>
              <w:t>承</w:t>
            </w:r>
            <w:r>
              <w:rPr>
                <w:rFonts w:hint="eastAsia" w:ascii="宋体" w:hAnsi="宋体" w:eastAsia="宋体" w:cs="宋体"/>
                <w:color w:val="auto"/>
                <w:spacing w:val="12"/>
                <w:sz w:val="21"/>
                <w:szCs w:val="21"/>
                <w:highlight w:val="none"/>
              </w:rPr>
              <w:t>包</w:t>
            </w:r>
            <w:r>
              <w:rPr>
                <w:rFonts w:hint="eastAsia" w:ascii="宋体" w:hAnsi="宋体" w:eastAsia="宋体" w:cs="宋体"/>
                <w:color w:val="auto"/>
                <w:spacing w:val="11"/>
                <w:sz w:val="21"/>
                <w:szCs w:val="21"/>
                <w:highlight w:val="none"/>
              </w:rPr>
              <w:t>人应按《人力资源社会保障部、交通运输部、水利部、能源局、铁路局、</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民</w:t>
            </w:r>
            <w:r>
              <w:rPr>
                <w:rFonts w:hint="eastAsia" w:ascii="宋体" w:hAnsi="宋体" w:eastAsia="宋体" w:cs="宋体"/>
                <w:color w:val="auto"/>
                <w:spacing w:val="12"/>
                <w:sz w:val="21"/>
                <w:szCs w:val="21"/>
                <w:highlight w:val="none"/>
              </w:rPr>
              <w:t>航局关于铁路、公路、水运、水利、能源、机场工程建设项目参加工伤保险工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作</w:t>
            </w:r>
            <w:r>
              <w:rPr>
                <w:rFonts w:hint="eastAsia" w:ascii="宋体" w:hAnsi="宋体" w:eastAsia="宋体" w:cs="宋体"/>
                <w:color w:val="auto"/>
                <w:spacing w:val="4"/>
                <w:sz w:val="21"/>
                <w:szCs w:val="21"/>
                <w:highlight w:val="none"/>
              </w:rPr>
              <w:t>的通知》  (人社部发〔2018〕3 号) 文件的规定，在进场施工前，办理相关手续</w:t>
            </w:r>
            <w:r>
              <w:rPr>
                <w:rFonts w:hint="eastAsia" w:ascii="宋体" w:hAnsi="宋体" w:eastAsia="宋体" w:cs="宋体"/>
                <w:color w:val="auto"/>
                <w:spacing w:val="12"/>
                <w:sz w:val="21"/>
                <w:szCs w:val="21"/>
                <w:highlight w:val="none"/>
              </w:rPr>
              <w:t>并</w:t>
            </w:r>
            <w:r>
              <w:rPr>
                <w:rFonts w:hint="eastAsia" w:ascii="宋体" w:hAnsi="宋体" w:eastAsia="宋体" w:cs="宋体"/>
                <w:color w:val="auto"/>
                <w:spacing w:val="8"/>
                <w:sz w:val="21"/>
                <w:szCs w:val="21"/>
                <w:highlight w:val="none"/>
              </w:rPr>
              <w:t>提交人员参加工伤保险的证明</w:t>
            </w:r>
            <w:r>
              <w:rPr>
                <w:rFonts w:hint="eastAsia" w:ascii="宋体" w:hAnsi="宋体" w:eastAsia="宋体" w:cs="宋体"/>
                <w:color w:val="auto"/>
                <w:spacing w:val="8"/>
                <w:sz w:val="21"/>
                <w:szCs w:val="21"/>
                <w:highlight w:val="none"/>
                <w:lang w:eastAsia="zh-CN"/>
              </w:rPr>
              <w:t>。</w:t>
            </w:r>
          </w:p>
        </w:tc>
      </w:tr>
      <w:tr w14:paraId="021B2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5" w:hRule="atLeast"/>
          <w:jc w:val="center"/>
        </w:trPr>
        <w:tc>
          <w:tcPr>
            <w:tcW w:w="657" w:type="dxa"/>
            <w:tcBorders>
              <w:left w:val="single" w:color="000000" w:sz="6" w:space="0"/>
            </w:tcBorders>
            <w:vAlign w:val="top"/>
          </w:tcPr>
          <w:p w14:paraId="5A1A5168">
            <w:pPr>
              <w:keepNext/>
              <w:snapToGrid w:val="0"/>
              <w:spacing w:line="243" w:lineRule="auto"/>
              <w:rPr>
                <w:rFonts w:hint="eastAsia" w:ascii="宋体" w:hAnsi="宋体" w:eastAsia="宋体" w:cs="宋体"/>
                <w:color w:val="auto"/>
                <w:sz w:val="21"/>
                <w:szCs w:val="21"/>
                <w:highlight w:val="none"/>
              </w:rPr>
            </w:pPr>
          </w:p>
          <w:p w14:paraId="30A3D592">
            <w:pPr>
              <w:keepNext/>
              <w:snapToGrid w:val="0"/>
              <w:spacing w:line="243" w:lineRule="auto"/>
              <w:rPr>
                <w:rFonts w:hint="eastAsia" w:ascii="宋体" w:hAnsi="宋体" w:eastAsia="宋体" w:cs="宋体"/>
                <w:color w:val="auto"/>
                <w:sz w:val="21"/>
                <w:szCs w:val="21"/>
                <w:highlight w:val="none"/>
              </w:rPr>
            </w:pPr>
          </w:p>
          <w:p w14:paraId="694A25A9">
            <w:pPr>
              <w:keepNext/>
              <w:snapToGrid w:val="0"/>
              <w:spacing w:line="243" w:lineRule="auto"/>
              <w:rPr>
                <w:rFonts w:hint="eastAsia" w:ascii="宋体" w:hAnsi="宋体" w:eastAsia="宋体" w:cs="宋体"/>
                <w:color w:val="auto"/>
                <w:sz w:val="21"/>
                <w:szCs w:val="21"/>
                <w:highlight w:val="none"/>
              </w:rPr>
            </w:pPr>
          </w:p>
          <w:p w14:paraId="7B0F52E2">
            <w:pPr>
              <w:keepNext/>
              <w:snapToGrid w:val="0"/>
              <w:spacing w:line="243" w:lineRule="auto"/>
              <w:rPr>
                <w:rFonts w:hint="eastAsia" w:ascii="宋体" w:hAnsi="宋体" w:eastAsia="宋体" w:cs="宋体"/>
                <w:color w:val="auto"/>
                <w:sz w:val="21"/>
                <w:szCs w:val="21"/>
                <w:highlight w:val="none"/>
              </w:rPr>
            </w:pPr>
          </w:p>
          <w:p w14:paraId="5ACB19EB">
            <w:pPr>
              <w:keepNext/>
              <w:snapToGrid w:val="0"/>
              <w:spacing w:line="243" w:lineRule="auto"/>
              <w:rPr>
                <w:rFonts w:hint="eastAsia" w:ascii="宋体" w:hAnsi="宋体" w:eastAsia="宋体" w:cs="宋体"/>
                <w:color w:val="auto"/>
                <w:sz w:val="21"/>
                <w:szCs w:val="21"/>
                <w:highlight w:val="none"/>
              </w:rPr>
            </w:pPr>
          </w:p>
          <w:p w14:paraId="0590D014">
            <w:pPr>
              <w:keepNext/>
              <w:snapToGrid w:val="0"/>
              <w:spacing w:line="243" w:lineRule="auto"/>
              <w:rPr>
                <w:rFonts w:hint="eastAsia" w:ascii="宋体" w:hAnsi="宋体" w:eastAsia="宋体" w:cs="宋体"/>
                <w:color w:val="auto"/>
                <w:sz w:val="21"/>
                <w:szCs w:val="21"/>
                <w:highlight w:val="none"/>
              </w:rPr>
            </w:pPr>
          </w:p>
          <w:p w14:paraId="013B6284">
            <w:pPr>
              <w:keepNext/>
              <w:snapToGrid w:val="0"/>
              <w:spacing w:line="243" w:lineRule="auto"/>
              <w:rPr>
                <w:rFonts w:hint="eastAsia" w:ascii="宋体" w:hAnsi="宋体" w:eastAsia="宋体" w:cs="宋体"/>
                <w:color w:val="auto"/>
                <w:sz w:val="21"/>
                <w:szCs w:val="21"/>
                <w:highlight w:val="none"/>
              </w:rPr>
            </w:pPr>
          </w:p>
          <w:p w14:paraId="45C7AC70">
            <w:pPr>
              <w:keepNext/>
              <w:snapToGrid w:val="0"/>
              <w:spacing w:line="243" w:lineRule="auto"/>
              <w:rPr>
                <w:rFonts w:hint="eastAsia" w:ascii="宋体" w:hAnsi="宋体" w:eastAsia="宋体" w:cs="宋体"/>
                <w:color w:val="auto"/>
                <w:sz w:val="21"/>
                <w:szCs w:val="21"/>
                <w:highlight w:val="none"/>
              </w:rPr>
            </w:pPr>
          </w:p>
          <w:p w14:paraId="1D82DD3C">
            <w:pPr>
              <w:keepNext/>
              <w:snapToGrid w:val="0"/>
              <w:spacing w:line="243" w:lineRule="auto"/>
              <w:rPr>
                <w:rFonts w:hint="eastAsia" w:ascii="宋体" w:hAnsi="宋体" w:eastAsia="宋体" w:cs="宋体"/>
                <w:color w:val="auto"/>
                <w:sz w:val="21"/>
                <w:szCs w:val="21"/>
                <w:highlight w:val="none"/>
              </w:rPr>
            </w:pPr>
          </w:p>
          <w:p w14:paraId="1AA3CEAA">
            <w:pPr>
              <w:keepNext/>
              <w:snapToGrid w:val="0"/>
              <w:spacing w:line="243" w:lineRule="auto"/>
              <w:rPr>
                <w:rFonts w:hint="eastAsia" w:ascii="宋体" w:hAnsi="宋体" w:eastAsia="宋体" w:cs="宋体"/>
                <w:color w:val="auto"/>
                <w:sz w:val="21"/>
                <w:szCs w:val="21"/>
                <w:highlight w:val="none"/>
              </w:rPr>
            </w:pPr>
          </w:p>
          <w:p w14:paraId="21569045">
            <w:pPr>
              <w:keepNext/>
              <w:snapToGrid w:val="0"/>
              <w:spacing w:line="244" w:lineRule="auto"/>
              <w:rPr>
                <w:rFonts w:hint="eastAsia" w:ascii="宋体" w:hAnsi="宋体" w:eastAsia="宋体" w:cs="宋体"/>
                <w:color w:val="auto"/>
                <w:sz w:val="21"/>
                <w:szCs w:val="21"/>
                <w:highlight w:val="none"/>
              </w:rPr>
            </w:pPr>
          </w:p>
          <w:p w14:paraId="5692ABEE">
            <w:pPr>
              <w:keepNext/>
              <w:snapToGrid w:val="0"/>
              <w:spacing w:line="244" w:lineRule="auto"/>
              <w:rPr>
                <w:rFonts w:hint="eastAsia" w:ascii="宋体" w:hAnsi="宋体" w:eastAsia="宋体" w:cs="宋体"/>
                <w:color w:val="auto"/>
                <w:sz w:val="21"/>
                <w:szCs w:val="21"/>
                <w:highlight w:val="none"/>
              </w:rPr>
            </w:pPr>
          </w:p>
          <w:p w14:paraId="14AE560E">
            <w:pPr>
              <w:keepNext/>
              <w:snapToGrid w:val="0"/>
              <w:spacing w:line="244" w:lineRule="auto"/>
              <w:rPr>
                <w:rFonts w:hint="eastAsia" w:ascii="宋体" w:hAnsi="宋体" w:eastAsia="宋体" w:cs="宋体"/>
                <w:color w:val="auto"/>
                <w:sz w:val="21"/>
                <w:szCs w:val="21"/>
                <w:highlight w:val="none"/>
              </w:rPr>
            </w:pPr>
          </w:p>
          <w:p w14:paraId="240741FE">
            <w:pPr>
              <w:keepNext/>
              <w:snapToGrid w:val="0"/>
              <w:spacing w:line="244" w:lineRule="auto"/>
              <w:rPr>
                <w:rFonts w:hint="eastAsia" w:ascii="宋体" w:hAnsi="宋体" w:eastAsia="宋体" w:cs="宋体"/>
                <w:color w:val="auto"/>
                <w:sz w:val="21"/>
                <w:szCs w:val="21"/>
                <w:highlight w:val="none"/>
              </w:rPr>
            </w:pPr>
          </w:p>
          <w:p w14:paraId="1ED90067">
            <w:pPr>
              <w:keepNext/>
              <w:snapToGrid w:val="0"/>
              <w:spacing w:line="244" w:lineRule="auto"/>
              <w:rPr>
                <w:rFonts w:hint="eastAsia" w:ascii="宋体" w:hAnsi="宋体" w:eastAsia="宋体" w:cs="宋体"/>
                <w:color w:val="auto"/>
                <w:sz w:val="21"/>
                <w:szCs w:val="21"/>
                <w:highlight w:val="none"/>
              </w:rPr>
            </w:pPr>
          </w:p>
          <w:p w14:paraId="021DD61E">
            <w:pPr>
              <w:keepNext/>
              <w:snapToGrid w:val="0"/>
              <w:spacing w:before="57" w:line="195" w:lineRule="auto"/>
              <w:ind w:left="16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936" w:type="dxa"/>
            <w:vAlign w:val="top"/>
          </w:tcPr>
          <w:p w14:paraId="68D3D4A9">
            <w:pPr>
              <w:keepNext/>
              <w:snapToGrid w:val="0"/>
              <w:spacing w:line="243" w:lineRule="auto"/>
              <w:rPr>
                <w:rFonts w:hint="eastAsia" w:ascii="宋体" w:hAnsi="宋体" w:eastAsia="宋体" w:cs="宋体"/>
                <w:color w:val="auto"/>
                <w:sz w:val="21"/>
                <w:szCs w:val="21"/>
                <w:highlight w:val="none"/>
              </w:rPr>
            </w:pPr>
          </w:p>
          <w:p w14:paraId="0E5C4953">
            <w:pPr>
              <w:keepNext/>
              <w:snapToGrid w:val="0"/>
              <w:spacing w:line="243" w:lineRule="auto"/>
              <w:rPr>
                <w:rFonts w:hint="eastAsia" w:ascii="宋体" w:hAnsi="宋体" w:eastAsia="宋体" w:cs="宋体"/>
                <w:color w:val="auto"/>
                <w:sz w:val="21"/>
                <w:szCs w:val="21"/>
                <w:highlight w:val="none"/>
              </w:rPr>
            </w:pPr>
          </w:p>
          <w:p w14:paraId="78BCB41D">
            <w:pPr>
              <w:keepNext/>
              <w:snapToGrid w:val="0"/>
              <w:spacing w:line="243" w:lineRule="auto"/>
              <w:rPr>
                <w:rFonts w:hint="eastAsia" w:ascii="宋体" w:hAnsi="宋体" w:eastAsia="宋体" w:cs="宋体"/>
                <w:color w:val="auto"/>
                <w:sz w:val="21"/>
                <w:szCs w:val="21"/>
                <w:highlight w:val="none"/>
              </w:rPr>
            </w:pPr>
          </w:p>
          <w:p w14:paraId="3F65D1EB">
            <w:pPr>
              <w:keepNext/>
              <w:snapToGrid w:val="0"/>
              <w:spacing w:line="243" w:lineRule="auto"/>
              <w:rPr>
                <w:rFonts w:hint="eastAsia" w:ascii="宋体" w:hAnsi="宋体" w:eastAsia="宋体" w:cs="宋体"/>
                <w:color w:val="auto"/>
                <w:sz w:val="21"/>
                <w:szCs w:val="21"/>
                <w:highlight w:val="none"/>
              </w:rPr>
            </w:pPr>
          </w:p>
          <w:p w14:paraId="3A617FA0">
            <w:pPr>
              <w:keepNext/>
              <w:snapToGrid w:val="0"/>
              <w:spacing w:line="243" w:lineRule="auto"/>
              <w:rPr>
                <w:rFonts w:hint="eastAsia" w:ascii="宋体" w:hAnsi="宋体" w:eastAsia="宋体" w:cs="宋体"/>
                <w:color w:val="auto"/>
                <w:sz w:val="21"/>
                <w:szCs w:val="21"/>
                <w:highlight w:val="none"/>
              </w:rPr>
            </w:pPr>
          </w:p>
          <w:p w14:paraId="2C0EBA3D">
            <w:pPr>
              <w:keepNext/>
              <w:snapToGrid w:val="0"/>
              <w:spacing w:line="243" w:lineRule="auto"/>
              <w:rPr>
                <w:rFonts w:hint="eastAsia" w:ascii="宋体" w:hAnsi="宋体" w:eastAsia="宋体" w:cs="宋体"/>
                <w:color w:val="auto"/>
                <w:sz w:val="21"/>
                <w:szCs w:val="21"/>
                <w:highlight w:val="none"/>
              </w:rPr>
            </w:pPr>
          </w:p>
          <w:p w14:paraId="542263B3">
            <w:pPr>
              <w:keepNext/>
              <w:snapToGrid w:val="0"/>
              <w:spacing w:line="243" w:lineRule="auto"/>
              <w:rPr>
                <w:rFonts w:hint="eastAsia" w:ascii="宋体" w:hAnsi="宋体" w:eastAsia="宋体" w:cs="宋体"/>
                <w:color w:val="auto"/>
                <w:sz w:val="21"/>
                <w:szCs w:val="21"/>
                <w:highlight w:val="none"/>
              </w:rPr>
            </w:pPr>
          </w:p>
          <w:p w14:paraId="0CAB830F">
            <w:pPr>
              <w:keepNext/>
              <w:snapToGrid w:val="0"/>
              <w:spacing w:line="243" w:lineRule="auto"/>
              <w:rPr>
                <w:rFonts w:hint="eastAsia" w:ascii="宋体" w:hAnsi="宋体" w:eastAsia="宋体" w:cs="宋体"/>
                <w:color w:val="auto"/>
                <w:sz w:val="21"/>
                <w:szCs w:val="21"/>
                <w:highlight w:val="none"/>
              </w:rPr>
            </w:pPr>
          </w:p>
          <w:p w14:paraId="5635839B">
            <w:pPr>
              <w:keepNext/>
              <w:snapToGrid w:val="0"/>
              <w:spacing w:line="243" w:lineRule="auto"/>
              <w:rPr>
                <w:rFonts w:hint="eastAsia" w:ascii="宋体" w:hAnsi="宋体" w:eastAsia="宋体" w:cs="宋体"/>
                <w:color w:val="auto"/>
                <w:sz w:val="21"/>
                <w:szCs w:val="21"/>
                <w:highlight w:val="none"/>
              </w:rPr>
            </w:pPr>
          </w:p>
          <w:p w14:paraId="0B162E4C">
            <w:pPr>
              <w:keepNext/>
              <w:snapToGrid w:val="0"/>
              <w:spacing w:line="243" w:lineRule="auto"/>
              <w:rPr>
                <w:rFonts w:hint="eastAsia" w:ascii="宋体" w:hAnsi="宋体" w:eastAsia="宋体" w:cs="宋体"/>
                <w:color w:val="auto"/>
                <w:sz w:val="21"/>
                <w:szCs w:val="21"/>
                <w:highlight w:val="none"/>
              </w:rPr>
            </w:pPr>
          </w:p>
          <w:p w14:paraId="5812F716">
            <w:pPr>
              <w:keepNext/>
              <w:snapToGrid w:val="0"/>
              <w:spacing w:line="244" w:lineRule="auto"/>
              <w:rPr>
                <w:rFonts w:hint="eastAsia" w:ascii="宋体" w:hAnsi="宋体" w:eastAsia="宋体" w:cs="宋体"/>
                <w:color w:val="auto"/>
                <w:sz w:val="21"/>
                <w:szCs w:val="21"/>
                <w:highlight w:val="none"/>
              </w:rPr>
            </w:pPr>
          </w:p>
          <w:p w14:paraId="328A6B2E">
            <w:pPr>
              <w:keepNext/>
              <w:snapToGrid w:val="0"/>
              <w:spacing w:line="244" w:lineRule="auto"/>
              <w:rPr>
                <w:rFonts w:hint="eastAsia" w:ascii="宋体" w:hAnsi="宋体" w:eastAsia="宋体" w:cs="宋体"/>
                <w:color w:val="auto"/>
                <w:sz w:val="21"/>
                <w:szCs w:val="21"/>
                <w:highlight w:val="none"/>
              </w:rPr>
            </w:pPr>
          </w:p>
          <w:p w14:paraId="1B5A17EC">
            <w:pPr>
              <w:keepNext/>
              <w:snapToGrid w:val="0"/>
              <w:spacing w:line="244" w:lineRule="auto"/>
              <w:rPr>
                <w:rFonts w:hint="eastAsia" w:ascii="宋体" w:hAnsi="宋体" w:eastAsia="宋体" w:cs="宋体"/>
                <w:color w:val="auto"/>
                <w:sz w:val="21"/>
                <w:szCs w:val="21"/>
                <w:highlight w:val="none"/>
              </w:rPr>
            </w:pPr>
          </w:p>
          <w:p w14:paraId="6D68505C">
            <w:pPr>
              <w:keepNext/>
              <w:snapToGrid w:val="0"/>
              <w:spacing w:line="244" w:lineRule="auto"/>
              <w:rPr>
                <w:rFonts w:hint="eastAsia" w:ascii="宋体" w:hAnsi="宋体" w:eastAsia="宋体" w:cs="宋体"/>
                <w:color w:val="auto"/>
                <w:sz w:val="21"/>
                <w:szCs w:val="21"/>
                <w:highlight w:val="none"/>
              </w:rPr>
            </w:pPr>
          </w:p>
          <w:p w14:paraId="5256D2B1">
            <w:pPr>
              <w:keepNext/>
              <w:snapToGrid w:val="0"/>
              <w:spacing w:line="244" w:lineRule="auto"/>
              <w:rPr>
                <w:rFonts w:hint="eastAsia" w:ascii="宋体" w:hAnsi="宋体" w:eastAsia="宋体" w:cs="宋体"/>
                <w:color w:val="auto"/>
                <w:sz w:val="21"/>
                <w:szCs w:val="21"/>
                <w:highlight w:val="none"/>
              </w:rPr>
            </w:pPr>
          </w:p>
          <w:p w14:paraId="6588D675">
            <w:pPr>
              <w:keepNext/>
              <w:snapToGrid w:val="0"/>
              <w:spacing w:before="57" w:line="198" w:lineRule="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4"/>
                <w:sz w:val="21"/>
                <w:szCs w:val="21"/>
                <w:highlight w:val="none"/>
              </w:rPr>
              <w:t>2. 1.2</w:t>
            </w:r>
          </w:p>
        </w:tc>
        <w:tc>
          <w:tcPr>
            <w:tcW w:w="7226" w:type="dxa"/>
            <w:tcBorders>
              <w:right w:val="single" w:color="000000" w:sz="6" w:space="0"/>
            </w:tcBorders>
            <w:vAlign w:val="top"/>
          </w:tcPr>
          <w:p w14:paraId="2CAD789C">
            <w:pPr>
              <w:keepNext/>
              <w:snapToGrid w:val="0"/>
              <w:spacing w:before="139" w:line="228" w:lineRule="auto"/>
              <w:ind w:left="34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22.</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3"/>
                <w:sz w:val="21"/>
                <w:szCs w:val="21"/>
                <w:highlight w:val="none"/>
              </w:rPr>
              <w:t>1.2  对承包人违约的处理</w:t>
            </w:r>
          </w:p>
          <w:p w14:paraId="0D704F66">
            <w:pPr>
              <w:keepNext/>
              <w:snapToGrid w:val="0"/>
              <w:spacing w:before="154" w:line="401" w:lineRule="exact"/>
              <w:ind w:left="344"/>
              <w:rPr>
                <w:rFonts w:hint="eastAsia" w:ascii="宋体" w:hAnsi="宋体" w:eastAsia="宋体" w:cs="宋体"/>
                <w:color w:val="auto"/>
                <w:sz w:val="21"/>
                <w:szCs w:val="21"/>
                <w:highlight w:val="none"/>
              </w:rPr>
            </w:pPr>
            <w:r>
              <w:rPr>
                <w:rFonts w:hint="eastAsia" w:ascii="宋体" w:hAnsi="宋体" w:eastAsia="宋体" w:cs="宋体"/>
                <w:color w:val="auto"/>
                <w:spacing w:val="3"/>
                <w:position w:val="14"/>
                <w:sz w:val="21"/>
                <w:szCs w:val="21"/>
                <w:highlight w:val="none"/>
              </w:rPr>
              <w:t>承包人发生第 22. 1. 1 项 (1) 至 (10) 目约定的违约情况时，发包人可视</w:t>
            </w:r>
            <w:r>
              <w:rPr>
                <w:rFonts w:hint="eastAsia" w:ascii="宋体" w:hAnsi="宋体" w:eastAsia="宋体" w:cs="宋体"/>
                <w:color w:val="auto"/>
                <w:spacing w:val="2"/>
                <w:position w:val="14"/>
                <w:sz w:val="21"/>
                <w:szCs w:val="21"/>
                <w:highlight w:val="none"/>
              </w:rPr>
              <w:t>承</w:t>
            </w:r>
            <w:r>
              <w:rPr>
                <w:rFonts w:hint="eastAsia" w:ascii="宋体" w:hAnsi="宋体" w:eastAsia="宋体" w:cs="宋体"/>
                <w:color w:val="auto"/>
                <w:position w:val="14"/>
                <w:sz w:val="21"/>
                <w:szCs w:val="21"/>
                <w:highlight w:val="none"/>
              </w:rPr>
              <w:t>包人</w:t>
            </w:r>
          </w:p>
          <w:p w14:paraId="66DA802C">
            <w:pPr>
              <w:keepNext/>
              <w:snapToGrid w:val="0"/>
              <w:spacing w:line="225" w:lineRule="auto"/>
              <w:ind w:left="109"/>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违约的具体行为和严重程度采取下列措施之一：</w:t>
            </w:r>
          </w:p>
          <w:p w14:paraId="65CBB0BC">
            <w:pPr>
              <w:keepNext/>
              <w:snapToGrid w:val="0"/>
              <w:spacing w:before="119" w:line="376" w:lineRule="auto"/>
              <w:ind w:left="109" w:right="102" w:firstLine="245"/>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(1)</w:t>
            </w:r>
            <w:r>
              <w:rPr>
                <w:rFonts w:hint="eastAsia" w:ascii="宋体" w:hAnsi="宋体" w:eastAsia="宋体" w:cs="宋体"/>
                <w:color w:val="auto"/>
                <w:spacing w:val="10"/>
                <w:sz w:val="21"/>
                <w:szCs w:val="21"/>
                <w:highlight w:val="none"/>
              </w:rPr>
              <w:t xml:space="preserve">  发包人可按不超过签约合同价 10%的金额扣缴承包人违约金，即使交纳</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了</w:t>
            </w:r>
            <w:r>
              <w:rPr>
                <w:rFonts w:hint="eastAsia" w:ascii="宋体" w:hAnsi="宋体" w:eastAsia="宋体" w:cs="宋体"/>
                <w:color w:val="auto"/>
                <w:spacing w:val="12"/>
                <w:sz w:val="21"/>
                <w:szCs w:val="21"/>
                <w:highlight w:val="none"/>
              </w:rPr>
              <w:t>违约金，承包人仍应按合同规定继续实施和完成本合同工程及其缺陷修复；若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承</w:t>
            </w:r>
            <w:r>
              <w:rPr>
                <w:rFonts w:hint="eastAsia" w:ascii="宋体" w:hAnsi="宋体" w:eastAsia="宋体" w:cs="宋体"/>
                <w:color w:val="auto"/>
                <w:spacing w:val="12"/>
                <w:sz w:val="21"/>
                <w:szCs w:val="21"/>
                <w:highlight w:val="none"/>
              </w:rPr>
              <w:t>包人未经批准擅自撤离工地，发包人除扣除承包人的全部履约担保和剩余工程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款</w:t>
            </w:r>
            <w:r>
              <w:rPr>
                <w:rFonts w:hint="eastAsia" w:ascii="宋体" w:hAnsi="宋体" w:eastAsia="宋体" w:cs="宋体"/>
                <w:color w:val="auto"/>
                <w:spacing w:val="12"/>
                <w:sz w:val="21"/>
                <w:szCs w:val="21"/>
                <w:highlight w:val="none"/>
              </w:rPr>
              <w:t>项之外，并不承担承包人与其它承包人、供货商等的经济纠纷和法律责任，也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不</w:t>
            </w:r>
            <w:r>
              <w:rPr>
                <w:rFonts w:hint="eastAsia" w:ascii="宋体" w:hAnsi="宋体" w:eastAsia="宋体" w:cs="宋体"/>
                <w:color w:val="auto"/>
                <w:spacing w:val="7"/>
                <w:sz w:val="21"/>
                <w:szCs w:val="21"/>
                <w:highlight w:val="none"/>
              </w:rPr>
              <w:t>赔偿任何费用。</w:t>
            </w:r>
          </w:p>
          <w:p w14:paraId="7ED40E4B">
            <w:pPr>
              <w:keepNext/>
              <w:snapToGrid w:val="0"/>
              <w:spacing w:before="1" w:line="369" w:lineRule="auto"/>
              <w:ind w:left="109" w:right="102" w:firstLine="245"/>
              <w:rPr>
                <w:rFonts w:hint="eastAsia" w:ascii="宋体" w:hAnsi="宋体" w:eastAsia="宋体" w:cs="宋体"/>
                <w:color w:val="auto"/>
                <w:sz w:val="21"/>
                <w:szCs w:val="21"/>
                <w:highlight w:val="none"/>
              </w:rPr>
            </w:pPr>
            <w:r>
              <w:rPr>
                <w:rFonts w:hint="eastAsia" w:ascii="宋体" w:hAnsi="宋体" w:eastAsia="宋体" w:cs="宋体"/>
                <w:color w:val="auto"/>
                <w:spacing w:val="19"/>
                <w:sz w:val="21"/>
                <w:szCs w:val="21"/>
                <w:highlight w:val="none"/>
              </w:rPr>
              <w:t>(</w:t>
            </w:r>
            <w:r>
              <w:rPr>
                <w:rFonts w:hint="eastAsia" w:ascii="宋体" w:hAnsi="宋体" w:eastAsia="宋体" w:cs="宋体"/>
                <w:color w:val="auto"/>
                <w:spacing w:val="13"/>
                <w:sz w:val="21"/>
                <w:szCs w:val="21"/>
                <w:highlight w:val="none"/>
              </w:rPr>
              <w:t>2)  发包人可雇用其他承包人完成部分工程。承包人无权对此提出反对意见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并</w:t>
            </w:r>
            <w:r>
              <w:rPr>
                <w:rFonts w:hint="eastAsia" w:ascii="宋体" w:hAnsi="宋体" w:eastAsia="宋体" w:cs="宋体"/>
                <w:color w:val="auto"/>
                <w:spacing w:val="12"/>
                <w:sz w:val="21"/>
                <w:szCs w:val="21"/>
                <w:highlight w:val="none"/>
              </w:rPr>
              <w:t>应按合同规定完成合同工程其余部分的施工和缺陷修复。在这种情况下，发包</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人</w:t>
            </w:r>
            <w:r>
              <w:rPr>
                <w:rFonts w:hint="eastAsia" w:ascii="宋体" w:hAnsi="宋体" w:eastAsia="宋体" w:cs="宋体"/>
                <w:color w:val="auto"/>
                <w:spacing w:val="12"/>
                <w:sz w:val="21"/>
                <w:szCs w:val="21"/>
                <w:highlight w:val="none"/>
              </w:rPr>
              <w:t>向承包人支付的合同价格中不应包括由其他承包人完成的那部分工程的价格。</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发</w:t>
            </w:r>
            <w:r>
              <w:rPr>
                <w:rFonts w:hint="eastAsia" w:ascii="宋体" w:hAnsi="宋体" w:eastAsia="宋体" w:cs="宋体"/>
                <w:color w:val="auto"/>
                <w:spacing w:val="12"/>
                <w:sz w:val="21"/>
                <w:szCs w:val="21"/>
                <w:highlight w:val="none"/>
              </w:rPr>
              <w:t>包人有权扣除承包人的全部履约担保作为违约金，监理人还应确定由于承包人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违</w:t>
            </w:r>
            <w:r>
              <w:rPr>
                <w:rFonts w:hint="eastAsia" w:ascii="宋体" w:hAnsi="宋体" w:eastAsia="宋体" w:cs="宋体"/>
                <w:color w:val="auto"/>
                <w:spacing w:val="12"/>
                <w:sz w:val="21"/>
                <w:szCs w:val="21"/>
                <w:highlight w:val="none"/>
              </w:rPr>
              <w:t>约而给发包人造成的费用增加和其他损失，报发包人批准后从应付或到期应付</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8"/>
                <w:sz w:val="21"/>
                <w:szCs w:val="21"/>
                <w:highlight w:val="none"/>
              </w:rPr>
              <w:t>给</w:t>
            </w:r>
            <w:r>
              <w:rPr>
                <w:rFonts w:hint="eastAsia" w:ascii="宋体" w:hAnsi="宋体" w:eastAsia="宋体" w:cs="宋体"/>
                <w:color w:val="auto"/>
                <w:spacing w:val="12"/>
                <w:sz w:val="21"/>
                <w:szCs w:val="21"/>
                <w:highlight w:val="none"/>
              </w:rPr>
              <w:t>承</w:t>
            </w:r>
            <w:r>
              <w:rPr>
                <w:rFonts w:hint="eastAsia" w:ascii="宋体" w:hAnsi="宋体" w:eastAsia="宋体" w:cs="宋体"/>
                <w:color w:val="auto"/>
                <w:spacing w:val="9"/>
                <w:sz w:val="21"/>
                <w:szCs w:val="21"/>
                <w:highlight w:val="none"/>
              </w:rPr>
              <w:t>包人的款项中扣除，监理人应将上述决定通知承包人，并抄送发包人；</w:t>
            </w:r>
          </w:p>
          <w:p w14:paraId="09EA22E9">
            <w:pPr>
              <w:keepNext/>
              <w:snapToGrid w:val="0"/>
              <w:spacing w:before="137" w:line="374" w:lineRule="auto"/>
              <w:ind w:left="105" w:right="102" w:firstLine="4"/>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4"/>
                <w:sz w:val="21"/>
                <w:szCs w:val="21"/>
                <w:highlight w:val="none"/>
              </w:rPr>
              <w:t>3</w:t>
            </w:r>
            <w:r>
              <w:rPr>
                <w:rFonts w:hint="eastAsia" w:ascii="宋体" w:hAnsi="宋体" w:eastAsia="宋体" w:cs="宋体"/>
                <w:color w:val="auto"/>
                <w:spacing w:val="8"/>
                <w:sz w:val="21"/>
                <w:szCs w:val="21"/>
                <w:highlight w:val="none"/>
              </w:rPr>
              <w:t>)  发包人在向承包人发出书面通知的 14 天之后可以进驻现场和接管工程，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终止承包人对本合同工程的承包，但不因此解除合同规定的承包人的任何义务</w:t>
            </w:r>
            <w:r>
              <w:rPr>
                <w:rFonts w:hint="eastAsia" w:ascii="宋体" w:hAnsi="宋体" w:eastAsia="宋体" w:cs="宋体"/>
                <w:color w:val="auto"/>
                <w:spacing w:val="11"/>
                <w:sz w:val="21"/>
                <w:szCs w:val="21"/>
                <w:highlight w:val="none"/>
              </w:rPr>
              <w:t>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责任，或影响合同赋予发包人或监理人的各种权利和权限。发包人可自行完成</w:t>
            </w:r>
            <w:r>
              <w:rPr>
                <w:rFonts w:hint="eastAsia" w:ascii="宋体" w:hAnsi="宋体" w:eastAsia="宋体" w:cs="宋体"/>
                <w:color w:val="auto"/>
                <w:spacing w:val="11"/>
                <w:sz w:val="21"/>
                <w:szCs w:val="21"/>
                <w:highlight w:val="none"/>
              </w:rPr>
              <w:t>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工程，或邀请其他承包人完成该工程。发包人或其他承包人为了完成本工程可</w:t>
            </w:r>
            <w:r>
              <w:rPr>
                <w:rFonts w:hint="eastAsia" w:ascii="宋体" w:hAnsi="宋体" w:eastAsia="宋体" w:cs="宋体"/>
                <w:color w:val="auto"/>
                <w:spacing w:val="11"/>
                <w:sz w:val="21"/>
                <w:szCs w:val="21"/>
                <w:highlight w:val="none"/>
              </w:rPr>
              <w:t>以</w:t>
            </w:r>
            <w:r>
              <w:rPr>
                <w:rFonts w:hint="eastAsia" w:ascii="宋体" w:hAnsi="宋体" w:eastAsia="宋体" w:cs="宋体"/>
                <w:color w:val="auto"/>
                <w:spacing w:val="13"/>
                <w:sz w:val="21"/>
                <w:szCs w:val="21"/>
                <w:highlight w:val="none"/>
              </w:rPr>
              <w:t>使</w:t>
            </w:r>
            <w:r>
              <w:rPr>
                <w:rFonts w:hint="eastAsia" w:ascii="宋体" w:hAnsi="宋体" w:eastAsia="宋体" w:cs="宋体"/>
                <w:color w:val="auto"/>
                <w:spacing w:val="12"/>
                <w:sz w:val="21"/>
                <w:szCs w:val="21"/>
                <w:highlight w:val="none"/>
              </w:rPr>
              <w:t>用任何的承包人设备、临时工程和材料。发包人有权扣除承包人的全部履约担</w:t>
            </w:r>
            <w:r>
              <w:rPr>
                <w:rFonts w:hint="eastAsia" w:ascii="宋体" w:hAnsi="宋体" w:eastAsia="宋体" w:cs="宋体"/>
                <w:color w:val="auto"/>
                <w:spacing w:val="13"/>
                <w:sz w:val="21"/>
                <w:szCs w:val="21"/>
                <w:highlight w:val="none"/>
              </w:rPr>
              <w:t>保</w:t>
            </w:r>
            <w:r>
              <w:rPr>
                <w:rFonts w:hint="eastAsia" w:ascii="宋体" w:hAnsi="宋体" w:eastAsia="宋体" w:cs="宋体"/>
                <w:color w:val="auto"/>
                <w:spacing w:val="12"/>
                <w:sz w:val="21"/>
                <w:szCs w:val="21"/>
                <w:highlight w:val="none"/>
              </w:rPr>
              <w:t>作为违约金，监理人还应确定由于承包人违约而给发包人造成的费用增加和其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7"/>
                <w:sz w:val="21"/>
                <w:szCs w:val="21"/>
                <w:highlight w:val="none"/>
              </w:rPr>
              <w:t>他</w:t>
            </w:r>
            <w:r>
              <w:rPr>
                <w:rFonts w:hint="eastAsia" w:ascii="宋体" w:hAnsi="宋体" w:eastAsia="宋体" w:cs="宋体"/>
                <w:color w:val="auto"/>
                <w:spacing w:val="12"/>
                <w:sz w:val="21"/>
                <w:szCs w:val="21"/>
                <w:highlight w:val="none"/>
              </w:rPr>
              <w:t>损失，报发包人批准后从应付或到期应付给承包人的款项中扣除，监理人应将</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 xml:space="preserve">上述决定通知承包人，并抄送发包人。合同终止后的有关事宜应按照第 22. 1.4 </w:t>
            </w:r>
            <w:r>
              <w:rPr>
                <w:rFonts w:hint="eastAsia" w:ascii="宋体" w:hAnsi="宋体" w:eastAsia="宋体" w:cs="宋体"/>
                <w:color w:val="auto"/>
                <w:spacing w:val="3"/>
                <w:sz w:val="21"/>
                <w:szCs w:val="21"/>
                <w:highlight w:val="none"/>
              </w:rPr>
              <w:t>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22. 1.5 款的规定办理</w:t>
            </w:r>
            <w:r>
              <w:rPr>
                <w:rFonts w:hint="eastAsia" w:ascii="宋体" w:hAnsi="宋体" w:eastAsia="宋体" w:cs="宋体"/>
                <w:color w:val="auto"/>
                <w:spacing w:val="1"/>
                <w:sz w:val="21"/>
                <w:szCs w:val="21"/>
                <w:highlight w:val="none"/>
              </w:rPr>
              <w:t>。</w:t>
            </w:r>
          </w:p>
          <w:p w14:paraId="1906B5BE">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此外，当承包人发生了下述违约现象之后，发包人可依据下列具体情况扣除承 包人的违约金：</w:t>
            </w:r>
          </w:p>
          <w:p w14:paraId="44909130">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承包人在监理人规定的截止日前，项目经理、项目总工没有按时进场， 或进场后未经发包人项目指挥部和总监办主任 (或设驻地办的驻地办主任) 批准 又离开工地，发包人将按 10000 元/人 ·天扣除违约金；其他管理人员没有按时进 场，或进场后未经总监办主任 (或设驻地办的驻地办主任) 和承包人项目经理批 准又离开工地，发包人将按 5000 元/人 ·天扣除违约金，直至缺员进场为止。根据 本项规定扣除的违约金累计不得超过签约合同价的2％。</w:t>
            </w:r>
          </w:p>
          <w:p w14:paraId="35BADA1A">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承包人按照监理人规定进场的项目经理、项目总工及其他管理人员每人每月在 岗时间不得少于 22 天，否则发包人将对项目经理、项目总工按 10000 元/人 ·天扣 除违约金，对其他管理人员按 5000 元/人 ·天扣除违约金。根据本项规定扣除的违 约金累计不得超过签约合同价的2％。</w:t>
            </w:r>
          </w:p>
          <w:p w14:paraId="4298FCCC">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承包人按照监理人规定进场的每个专业岗位人员同时离开工地人数不得超过 1 人，否则发包人将按 5000 元/人 ·天扣除违约金。根据本项规定扣除的违约金累计 不得超过签约合同价的2％。</w:t>
            </w:r>
          </w:p>
          <w:p w14:paraId="57F7EE10">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项目经理每更换一人次将向发包人提交违约金，违约金金额按 5‰签约合 同价计算，但违约金金额应不低于 20 万且不高于 100 万。</w:t>
            </w:r>
          </w:p>
          <w:p w14:paraId="5DC12B14">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项目总工每更换一人次将向发包人提交违约金，违约金金额按 3‰签约合 同价计算，但违约金金额应不低于 15 万且不高于 80 万。</w:t>
            </w:r>
          </w:p>
          <w:p w14:paraId="0AFAEA5F">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由于承包人自身原因造成其进场的人员的替换，将按照本项 (2) 、  (3) 目的规定交纳违约金； 由于相关人员不能胜任本职工作、行为不端或玩忽职守而 被监理人按合同条款第 4.7 款规定要求撤换的，除按照本项 (2) 、  (3) 目的规定 交纳违约金外，项目经理或项目总工每更换一人次还应向发包人另行支付 10 万元 的违约金，其他管理人员每更换一人次还应向发包人另行支付 5 万元的违约金。</w:t>
            </w:r>
          </w:p>
          <w:p w14:paraId="0FD05F47">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承包人在监理人规定的截止日前，合同谈判期间承包人所承诺的主要机 械及试验、测量设备 (如有) 不能按时进场，每迟到 1 天，发包人可按照该设备 的台班费 (以交通运输部现行《预算定额》为准) 的三倍扣除违约金，直到设备 进场为止。</w:t>
            </w:r>
          </w:p>
          <w:p w14:paraId="0B1C06EC">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在工程实施期间，未经监理人批准，承包人进场的施工机械和材料试验、质检仪器设备撤离现场，发包人可按该设备的重置价值从工程期中支付款中扣除违约金。</w:t>
            </w:r>
          </w:p>
          <w:p w14:paraId="3BF40893">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在施工期间，承包人若违反施工操作及管理程序，则按 5 万元/次标准扣 除承包人的违约金。</w:t>
            </w:r>
          </w:p>
          <w:p w14:paraId="26564399">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  承包人在施工期间如果在各种报表及检查试验记录中自己作假或诱导监 理人作假，发包人可按每次 1 万~ 10 万元的标准扣除承包人的违约金。</w:t>
            </w:r>
          </w:p>
          <w:p w14:paraId="1BD17F74">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  承包人应无条件接受上级交通主管部门、质量监督部门、发包人监理单 位的质量检查或抽查，如发现承包人出现降低施工标准或偷工减料或出现较大质 量问题，发包人将按每次 10 万元的标准扣除承包人的违约金。</w:t>
            </w:r>
          </w:p>
          <w:p w14:paraId="5BCC39C0">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  承包人在施工期间未能做好环境保护工作，使得周边环境遭到破坏或污 染，经监理人认可后，每次按照 10 万元的标准扣除承包人的违约金。</w:t>
            </w:r>
          </w:p>
          <w:p w14:paraId="4FA68973">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承包人存在安全问题或有违反安全管理规章制度的情况时，视其情节轻 重，分别给予承包人通报批评、警告、责令停工等处罚，并可扣处 1 万~ 10 万元的 违约金。</w:t>
            </w:r>
          </w:p>
          <w:p w14:paraId="75B3C42B">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  承包人应按劳动合同及时发放薪酬，不得因此影响工程的正常进展及发 包人的声誉。因此造成的劳务纠纷，发包人在收到劳动部门的仲裁结果后，有权 根据仲裁结果从应付给承包人的工程款中代为扣付。对工程的正常进展及发包人 声誉造成影响的，发包人可以向承包人课以 10 万元以内的违约金。</w:t>
            </w:r>
          </w:p>
          <w:p w14:paraId="42F9BC59">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由于承包人原因导致本工程质量未达到合同约定的目标，将扣除质量保 证金的 20％作为违约金。</w:t>
            </w:r>
          </w:p>
          <w:p w14:paraId="06C207A9">
            <w:pPr>
              <w:keepNext/>
              <w:snapToGrid w:val="0"/>
              <w:spacing w:before="3" w:line="368" w:lineRule="auto"/>
              <w:ind w:left="111" w:right="102" w:firstLine="2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本款提及的所有违约金 (包括由于承包人违约而给发包人造成的费用增加和其 他损失，下同) 将从期中支付证书中扣除或通知履约保函开具银行支付，直至通 过诉讼手段向承包人进行追索。所有扣缴的违约金将按照《中华人民共和国企业 所得税法》  (中华人民共和国主席令第 63 号) 、《中华人民共和国企业所得税暂 行条例》  (中华人民共和国国务院令第 512 号) 、《基本建设财务规则》  (中华人民共和国财政部令第 81 号) 的相关规定处理。</w:t>
            </w:r>
          </w:p>
        </w:tc>
      </w:tr>
      <w:tr w14:paraId="5C6E7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6" w:hRule="atLeast"/>
          <w:jc w:val="center"/>
        </w:trPr>
        <w:tc>
          <w:tcPr>
            <w:tcW w:w="657" w:type="dxa"/>
            <w:tcBorders>
              <w:left w:val="single" w:color="000000" w:sz="6" w:space="0"/>
            </w:tcBorders>
            <w:vAlign w:val="top"/>
          </w:tcPr>
          <w:p w14:paraId="64964F70">
            <w:pPr>
              <w:keepNext/>
              <w:snapToGrid w:val="0"/>
              <w:spacing w:line="335" w:lineRule="auto"/>
              <w:rPr>
                <w:rFonts w:hint="eastAsia" w:ascii="宋体" w:hAnsi="宋体" w:eastAsia="宋体" w:cs="宋体"/>
                <w:color w:val="auto"/>
                <w:sz w:val="21"/>
                <w:szCs w:val="21"/>
                <w:highlight w:val="none"/>
              </w:rPr>
            </w:pPr>
          </w:p>
          <w:p w14:paraId="66C88C54">
            <w:pPr>
              <w:keepNext/>
              <w:snapToGrid w:val="0"/>
              <w:spacing w:line="335" w:lineRule="auto"/>
              <w:rPr>
                <w:rFonts w:hint="eastAsia" w:ascii="宋体" w:hAnsi="宋体" w:eastAsia="宋体" w:cs="宋体"/>
                <w:color w:val="auto"/>
                <w:sz w:val="21"/>
                <w:szCs w:val="21"/>
                <w:highlight w:val="none"/>
              </w:rPr>
            </w:pPr>
          </w:p>
          <w:p w14:paraId="15297BE7">
            <w:pPr>
              <w:keepNext/>
              <w:snapToGrid w:val="0"/>
              <w:spacing w:before="58" w:line="195" w:lineRule="auto"/>
              <w:ind w:left="162" w:lef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1</w:t>
            </w:r>
          </w:p>
        </w:tc>
        <w:tc>
          <w:tcPr>
            <w:tcW w:w="936" w:type="dxa"/>
            <w:vAlign w:val="top"/>
          </w:tcPr>
          <w:p w14:paraId="39961A6B">
            <w:pPr>
              <w:keepNext/>
              <w:snapToGrid w:val="0"/>
              <w:spacing w:line="335" w:lineRule="auto"/>
              <w:rPr>
                <w:rFonts w:hint="eastAsia" w:ascii="宋体" w:hAnsi="宋体" w:eastAsia="宋体" w:cs="宋体"/>
                <w:color w:val="auto"/>
                <w:sz w:val="21"/>
                <w:szCs w:val="21"/>
                <w:highlight w:val="none"/>
              </w:rPr>
            </w:pPr>
          </w:p>
          <w:p w14:paraId="48315908">
            <w:pPr>
              <w:keepNext/>
              <w:snapToGrid w:val="0"/>
              <w:spacing w:line="335" w:lineRule="auto"/>
              <w:rPr>
                <w:rFonts w:hint="eastAsia" w:ascii="宋体" w:hAnsi="宋体" w:eastAsia="宋体" w:cs="宋体"/>
                <w:color w:val="auto"/>
                <w:sz w:val="21"/>
                <w:szCs w:val="21"/>
                <w:highlight w:val="none"/>
              </w:rPr>
            </w:pPr>
          </w:p>
          <w:p w14:paraId="3625ED81">
            <w:pPr>
              <w:keepNext/>
              <w:snapToGrid w:val="0"/>
              <w:spacing w:before="58" w:line="198" w:lineRule="auto"/>
              <w:ind w:left="263" w:leftChars="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5"/>
                <w:sz w:val="21"/>
                <w:szCs w:val="21"/>
                <w:highlight w:val="none"/>
              </w:rPr>
              <w:t>2.2.2</w:t>
            </w:r>
          </w:p>
        </w:tc>
        <w:tc>
          <w:tcPr>
            <w:tcW w:w="7226" w:type="dxa"/>
            <w:tcBorders>
              <w:right w:val="single" w:color="000000" w:sz="6" w:space="0"/>
            </w:tcBorders>
            <w:vAlign w:val="top"/>
          </w:tcPr>
          <w:p w14:paraId="14858532">
            <w:pPr>
              <w:keepNext/>
              <w:snapToGrid w:val="0"/>
              <w:spacing w:before="142" w:line="369" w:lineRule="auto"/>
              <w:ind w:left="109" w:leftChars="0" w:right="102" w:rightChars="0" w:firstLine="238" w:firstLineChars="0"/>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如</w:t>
            </w:r>
            <w:r>
              <w:rPr>
                <w:rFonts w:hint="eastAsia" w:ascii="宋体" w:hAnsi="宋体" w:eastAsia="宋体" w:cs="宋体"/>
                <w:color w:val="auto"/>
                <w:spacing w:val="11"/>
                <w:sz w:val="21"/>
                <w:szCs w:val="21"/>
                <w:highlight w:val="none"/>
              </w:rPr>
              <w:t>承包人采用现金形式向发包人提交履约保证金或质量保证金时，发包人无正</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2"/>
                <w:sz w:val="21"/>
                <w:szCs w:val="21"/>
                <w:highlight w:val="none"/>
              </w:rPr>
              <w:t>当理</w:t>
            </w:r>
            <w:r>
              <w:rPr>
                <w:rFonts w:hint="eastAsia" w:ascii="宋体" w:hAnsi="宋体" w:eastAsia="宋体" w:cs="宋体"/>
                <w:color w:val="auto"/>
                <w:spacing w:val="15"/>
                <w:sz w:val="21"/>
                <w:szCs w:val="21"/>
                <w:highlight w:val="none"/>
              </w:rPr>
              <w:t>由</w:t>
            </w:r>
            <w:r>
              <w:rPr>
                <w:rFonts w:hint="eastAsia" w:ascii="宋体" w:hAnsi="宋体" w:eastAsia="宋体" w:cs="宋体"/>
                <w:color w:val="auto"/>
                <w:spacing w:val="11"/>
                <w:sz w:val="21"/>
                <w:szCs w:val="21"/>
                <w:highlight w:val="none"/>
              </w:rPr>
              <w:t>不按时返还的，发包人应向承包人支付的违约金：</w:t>
            </w:r>
            <w:r>
              <w:rPr>
                <w:rFonts w:hint="eastAsia" w:ascii="宋体" w:hAnsi="宋体" w:eastAsia="宋体" w:cs="宋体"/>
                <w:color w:val="auto"/>
                <w:spacing w:val="11"/>
                <w:sz w:val="21"/>
                <w:szCs w:val="21"/>
                <w:highlight w:val="none"/>
                <w:u w:val="single" w:color="auto"/>
              </w:rPr>
              <w:t xml:space="preserve">  按照中国人民银行公</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u w:val="single" w:color="auto"/>
              </w:rPr>
              <w:t xml:space="preserve">布的一年以内 (含一年) 同期同类金融机构人民币贷款基准利率 (不计复利) </w:t>
            </w:r>
            <w:r>
              <w:rPr>
                <w:rFonts w:hint="eastAsia" w:ascii="宋体" w:hAnsi="宋体" w:eastAsia="宋体" w:cs="宋体"/>
                <w:color w:val="auto"/>
                <w:spacing w:val="4"/>
                <w:sz w:val="21"/>
                <w:szCs w:val="21"/>
                <w:highlight w:val="none"/>
                <w:u w:val="single" w:color="auto"/>
              </w:rPr>
              <w:t>加</w:t>
            </w:r>
            <w:r>
              <w:rPr>
                <w:rFonts w:hint="eastAsia" w:ascii="宋体" w:hAnsi="宋体" w:eastAsia="宋体" w:cs="宋体"/>
                <w:color w:val="auto"/>
                <w:spacing w:val="13"/>
                <w:sz w:val="21"/>
                <w:szCs w:val="21"/>
                <w:highlight w:val="none"/>
                <w:u w:val="single" w:color="auto"/>
              </w:rPr>
              <w:t>手</w:t>
            </w:r>
            <w:r>
              <w:rPr>
                <w:rFonts w:hint="eastAsia" w:ascii="宋体" w:hAnsi="宋体" w:eastAsia="宋体" w:cs="宋体"/>
                <w:color w:val="auto"/>
                <w:spacing w:val="12"/>
                <w:sz w:val="21"/>
                <w:szCs w:val="21"/>
                <w:highlight w:val="none"/>
                <w:u w:val="single" w:color="auto"/>
              </w:rPr>
              <w:t>续费。</w:t>
            </w:r>
          </w:p>
        </w:tc>
      </w:tr>
      <w:tr w14:paraId="1FE47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top"/>
          </w:tcPr>
          <w:p w14:paraId="59F6902F">
            <w:pPr>
              <w:keepNext/>
              <w:snapToGrid w:val="0"/>
              <w:spacing w:line="273" w:lineRule="auto"/>
              <w:rPr>
                <w:rFonts w:hint="eastAsia" w:ascii="宋体" w:hAnsi="宋体" w:eastAsia="宋体" w:cs="宋体"/>
                <w:color w:val="auto"/>
                <w:sz w:val="21"/>
                <w:szCs w:val="21"/>
                <w:highlight w:val="none"/>
              </w:rPr>
            </w:pPr>
          </w:p>
          <w:p w14:paraId="6D5C4B63">
            <w:pPr>
              <w:keepNext/>
              <w:snapToGrid w:val="0"/>
              <w:spacing w:before="58" w:line="195" w:lineRule="auto"/>
              <w:ind w:left="162" w:lef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p>
        </w:tc>
        <w:tc>
          <w:tcPr>
            <w:tcW w:w="936" w:type="dxa"/>
            <w:vAlign w:val="top"/>
          </w:tcPr>
          <w:p w14:paraId="6778A1D6">
            <w:pPr>
              <w:keepNext/>
              <w:snapToGrid w:val="0"/>
              <w:spacing w:line="273" w:lineRule="auto"/>
              <w:rPr>
                <w:rFonts w:hint="eastAsia" w:ascii="宋体" w:hAnsi="宋体" w:eastAsia="宋体" w:cs="宋体"/>
                <w:color w:val="auto"/>
                <w:sz w:val="21"/>
                <w:szCs w:val="21"/>
                <w:highlight w:val="none"/>
              </w:rPr>
            </w:pPr>
          </w:p>
          <w:p w14:paraId="2C20EF2F">
            <w:pPr>
              <w:keepNext/>
              <w:snapToGrid w:val="0"/>
              <w:spacing w:before="58" w:line="198" w:lineRule="auto"/>
              <w:ind w:left="368" w:leftChars="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4"/>
                <w:sz w:val="21"/>
                <w:szCs w:val="21"/>
                <w:highlight w:val="none"/>
              </w:rPr>
              <w:t>4</w:t>
            </w:r>
            <w:r>
              <w:rPr>
                <w:rFonts w:hint="eastAsia" w:ascii="宋体" w:hAnsi="宋体" w:eastAsia="宋体" w:cs="宋体"/>
                <w:color w:val="auto"/>
                <w:spacing w:val="-3"/>
                <w:sz w:val="21"/>
                <w:szCs w:val="21"/>
                <w:highlight w:val="none"/>
              </w:rPr>
              <w:t>. 1</w:t>
            </w:r>
          </w:p>
        </w:tc>
        <w:tc>
          <w:tcPr>
            <w:tcW w:w="7226" w:type="dxa"/>
            <w:tcBorders>
              <w:right w:val="single" w:color="000000" w:sz="6" w:space="0"/>
            </w:tcBorders>
            <w:vAlign w:val="top"/>
          </w:tcPr>
          <w:p w14:paraId="68ECD16D">
            <w:pPr>
              <w:keepNext/>
              <w:snapToGrid w:val="0"/>
              <w:spacing w:before="143" w:line="227" w:lineRule="auto"/>
              <w:ind w:left="32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争</w:t>
            </w:r>
            <w:r>
              <w:rPr>
                <w:rFonts w:hint="eastAsia" w:ascii="宋体" w:hAnsi="宋体" w:eastAsia="宋体" w:cs="宋体"/>
                <w:color w:val="auto"/>
                <w:spacing w:val="5"/>
                <w:sz w:val="21"/>
                <w:szCs w:val="21"/>
                <w:highlight w:val="none"/>
              </w:rPr>
              <w:t>议的最终解决方式，规定为：</w:t>
            </w:r>
            <w:r>
              <w:rPr>
                <w:rFonts w:hint="eastAsia" w:ascii="宋体" w:hAnsi="宋体" w:eastAsia="宋体" w:cs="宋体"/>
                <w:color w:val="auto"/>
                <w:spacing w:val="5"/>
                <w:sz w:val="21"/>
                <w:szCs w:val="21"/>
                <w:highlight w:val="none"/>
                <w:u w:val="single" w:color="auto"/>
              </w:rPr>
              <w:t xml:space="preserve">  仲裁</w:t>
            </w:r>
            <w:r>
              <w:rPr>
                <w:rFonts w:hint="eastAsia" w:ascii="宋体" w:hAnsi="宋体" w:eastAsia="宋体" w:cs="宋体"/>
                <w:color w:val="auto"/>
                <w:sz w:val="21"/>
                <w:szCs w:val="21"/>
                <w:highlight w:val="none"/>
                <w:u w:val="single" w:color="auto"/>
              </w:rPr>
              <w:t xml:space="preserve">  </w:t>
            </w:r>
          </w:p>
          <w:p w14:paraId="4AE379C7">
            <w:pPr>
              <w:keepNext/>
              <w:snapToGrid w:val="0"/>
              <w:spacing w:before="155" w:line="224" w:lineRule="auto"/>
              <w:ind w:left="317" w:leftChars="0"/>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采</w:t>
            </w:r>
            <w:r>
              <w:rPr>
                <w:rFonts w:hint="eastAsia" w:ascii="宋体" w:hAnsi="宋体" w:eastAsia="宋体" w:cs="宋体"/>
                <w:color w:val="auto"/>
                <w:spacing w:val="9"/>
                <w:sz w:val="21"/>
                <w:szCs w:val="21"/>
                <w:highlight w:val="none"/>
              </w:rPr>
              <w:t>用</w:t>
            </w:r>
            <w:r>
              <w:rPr>
                <w:rFonts w:hint="eastAsia" w:ascii="宋体" w:hAnsi="宋体" w:eastAsia="宋体" w:cs="宋体"/>
                <w:color w:val="auto"/>
                <w:spacing w:val="7"/>
                <w:sz w:val="21"/>
                <w:szCs w:val="21"/>
                <w:highlight w:val="none"/>
              </w:rPr>
              <w:t>仲裁的仲裁委员会名称，规定为：</w:t>
            </w:r>
            <w:r>
              <w:rPr>
                <w:rFonts w:hint="eastAsia" w:ascii="宋体" w:hAnsi="宋体" w:eastAsia="宋体" w:cs="宋体"/>
                <w:color w:val="auto"/>
                <w:spacing w:val="7"/>
                <w:sz w:val="21"/>
                <w:szCs w:val="21"/>
                <w:highlight w:val="none"/>
                <w:u w:val="single" w:color="auto"/>
              </w:rPr>
              <w:t xml:space="preserve">  发包人所在地仲裁委员会</w:t>
            </w:r>
            <w:r>
              <w:rPr>
                <w:rFonts w:hint="eastAsia" w:ascii="宋体" w:hAnsi="宋体" w:eastAsia="宋体" w:cs="宋体"/>
                <w:color w:val="auto"/>
                <w:sz w:val="21"/>
                <w:szCs w:val="21"/>
                <w:highlight w:val="none"/>
                <w:u w:val="single" w:color="auto"/>
              </w:rPr>
              <w:t xml:space="preserve">  </w:t>
            </w:r>
          </w:p>
        </w:tc>
      </w:tr>
      <w:tr w14:paraId="217A1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top"/>
          </w:tcPr>
          <w:p w14:paraId="0BE47280">
            <w:pPr>
              <w:keepNext/>
              <w:snapToGrid w:val="0"/>
              <w:spacing w:before="135" w:line="195" w:lineRule="auto"/>
              <w:ind w:left="162" w:lef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3</w:t>
            </w:r>
          </w:p>
        </w:tc>
        <w:tc>
          <w:tcPr>
            <w:tcW w:w="936" w:type="dxa"/>
            <w:vAlign w:val="top"/>
          </w:tcPr>
          <w:p w14:paraId="5EBCC71B">
            <w:pPr>
              <w:keepNext/>
              <w:snapToGrid w:val="0"/>
              <w:spacing w:before="135" w:line="195" w:lineRule="auto"/>
              <w:ind w:left="445" w:leftChars="0"/>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5</w:t>
            </w:r>
          </w:p>
        </w:tc>
        <w:tc>
          <w:tcPr>
            <w:tcW w:w="7226" w:type="dxa"/>
            <w:tcBorders>
              <w:right w:val="single" w:color="000000" w:sz="6" w:space="0"/>
            </w:tcBorders>
            <w:vAlign w:val="top"/>
          </w:tcPr>
          <w:p w14:paraId="0CF7D0CD">
            <w:pPr>
              <w:keepNext/>
              <w:snapToGrid w:val="0"/>
              <w:spacing w:before="138" w:line="228" w:lineRule="auto"/>
              <w:ind w:left="114"/>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为加</w:t>
            </w:r>
            <w:r>
              <w:rPr>
                <w:rFonts w:hint="eastAsia" w:ascii="宋体" w:hAnsi="宋体" w:eastAsia="宋体" w:cs="宋体"/>
                <w:color w:val="auto"/>
                <w:spacing w:val="15"/>
                <w:sz w:val="21"/>
                <w:szCs w:val="21"/>
                <w:highlight w:val="none"/>
              </w:rPr>
              <w:t>强</w:t>
            </w:r>
            <w:r>
              <w:rPr>
                <w:rFonts w:hint="eastAsia" w:ascii="宋体" w:hAnsi="宋体" w:eastAsia="宋体" w:cs="宋体"/>
                <w:color w:val="auto"/>
                <w:spacing w:val="8"/>
                <w:sz w:val="21"/>
                <w:szCs w:val="21"/>
                <w:highlight w:val="none"/>
              </w:rPr>
              <w:t>安全生产管理工作，规范本工程交通封闭作业行为，在合同执行过程中，</w:t>
            </w:r>
            <w:r>
              <w:rPr>
                <w:rFonts w:hint="eastAsia" w:ascii="宋体" w:hAnsi="宋体" w:eastAsia="宋体" w:cs="宋体"/>
                <w:color w:val="auto"/>
                <w:spacing w:val="14"/>
                <w:sz w:val="21"/>
                <w:szCs w:val="21"/>
                <w:highlight w:val="none"/>
              </w:rPr>
              <w:t>结</w:t>
            </w:r>
            <w:r>
              <w:rPr>
                <w:rFonts w:hint="eastAsia" w:ascii="宋体" w:hAnsi="宋体" w:eastAsia="宋体" w:cs="宋体"/>
                <w:color w:val="auto"/>
                <w:spacing w:val="9"/>
                <w:sz w:val="21"/>
                <w:szCs w:val="21"/>
                <w:highlight w:val="none"/>
              </w:rPr>
              <w:t>合项目施工特点，严格按照相关要求开展道路交通封闭施工作业。</w:t>
            </w:r>
          </w:p>
          <w:p w14:paraId="2D41CD46">
            <w:pPr>
              <w:keepNext/>
              <w:snapToGrid w:val="0"/>
              <w:spacing w:before="153" w:line="369" w:lineRule="auto"/>
              <w:ind w:left="109" w:right="102" w:firstLine="207"/>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施</w:t>
            </w:r>
            <w:r>
              <w:rPr>
                <w:rFonts w:hint="eastAsia" w:ascii="宋体" w:hAnsi="宋体" w:eastAsia="宋体" w:cs="宋体"/>
                <w:color w:val="auto"/>
                <w:spacing w:val="12"/>
                <w:sz w:val="21"/>
                <w:szCs w:val="21"/>
                <w:highlight w:val="none"/>
              </w:rPr>
              <w:t>工结束时，承包人必须将因施工而损坏的路面及附属设施恢复到原有良好状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态</w:t>
            </w:r>
            <w:r>
              <w:rPr>
                <w:rFonts w:hint="eastAsia" w:ascii="宋体" w:hAnsi="宋体" w:eastAsia="宋体" w:cs="宋体"/>
                <w:color w:val="auto"/>
                <w:spacing w:val="12"/>
                <w:sz w:val="21"/>
                <w:szCs w:val="21"/>
                <w:highlight w:val="none"/>
              </w:rPr>
              <w:t>。及时施划道路标志、标线，确保道路标志、标线的完整有效。拆除安全隔离</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设</w:t>
            </w:r>
            <w:r>
              <w:rPr>
                <w:rFonts w:hint="eastAsia" w:ascii="宋体" w:hAnsi="宋体" w:eastAsia="宋体" w:cs="宋体"/>
                <w:color w:val="auto"/>
                <w:spacing w:val="12"/>
                <w:sz w:val="21"/>
                <w:szCs w:val="21"/>
                <w:highlight w:val="none"/>
              </w:rPr>
              <w:t>施，并报经所在路域分公司、公安交警大队进行验收合格后，方可撤离现场恢</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复道路交通</w:t>
            </w:r>
            <w:r>
              <w:rPr>
                <w:rFonts w:hint="eastAsia" w:ascii="宋体" w:hAnsi="宋体" w:eastAsia="宋体" w:cs="宋体"/>
                <w:color w:val="auto"/>
                <w:spacing w:val="5"/>
                <w:sz w:val="21"/>
                <w:szCs w:val="21"/>
                <w:highlight w:val="none"/>
              </w:rPr>
              <w:t>。</w:t>
            </w:r>
          </w:p>
          <w:p w14:paraId="3A78CAB6">
            <w:pPr>
              <w:keepNext/>
              <w:snapToGrid w:val="0"/>
              <w:spacing w:before="1" w:line="368" w:lineRule="auto"/>
              <w:ind w:left="111" w:right="156" w:firstLine="209"/>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工</w:t>
            </w:r>
            <w:r>
              <w:rPr>
                <w:rFonts w:hint="eastAsia" w:ascii="宋体" w:hAnsi="宋体" w:eastAsia="宋体" w:cs="宋体"/>
                <w:color w:val="auto"/>
                <w:spacing w:val="17"/>
                <w:sz w:val="21"/>
                <w:szCs w:val="21"/>
                <w:highlight w:val="none"/>
              </w:rPr>
              <w:t>程</w:t>
            </w:r>
            <w:r>
              <w:rPr>
                <w:rFonts w:hint="eastAsia" w:ascii="宋体" w:hAnsi="宋体" w:eastAsia="宋体" w:cs="宋体"/>
                <w:color w:val="auto"/>
                <w:spacing w:val="10"/>
                <w:sz w:val="21"/>
                <w:szCs w:val="21"/>
                <w:highlight w:val="none"/>
              </w:rPr>
              <w:t>正式开工前，承包人必须向监理及发包人上报详细的交通封闭组织方案，</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6"/>
                <w:sz w:val="21"/>
                <w:szCs w:val="21"/>
                <w:highlight w:val="none"/>
              </w:rPr>
              <w:t>经</w:t>
            </w:r>
            <w:r>
              <w:rPr>
                <w:rFonts w:hint="eastAsia" w:ascii="宋体" w:hAnsi="宋体" w:eastAsia="宋体" w:cs="宋体"/>
                <w:color w:val="auto"/>
                <w:spacing w:val="11"/>
                <w:sz w:val="21"/>
                <w:szCs w:val="21"/>
                <w:highlight w:val="none"/>
              </w:rPr>
              <w:t>发</w:t>
            </w:r>
            <w:r>
              <w:rPr>
                <w:rFonts w:hint="eastAsia" w:ascii="宋体" w:hAnsi="宋体" w:eastAsia="宋体" w:cs="宋体"/>
                <w:color w:val="auto"/>
                <w:spacing w:val="8"/>
                <w:sz w:val="21"/>
                <w:szCs w:val="21"/>
                <w:highlight w:val="none"/>
              </w:rPr>
              <w:t>包人审核通过后，方可正式施工。</w:t>
            </w:r>
          </w:p>
          <w:p w14:paraId="7D9CD534">
            <w:pPr>
              <w:keepNext/>
              <w:snapToGrid w:val="0"/>
              <w:spacing w:before="2" w:line="369" w:lineRule="auto"/>
              <w:ind w:left="111" w:leftChars="0" w:right="102" w:rightChars="0" w:firstLine="207" w:firstLineChars="0"/>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承</w:t>
            </w:r>
            <w:r>
              <w:rPr>
                <w:rFonts w:hint="eastAsia" w:ascii="宋体" w:hAnsi="宋体" w:eastAsia="宋体" w:cs="宋体"/>
                <w:color w:val="auto"/>
                <w:spacing w:val="12"/>
                <w:sz w:val="21"/>
                <w:szCs w:val="21"/>
                <w:highlight w:val="none"/>
              </w:rPr>
              <w:t>包人应充分考虑本项目施工过程中执行上述交通封闭作业要求所需的相关费</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用，且交通封闭规范化作业费用已包含在本合同的相关报价中，发包人将不另行</w:t>
            </w:r>
            <w:r>
              <w:rPr>
                <w:rFonts w:hint="eastAsia" w:ascii="宋体" w:hAnsi="宋体" w:eastAsia="宋体" w:cs="宋体"/>
                <w:color w:val="auto"/>
                <w:spacing w:val="3"/>
                <w:sz w:val="21"/>
                <w:szCs w:val="21"/>
                <w:highlight w:val="none"/>
              </w:rPr>
              <w:t>支付</w:t>
            </w:r>
            <w:r>
              <w:rPr>
                <w:rFonts w:hint="eastAsia" w:ascii="宋体" w:hAnsi="宋体" w:eastAsia="宋体" w:cs="宋体"/>
                <w:color w:val="auto"/>
                <w:spacing w:val="2"/>
                <w:sz w:val="21"/>
                <w:szCs w:val="21"/>
                <w:highlight w:val="none"/>
              </w:rPr>
              <w:t>。</w:t>
            </w:r>
          </w:p>
        </w:tc>
      </w:tr>
    </w:tbl>
    <w:p w14:paraId="2AE01EAF">
      <w:pPr>
        <w:rPr>
          <w:rFonts w:hint="eastAsia" w:ascii="宋体" w:hAnsi="宋体" w:eastAsia="宋体" w:cs="宋体"/>
          <w:color w:val="auto"/>
          <w:sz w:val="21"/>
          <w:szCs w:val="21"/>
          <w:highlight w:val="none"/>
        </w:rPr>
        <w:sectPr>
          <w:headerReference r:id="rId33" w:type="default"/>
          <w:footerReference r:id="rId34" w:type="default"/>
          <w:pgSz w:w="11907" w:h="16840"/>
          <w:pgMar w:top="1165" w:right="1301" w:bottom="1333" w:left="1299" w:header="883" w:footer="1173" w:gutter="0"/>
          <w:cols w:space="720" w:num="1"/>
        </w:sectPr>
      </w:pPr>
    </w:p>
    <w:p w14:paraId="03B32A97">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32"/>
          <w:szCs w:val="32"/>
          <w:highlight w:val="none"/>
        </w:rPr>
      </w:pPr>
      <w:bookmarkStart w:id="1717" w:name="_Toc28935"/>
      <w:bookmarkStart w:id="1718" w:name="_Toc21888"/>
      <w:bookmarkStart w:id="1719" w:name="_Toc206"/>
      <w:bookmarkStart w:id="1720" w:name="_Toc1829"/>
      <w:r>
        <w:rPr>
          <w:rFonts w:hint="default" w:ascii="Times New Roman" w:hAnsi="Times New Roman" w:eastAsia="黑体" w:cs="Times New Roman"/>
          <w:b w:val="0"/>
          <w:color w:val="auto"/>
          <w:sz w:val="32"/>
          <w:szCs w:val="32"/>
          <w:highlight w:val="none"/>
        </w:rPr>
        <w:t>项目专用合同条款</w:t>
      </w:r>
      <w:bookmarkEnd w:id="1716"/>
      <w:bookmarkEnd w:id="1717"/>
      <w:r>
        <w:rPr>
          <w:rStyle w:val="47"/>
          <w:rFonts w:hint="default" w:ascii="Times New Roman" w:hAnsi="Times New Roman" w:eastAsia="黑体" w:cs="Times New Roman"/>
          <w:b w:val="0"/>
          <w:color w:val="auto"/>
          <w:sz w:val="32"/>
          <w:szCs w:val="32"/>
          <w:highlight w:val="none"/>
        </w:rPr>
        <w:footnoteReference w:id="48"/>
      </w:r>
      <w:bookmarkEnd w:id="1718"/>
      <w:bookmarkEnd w:id="1719"/>
      <w:bookmarkEnd w:id="1720"/>
    </w:p>
    <w:p w14:paraId="369530D1">
      <w:pPr>
        <w:pageBreakBefore w:val="0"/>
        <w:kinsoku/>
        <w:wordWrap w:val="0"/>
        <w:bidi w:val="0"/>
        <w:rPr>
          <w:rFonts w:hint="default" w:ascii="Times New Roman" w:hAnsi="Times New Roman" w:cs="Times New Roman"/>
          <w:color w:val="auto"/>
          <w:highlight w:val="none"/>
        </w:rPr>
      </w:pPr>
    </w:p>
    <w:p w14:paraId="043D0EB4">
      <w:pPr>
        <w:pStyle w:val="17"/>
        <w:pageBreakBefore w:val="0"/>
        <w:kinsoku/>
        <w:wordWrap w:val="0"/>
        <w:bidi w:val="0"/>
        <w:snapToGrid w:val="0"/>
        <w:spacing w:after="0" w:line="400" w:lineRule="atLeast"/>
        <w:ind w:left="660" w:leftChars="0" w:hanging="660" w:hangingChars="275"/>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本部分所列的项目专用合同条款是对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中规定必须在项目专用合同条款中明确的内容的集中，招标人编制的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不限于本部分所列内容。</w:t>
      </w:r>
    </w:p>
    <w:p w14:paraId="3826B93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21" w:name="_Toc22768"/>
      <w:bookmarkStart w:id="1722" w:name="_Toc234833223"/>
      <w:bookmarkStart w:id="1723" w:name="_Toc23600"/>
      <w:bookmarkStart w:id="1724" w:name="_Toc3467"/>
      <w:bookmarkStart w:id="1725" w:name="_Toc5802"/>
      <w:r>
        <w:rPr>
          <w:rFonts w:hint="default" w:ascii="Times New Roman" w:hAnsi="Times New Roman" w:eastAsia="黑体" w:cs="Times New Roman"/>
          <w:b w:val="0"/>
          <w:color w:val="auto"/>
          <w:sz w:val="24"/>
          <w:szCs w:val="24"/>
          <w:highlight w:val="none"/>
        </w:rPr>
        <w:t>4.1 承包人的一般义务</w:t>
      </w:r>
      <w:bookmarkEnd w:id="1721"/>
      <w:bookmarkEnd w:id="1722"/>
      <w:bookmarkEnd w:id="1723"/>
      <w:bookmarkEnd w:id="1724"/>
      <w:bookmarkEnd w:id="1725"/>
    </w:p>
    <w:p w14:paraId="41840D4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71CCA05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）承包人应履行的其他义务：</w:t>
      </w:r>
      <w:r>
        <w:rPr>
          <w:rFonts w:hint="default" w:ascii="Times New Roman" w:hAnsi="Times New Roman" w:cs="Times New Roman"/>
          <w:color w:val="auto"/>
          <w:sz w:val="24"/>
          <w:highlight w:val="none"/>
          <w:u w:val="single"/>
        </w:rPr>
        <w:t xml:space="preserve">                       </w:t>
      </w:r>
    </w:p>
    <w:p w14:paraId="03E44DD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26" w:name="_Toc18399"/>
      <w:bookmarkStart w:id="1727" w:name="_Toc21641"/>
      <w:bookmarkStart w:id="1728" w:name="_Toc12950"/>
      <w:bookmarkStart w:id="1729" w:name="_Toc121"/>
      <w:bookmarkStart w:id="1730" w:name="_Toc234833224"/>
      <w:r>
        <w:rPr>
          <w:rFonts w:hint="default" w:ascii="Times New Roman" w:hAnsi="Times New Roman" w:eastAsia="黑体" w:cs="Times New Roman"/>
          <w:b w:val="0"/>
          <w:color w:val="auto"/>
          <w:sz w:val="24"/>
          <w:szCs w:val="24"/>
          <w:highlight w:val="none"/>
        </w:rPr>
        <w:t>4.</w:t>
      </w:r>
      <w:r>
        <w:rPr>
          <w:rFonts w:hint="eastAsia" w:cs="Times New Roman"/>
          <w:b w:val="0"/>
          <w:color w:val="auto"/>
          <w:sz w:val="24"/>
          <w:szCs w:val="24"/>
          <w:highlight w:val="none"/>
          <w:lang w:val="en-US" w:eastAsia="zh-CN"/>
        </w:rPr>
        <w:t>6</w:t>
      </w:r>
      <w:r>
        <w:rPr>
          <w:rFonts w:hint="default" w:ascii="Times New Roman" w:hAnsi="Times New Roman" w:eastAsia="黑体" w:cs="Times New Roman"/>
          <w:b w:val="0"/>
          <w:color w:val="auto"/>
          <w:sz w:val="24"/>
          <w:szCs w:val="24"/>
          <w:highlight w:val="none"/>
        </w:rPr>
        <w:t xml:space="preserve"> 承包人人员的管理</w:t>
      </w:r>
      <w:bookmarkEnd w:id="1726"/>
    </w:p>
    <w:p w14:paraId="68BD01D1">
      <w:pPr>
        <w:pageBreakBefore w:val="0"/>
        <w:kinsoku/>
        <w:wordWrap/>
        <w:bidi w:val="0"/>
        <w:spacing w:before="240" w:after="240" w:line="420" w:lineRule="exact"/>
        <w:ind w:firstLine="480" w:firstLineChars="200"/>
        <w:rPr>
          <w:rFonts w:hint="default" w:ascii="Times New Roman" w:hAnsi="Times New Roman" w:eastAsia="宋体" w:cs="Times New Roman"/>
          <w:b w:val="0"/>
          <w:color w:val="auto"/>
          <w:sz w:val="24"/>
          <w:szCs w:val="24"/>
          <w:highlight w:val="none"/>
        </w:rPr>
      </w:pPr>
      <w:r>
        <w:rPr>
          <w:rFonts w:hint="default" w:ascii="Times New Roman" w:hAnsi="Times New Roman" w:cs="Times New Roman"/>
          <w:color w:val="auto"/>
          <w:sz w:val="24"/>
          <w:highlight w:val="none"/>
        </w:rPr>
        <w:t>4.</w:t>
      </w:r>
      <w:r>
        <w:rPr>
          <w:rFonts w:hint="default"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default" w:cs="Times New Roman"/>
          <w:color w:val="auto"/>
          <w:sz w:val="24"/>
          <w:highlight w:val="none"/>
          <w:lang w:val="en-US" w:eastAsia="zh-CN"/>
        </w:rPr>
        <w:t>6</w:t>
      </w:r>
      <w:r>
        <w:rPr>
          <w:rFonts w:hint="default" w:ascii="Times New Roman" w:hAnsi="Times New Roman" w:cs="Times New Roman"/>
          <w:color w:val="auto"/>
          <w:sz w:val="24"/>
          <w:highlight w:val="none"/>
        </w:rPr>
        <w:t xml:space="preserve"> </w:t>
      </w:r>
      <w:r>
        <w:rPr>
          <w:rFonts w:hint="eastAsia" w:cs="Times New Roman"/>
          <w:color w:val="auto"/>
          <w:sz w:val="24"/>
          <w:highlight w:val="none"/>
          <w:lang w:val="en-US" w:eastAsia="zh-CN"/>
        </w:rPr>
        <w:t>承包人（总承包单位和分包单位）</w:t>
      </w:r>
      <w:r>
        <w:rPr>
          <w:rFonts w:hint="default" w:ascii="Times New Roman" w:hAnsi="Times New Roman" w:cs="Times New Roman"/>
          <w:color w:val="auto"/>
          <w:sz w:val="24"/>
          <w:highlight w:val="none"/>
        </w:rPr>
        <w:t>应严格执行辽宁省交通运输厅关于印发《辽宁省公路工程施工现场主要人员履约监督管理办法》的通知</w:t>
      </w:r>
      <w:r>
        <w:rPr>
          <w:rFonts w:hint="eastAsia" w:cs="Times New Roman"/>
          <w:color w:val="auto"/>
          <w:sz w:val="24"/>
          <w:highlight w:val="none"/>
          <w:lang w:eastAsia="zh-CN"/>
        </w:rPr>
        <w:t>（辽交公路规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2025</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3号）</w:t>
      </w:r>
      <w:r>
        <w:rPr>
          <w:rFonts w:hint="eastAsia" w:cs="Times New Roman"/>
          <w:color w:val="auto"/>
          <w:sz w:val="24"/>
          <w:highlight w:val="none"/>
          <w:lang w:val="en-US" w:eastAsia="zh-CN"/>
        </w:rPr>
        <w:t>中关于主要人员履约考核管理的规定。</w:t>
      </w:r>
    </w:p>
    <w:p w14:paraId="70E7173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1" w:name="_Toc9683"/>
      <w:r>
        <w:rPr>
          <w:rFonts w:hint="default" w:ascii="Times New Roman" w:hAnsi="Times New Roman" w:eastAsia="黑体" w:cs="Times New Roman"/>
          <w:b w:val="0"/>
          <w:color w:val="auto"/>
          <w:sz w:val="24"/>
          <w:szCs w:val="24"/>
          <w:highlight w:val="none"/>
        </w:rPr>
        <w:t>4.11 不利物质条件</w:t>
      </w:r>
      <w:bookmarkEnd w:id="1727"/>
      <w:bookmarkEnd w:id="1728"/>
      <w:bookmarkEnd w:id="1729"/>
      <w:bookmarkEnd w:id="1730"/>
      <w:bookmarkEnd w:id="1731"/>
    </w:p>
    <w:p w14:paraId="383C36D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4.11.1 不利物质条件的范围：</w:t>
      </w:r>
      <w:r>
        <w:rPr>
          <w:rFonts w:hint="default" w:ascii="Times New Roman" w:hAnsi="Times New Roman" w:cs="Times New Roman"/>
          <w:color w:val="auto"/>
          <w:sz w:val="24"/>
          <w:highlight w:val="none"/>
          <w:u w:val="single"/>
        </w:rPr>
        <w:t xml:space="preserve">                       </w:t>
      </w:r>
    </w:p>
    <w:p w14:paraId="51F62B9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2" w:name="_Toc234833225"/>
      <w:bookmarkStart w:id="1733" w:name="_Toc9469"/>
      <w:bookmarkStart w:id="1734" w:name="_Toc6510"/>
      <w:bookmarkStart w:id="1735" w:name="_Toc1967"/>
      <w:bookmarkStart w:id="1736" w:name="_Toc18605"/>
      <w:r>
        <w:rPr>
          <w:rFonts w:hint="default" w:ascii="Times New Roman" w:hAnsi="Times New Roman" w:eastAsia="黑体" w:cs="Times New Roman"/>
          <w:b w:val="0"/>
          <w:color w:val="auto"/>
          <w:sz w:val="24"/>
          <w:szCs w:val="24"/>
          <w:highlight w:val="none"/>
        </w:rPr>
        <w:t>10.1 合同进度计划</w:t>
      </w:r>
      <w:bookmarkEnd w:id="1732"/>
      <w:bookmarkEnd w:id="1733"/>
      <w:bookmarkEnd w:id="1734"/>
      <w:bookmarkEnd w:id="1735"/>
      <w:bookmarkEnd w:id="1736"/>
    </w:p>
    <w:p w14:paraId="3EFFFE73">
      <w:pPr>
        <w:pageBreakBefore w:val="0"/>
        <w:kinsoku/>
        <w:wordWrap w:val="0"/>
        <w:bidi w:val="0"/>
        <w:spacing w:line="38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承包人编制施工方案的内容：</w:t>
      </w:r>
      <w:r>
        <w:rPr>
          <w:rFonts w:hint="default" w:ascii="Times New Roman" w:hAnsi="Times New Roman" w:cs="Times New Roman"/>
          <w:color w:val="auto"/>
          <w:sz w:val="24"/>
          <w:highlight w:val="none"/>
          <w:u w:val="single"/>
        </w:rPr>
        <w:t xml:space="preserve">              </w:t>
      </w:r>
    </w:p>
    <w:p w14:paraId="3787ABF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7" w:name="_Toc12199"/>
      <w:bookmarkStart w:id="1738" w:name="_Toc19055"/>
      <w:bookmarkStart w:id="1739" w:name="_Toc5467"/>
      <w:bookmarkStart w:id="1740" w:name="_Toc24011"/>
      <w:bookmarkStart w:id="1741" w:name="_Toc234833226"/>
      <w:r>
        <w:rPr>
          <w:rFonts w:hint="default" w:ascii="Times New Roman" w:hAnsi="Times New Roman" w:eastAsia="黑体" w:cs="Times New Roman"/>
          <w:b w:val="0"/>
          <w:color w:val="auto"/>
          <w:sz w:val="24"/>
          <w:szCs w:val="24"/>
          <w:highlight w:val="none"/>
        </w:rPr>
        <w:t>11.4异常恶劣的气候条件</w:t>
      </w:r>
      <w:bookmarkEnd w:id="1737"/>
      <w:bookmarkEnd w:id="1738"/>
      <w:bookmarkEnd w:id="1739"/>
      <w:bookmarkEnd w:id="1740"/>
      <w:bookmarkEnd w:id="1741"/>
    </w:p>
    <w:p w14:paraId="77936B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异常恶劣的气候条件的范围：</w:t>
      </w:r>
      <w:r>
        <w:rPr>
          <w:rFonts w:hint="default" w:ascii="Times New Roman" w:hAnsi="Times New Roman" w:cs="Times New Roman"/>
          <w:color w:val="auto"/>
          <w:sz w:val="24"/>
          <w:highlight w:val="none"/>
          <w:u w:val="single"/>
        </w:rPr>
        <w:t xml:space="preserve">              </w:t>
      </w:r>
    </w:p>
    <w:p w14:paraId="5E53134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42" w:name="_Toc9009"/>
      <w:bookmarkStart w:id="1743" w:name="_Toc3471"/>
      <w:bookmarkStart w:id="1744" w:name="_Toc234833227"/>
      <w:bookmarkStart w:id="1745" w:name="_Toc27699"/>
      <w:bookmarkStart w:id="1746" w:name="_Toc3031"/>
      <w:r>
        <w:rPr>
          <w:rFonts w:hint="default" w:ascii="Times New Roman" w:hAnsi="Times New Roman" w:eastAsia="黑体" w:cs="Times New Roman"/>
          <w:b w:val="0"/>
          <w:color w:val="auto"/>
          <w:sz w:val="24"/>
          <w:szCs w:val="24"/>
          <w:highlight w:val="none"/>
        </w:rPr>
        <w:t>12.1 承包人暂停施工的责任</w:t>
      </w:r>
      <w:bookmarkEnd w:id="1742"/>
      <w:bookmarkEnd w:id="1743"/>
      <w:bookmarkEnd w:id="1744"/>
      <w:bookmarkEnd w:id="1745"/>
      <w:bookmarkEnd w:id="1746"/>
    </w:p>
    <w:p w14:paraId="0A8D290F">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12.1 （6）由承包人承担的其他暂停施工：</w:t>
      </w:r>
      <w:r>
        <w:rPr>
          <w:rFonts w:hint="default" w:ascii="Times New Roman" w:hAnsi="Times New Roman" w:cs="Times New Roman"/>
          <w:color w:val="auto"/>
          <w:sz w:val="24"/>
          <w:highlight w:val="none"/>
          <w:u w:val="single"/>
        </w:rPr>
        <w:t xml:space="preserve">                       </w:t>
      </w:r>
    </w:p>
    <w:p w14:paraId="7812DC6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lang w:eastAsia="zh-CN"/>
        </w:rPr>
      </w:pPr>
      <w:bookmarkStart w:id="1747" w:name="_Toc18562"/>
      <w:bookmarkStart w:id="1748" w:name="_Toc30476"/>
      <w:bookmarkStart w:id="1749" w:name="_Toc6894"/>
      <w:bookmarkStart w:id="1750" w:name="_Toc31576"/>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7</w:t>
      </w:r>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 xml:space="preserve"> 计量</w:t>
      </w:r>
      <w:bookmarkEnd w:id="1747"/>
      <w:bookmarkEnd w:id="1748"/>
      <w:bookmarkEnd w:id="1749"/>
      <w:bookmarkEnd w:id="1750"/>
    </w:p>
    <w:p w14:paraId="51697B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17.1.5 本项目工程量清单中总额价子目的支付原则和支付进度：</w:t>
      </w:r>
      <w:r>
        <w:rPr>
          <w:rFonts w:hint="default" w:ascii="Times New Roman" w:hAnsi="Times New Roman" w:cs="Times New Roman"/>
          <w:color w:val="auto"/>
          <w:sz w:val="24"/>
          <w:highlight w:val="none"/>
          <w:u w:val="single"/>
        </w:rPr>
        <w:t xml:space="preserve">            </w:t>
      </w:r>
    </w:p>
    <w:p w14:paraId="4C25053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51" w:name="_Toc6486"/>
      <w:bookmarkStart w:id="1752" w:name="_Toc30430"/>
      <w:bookmarkStart w:id="1753" w:name="_Toc12223"/>
      <w:bookmarkStart w:id="1754" w:name="_Toc16941"/>
      <w:bookmarkStart w:id="1755" w:name="_Toc234833228"/>
      <w:r>
        <w:rPr>
          <w:rFonts w:hint="default" w:ascii="Times New Roman" w:hAnsi="Times New Roman" w:eastAsia="黑体" w:cs="Times New Roman"/>
          <w:b w:val="0"/>
          <w:color w:val="auto"/>
          <w:sz w:val="24"/>
          <w:szCs w:val="24"/>
          <w:highlight w:val="none"/>
        </w:rPr>
        <w:t>17.3 工程进度付款</w:t>
      </w:r>
      <w:bookmarkEnd w:id="1751"/>
      <w:bookmarkEnd w:id="1752"/>
      <w:bookmarkEnd w:id="1753"/>
      <w:bookmarkEnd w:id="1754"/>
    </w:p>
    <w:p w14:paraId="46B297AF">
      <w:pPr>
        <w:pageBreakBefore w:val="0"/>
        <w:kinsoku/>
        <w:wordWrap w:val="0"/>
        <w:bidi w:val="0"/>
        <w:spacing w:line="420" w:lineRule="atLeast"/>
        <w:ind w:firstLine="470" w:firstLineChars="196"/>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17.3.5 农民工工资保证金的缴存时间：</w:t>
      </w:r>
      <w:r>
        <w:rPr>
          <w:rFonts w:hint="default" w:ascii="Times New Roman" w:hAnsi="Times New Roman" w:cs="Times New Roman"/>
          <w:color w:val="auto"/>
          <w:sz w:val="24"/>
          <w:highlight w:val="none"/>
          <w:u w:val="single"/>
        </w:rPr>
        <w:t xml:space="preserve">                       </w:t>
      </w:r>
    </w:p>
    <w:p w14:paraId="37356351">
      <w:pPr>
        <w:pageBreakBefore w:val="0"/>
        <w:kinsoku/>
        <w:wordWrap w:val="0"/>
        <w:bidi w:val="0"/>
        <w:spacing w:line="42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农民工工资保证金的缴存金额：</w:t>
      </w:r>
      <w:r>
        <w:rPr>
          <w:rFonts w:hint="default" w:ascii="Times New Roman" w:hAnsi="Times New Roman" w:cs="Times New Roman"/>
          <w:color w:val="auto"/>
          <w:sz w:val="24"/>
          <w:highlight w:val="none"/>
          <w:u w:val="single"/>
        </w:rPr>
        <w:t xml:space="preserve">                       </w:t>
      </w:r>
    </w:p>
    <w:p w14:paraId="695E7595">
      <w:pPr>
        <w:pageBreakBefore w:val="0"/>
        <w:kinsoku/>
        <w:wordWrap w:val="0"/>
        <w:bidi w:val="0"/>
        <w:spacing w:line="420" w:lineRule="atLeast"/>
        <w:ind w:firstLine="470" w:firstLineChars="196"/>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农民工工资保证金的扣留条件：</w:t>
      </w:r>
      <w:r>
        <w:rPr>
          <w:rFonts w:hint="default" w:ascii="Times New Roman" w:hAnsi="Times New Roman" w:cs="Times New Roman"/>
          <w:color w:val="auto"/>
          <w:sz w:val="24"/>
          <w:highlight w:val="none"/>
          <w:u w:val="single"/>
        </w:rPr>
        <w:t xml:space="preserve">                       </w:t>
      </w:r>
    </w:p>
    <w:p w14:paraId="2333F159">
      <w:pPr>
        <w:pageBreakBefore w:val="0"/>
        <w:widowControl/>
        <w:kinsoku/>
        <w:wordWrap w:val="0"/>
        <w:bidi w:val="0"/>
        <w:spacing w:line="420" w:lineRule="atLeast"/>
        <w:ind w:firstLine="480" w:firstLineChars="200"/>
        <w:rPr>
          <w:rFonts w:hint="default" w:ascii="Times New Roman" w:hAnsi="Times New Roman" w:eastAsia="黑体" w:cs="Times New Roman"/>
          <w:b/>
          <w:color w:val="auto"/>
          <w:sz w:val="24"/>
          <w:highlight w:val="none"/>
        </w:rPr>
      </w:pPr>
      <w:r>
        <w:rPr>
          <w:rFonts w:hint="default" w:ascii="Times New Roman" w:hAnsi="Times New Roman" w:cs="Times New Roman"/>
          <w:color w:val="auto"/>
          <w:sz w:val="24"/>
          <w:highlight w:val="none"/>
        </w:rPr>
        <w:t>农民工工资保证金的返还时间：</w:t>
      </w:r>
      <w:r>
        <w:rPr>
          <w:rFonts w:hint="default" w:ascii="Times New Roman" w:hAnsi="Times New Roman" w:cs="Times New Roman"/>
          <w:color w:val="auto"/>
          <w:sz w:val="24"/>
          <w:highlight w:val="none"/>
          <w:u w:val="single"/>
        </w:rPr>
        <w:t xml:space="preserve">                       </w:t>
      </w:r>
    </w:p>
    <w:p w14:paraId="2744F5E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56" w:name="_Toc27005"/>
      <w:bookmarkStart w:id="1757" w:name="_Toc13982"/>
      <w:bookmarkStart w:id="1758" w:name="_Toc22128"/>
      <w:bookmarkStart w:id="1759" w:name="_Toc29939"/>
      <w:r>
        <w:rPr>
          <w:rFonts w:hint="default" w:ascii="Times New Roman" w:hAnsi="Times New Roman" w:eastAsia="黑体" w:cs="Times New Roman"/>
          <w:b w:val="0"/>
          <w:color w:val="auto"/>
          <w:sz w:val="24"/>
          <w:szCs w:val="24"/>
          <w:highlight w:val="none"/>
        </w:rPr>
        <w:t>21.1 不可抗力的确认</w:t>
      </w:r>
      <w:bookmarkEnd w:id="1755"/>
      <w:bookmarkEnd w:id="1756"/>
      <w:bookmarkEnd w:id="1757"/>
      <w:bookmarkEnd w:id="1758"/>
      <w:bookmarkEnd w:id="1759"/>
    </w:p>
    <w:p w14:paraId="5F73BBBE">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21.1.1 （6）不可抗力的其他情形：</w:t>
      </w:r>
      <w:r>
        <w:rPr>
          <w:rFonts w:hint="default" w:ascii="Times New Roman" w:hAnsi="Times New Roman" w:cs="Times New Roman"/>
          <w:color w:val="auto"/>
          <w:sz w:val="24"/>
          <w:highlight w:val="none"/>
          <w:u w:val="single"/>
        </w:rPr>
        <w:t xml:space="preserve">                            </w:t>
      </w:r>
    </w:p>
    <w:p w14:paraId="533B868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60" w:name="_Toc1677"/>
      <w:bookmarkStart w:id="1761" w:name="_Toc527"/>
      <w:bookmarkStart w:id="1762" w:name="_Toc28435"/>
      <w:bookmarkStart w:id="1763" w:name="_Toc234833229"/>
      <w:bookmarkStart w:id="1764" w:name="_Toc21348"/>
      <w:r>
        <w:rPr>
          <w:rFonts w:hint="default" w:ascii="Times New Roman" w:hAnsi="Times New Roman" w:eastAsia="黑体" w:cs="Times New Roman"/>
          <w:b w:val="0"/>
          <w:color w:val="auto"/>
          <w:sz w:val="24"/>
          <w:szCs w:val="24"/>
          <w:highlight w:val="none"/>
        </w:rPr>
        <w:t>22.1 承包人违约</w:t>
      </w:r>
      <w:bookmarkEnd w:id="1760"/>
      <w:bookmarkEnd w:id="1761"/>
      <w:bookmarkEnd w:id="1762"/>
      <w:bookmarkEnd w:id="1763"/>
      <w:bookmarkEnd w:id="1764"/>
    </w:p>
    <w:p w14:paraId="4950C786">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22.1.2 当承包人发生第22.1.1项约定的违约情况时，发包人有权向承包人课以违约金，具体约定如下：</w:t>
      </w:r>
      <w:r>
        <w:rPr>
          <w:rFonts w:hint="default" w:ascii="Times New Roman" w:hAnsi="Times New Roman" w:cs="Times New Roman"/>
          <w:color w:val="auto"/>
          <w:sz w:val="24"/>
          <w:highlight w:val="none"/>
          <w:u w:val="single"/>
        </w:rPr>
        <w:t xml:space="preserve">                               </w:t>
      </w:r>
    </w:p>
    <w:p w14:paraId="5465AB9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65" w:name="_Toc8006"/>
      <w:bookmarkStart w:id="1766" w:name="_Toc10655"/>
      <w:bookmarkStart w:id="1767" w:name="_Toc27242"/>
      <w:bookmarkStart w:id="1768" w:name="_Toc29318"/>
      <w:r>
        <w:rPr>
          <w:rFonts w:hint="default" w:ascii="Times New Roman" w:hAnsi="Times New Roman" w:eastAsia="黑体" w:cs="Times New Roman"/>
          <w:b w:val="0"/>
          <w:color w:val="auto"/>
          <w:sz w:val="24"/>
          <w:szCs w:val="24"/>
          <w:highlight w:val="none"/>
        </w:rPr>
        <w:t>22.2 发包人违约</w:t>
      </w:r>
      <w:bookmarkEnd w:id="1765"/>
      <w:bookmarkEnd w:id="1766"/>
      <w:bookmarkEnd w:id="1767"/>
      <w:bookmarkEnd w:id="1768"/>
    </w:p>
    <w:p w14:paraId="012F70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22.2.2发包人无正当理由不按时返还履约保证金、质量保证金或农民工工资保证金的，发包人应向承包人支付的违约金如下：</w:t>
      </w:r>
      <w:r>
        <w:rPr>
          <w:rFonts w:hint="default" w:ascii="Times New Roman" w:hAnsi="Times New Roman" w:cs="Times New Roman"/>
          <w:color w:val="auto"/>
          <w:sz w:val="24"/>
          <w:highlight w:val="none"/>
          <w:u w:val="single"/>
        </w:rPr>
        <w:t xml:space="preserve">                               </w:t>
      </w:r>
    </w:p>
    <w:p w14:paraId="04C621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p w14:paraId="38A493C0">
      <w:pPr>
        <w:pageBreakBefore w:val="0"/>
        <w:kinsoku/>
        <w:wordWrap w:val="0"/>
        <w:bidi w:val="0"/>
        <w:spacing w:line="380" w:lineRule="atLeas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4"/>
          <w:highlight w:val="none"/>
        </w:rPr>
        <w:br w:type="page"/>
      </w:r>
    </w:p>
    <w:p w14:paraId="1B04BDD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bookmarkStart w:id="1769" w:name="_Toc234833230"/>
    </w:p>
    <w:p w14:paraId="319043F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32FD07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4575E1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616C9F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F21EA2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251173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FEE4CD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DC671E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12114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F319B1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8EE1027">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1770" w:name="_Toc20691"/>
      <w:bookmarkStart w:id="1771" w:name="_Toc25493"/>
      <w:bookmarkStart w:id="1772" w:name="_Toc26085"/>
      <w:r>
        <w:rPr>
          <w:rFonts w:hint="default" w:ascii="Times New Roman" w:hAnsi="Times New Roman" w:eastAsia="黑体" w:cs="Times New Roman"/>
          <w:b w:val="0"/>
          <w:color w:val="auto"/>
          <w:sz w:val="42"/>
          <w:szCs w:val="42"/>
          <w:highlight w:val="none"/>
        </w:rPr>
        <w:t>第三节  合同附件格式</w:t>
      </w:r>
      <w:bookmarkEnd w:id="1769"/>
      <w:bookmarkEnd w:id="1770"/>
      <w:bookmarkEnd w:id="1771"/>
      <w:bookmarkEnd w:id="1772"/>
    </w:p>
    <w:p w14:paraId="768B4AE8">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0934D755">
      <w:pPr>
        <w:pStyle w:val="2"/>
        <w:pageBreakBefore w:val="0"/>
        <w:kinsoku/>
        <w:wordWrap w:val="0"/>
        <w:bidi w:val="0"/>
        <w:spacing w:before="0" w:after="0" w:line="380" w:lineRule="atLeast"/>
        <w:outlineLvl w:val="0"/>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0"/>
          <w:szCs w:val="20"/>
          <w:highlight w:val="none"/>
        </w:rPr>
        <w:br w:type="page"/>
      </w:r>
      <w:bookmarkStart w:id="1773" w:name="_Toc24087"/>
      <w:bookmarkStart w:id="1774" w:name="_Toc24256"/>
      <w:bookmarkStart w:id="1775" w:name="_Toc17942"/>
      <w:bookmarkStart w:id="1776" w:name="_Toc234833231"/>
      <w:bookmarkStart w:id="1777" w:name="_Toc3639"/>
      <w:r>
        <w:rPr>
          <w:rFonts w:hint="default" w:ascii="Times New Roman" w:hAnsi="Times New Roman" w:eastAsia="黑体" w:cs="Times New Roman"/>
          <w:b w:val="0"/>
          <w:color w:val="auto"/>
          <w:sz w:val="24"/>
          <w:szCs w:val="24"/>
          <w:highlight w:val="none"/>
        </w:rPr>
        <w:t>附件一</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合同协议书</w:t>
      </w:r>
      <w:bookmarkEnd w:id="1773"/>
      <w:bookmarkEnd w:id="1774"/>
      <w:bookmarkEnd w:id="1775"/>
      <w:bookmarkEnd w:id="1776"/>
      <w:bookmarkEnd w:id="1777"/>
    </w:p>
    <w:p w14:paraId="554A0E2C">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合 同 协 议 书</w:t>
      </w:r>
    </w:p>
    <w:p w14:paraId="58FB67E5">
      <w:pPr>
        <w:pageBreakBefore w:val="0"/>
        <w:kinsoku/>
        <w:wordWrap w:val="0"/>
        <w:bidi w:val="0"/>
        <w:spacing w:line="440" w:lineRule="exact"/>
        <w:ind w:firstLine="480" w:firstLineChars="200"/>
        <w:rPr>
          <w:rFonts w:hint="default" w:ascii="Times New Roman" w:hAnsi="Times New Roman" w:cs="Times New Roman"/>
          <w:color w:val="auto"/>
          <w:sz w:val="24"/>
          <w:highlight w:val="none"/>
          <w:u w:val="single"/>
        </w:rPr>
      </w:pPr>
    </w:p>
    <w:p w14:paraId="647425D7">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）为实施</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（项目名称），已接受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）对该项目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标段施工的投标。发包人和承包人共同达成如下协议。</w:t>
      </w:r>
    </w:p>
    <w:p w14:paraId="39F379EB">
      <w:pPr>
        <w:pageBreakBefore w:val="0"/>
        <w:kinsoku/>
        <w:wordWrap w:val="0"/>
        <w:bidi w:val="0"/>
        <w:spacing w:line="440" w:lineRule="exac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标段由K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至K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，长约</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km，公路等级为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，设计速度为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路面，有</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立交</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处；特大桥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m；大中桥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m；隧道</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m以及其他构造物工程等。</w:t>
      </w:r>
    </w:p>
    <w:p w14:paraId="6B3D5790">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下列文件应视为构成合同文件的组成部分：</w:t>
      </w:r>
    </w:p>
    <w:p w14:paraId="58A171D6">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（1）本协议书及各种合同附件（含评标期间和合同谈判过程中的澄清文件和补充资料）；</w:t>
      </w:r>
    </w:p>
    <w:p w14:paraId="0815A783">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（2）中标通知书；</w:t>
      </w:r>
    </w:p>
    <w:p w14:paraId="2F7700DF">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（3）投标函及投标函附录；</w:t>
      </w:r>
    </w:p>
    <w:p w14:paraId="7D1BFCBD">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（4）项目专用合同条款；</w:t>
      </w:r>
    </w:p>
    <w:p w14:paraId="4ACBD5F1">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（5）公路工程专用合同条款；</w:t>
      </w:r>
    </w:p>
    <w:p w14:paraId="2836DECE">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0AE87A41">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211814DB">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（8）技术规范；</w:t>
      </w:r>
    </w:p>
    <w:p w14:paraId="33FEA214">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（9）图纸；</w:t>
      </w:r>
    </w:p>
    <w:p w14:paraId="5BAB0E0F">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（10）已标价工程量清单；</w:t>
      </w:r>
    </w:p>
    <w:p w14:paraId="78639FBC">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（11）承包人有关人员、设备投入的承诺及投标文件中的施工组织设计；</w:t>
      </w:r>
    </w:p>
    <w:p w14:paraId="5CE5BCB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（12）其他合同文件。</w:t>
      </w:r>
    </w:p>
    <w:p w14:paraId="49D37493">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上述合同文件互相补充和解释。如果合同文件之间存在矛盾或不一致之处，以上述文件的排列顺序在先者为准。</w:t>
      </w:r>
    </w:p>
    <w:p w14:paraId="08F76F5D">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根据工程量清单所列的预计数量和单价或总额价计算的签约合同价：人民币（大写）________元（¥________）。</w:t>
      </w:r>
    </w:p>
    <w:p w14:paraId="1A8B818C">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4. 承包人项目经理：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。承包人项目总工：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17C63979">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工程质量符合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标准。工程安全目标：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1767A123">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承包人承诺按合同约定承担工程的实施、完成及缺陷修复。</w:t>
      </w:r>
    </w:p>
    <w:p w14:paraId="46D3F569">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发包人承诺按合同约定的条件、时间和方式向承包人支付合同价款。</w:t>
      </w:r>
    </w:p>
    <w:p w14:paraId="79F5C55D">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承包人应按照监理人指示开工，工期为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1DE6EA5E">
      <w:pPr>
        <w:pageBreakBefore w:val="0"/>
        <w:kinsoku/>
        <w:wordWrap w:val="0"/>
        <w:bidi w:val="0"/>
        <w:spacing w:line="440" w:lineRule="exac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 本协议书在承包人提供履约保证金后，由双方法定代表人或其委托代理人签署并加盖单位章后生效。全部工程完工后经交工验收合格、缺陷责任期满签发缺陷责任终止证书后失效。</w:t>
      </w:r>
    </w:p>
    <w:p w14:paraId="139B7EC1">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 本协议书正本二份、副本____份，合同双方各执正本一份，副本____份，当正本与副本的内容不一致时，以正本为准。</w:t>
      </w:r>
    </w:p>
    <w:p w14:paraId="2F8313FE">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合同未尽事宜，双方另行签订补充协议。补充协议是合同的组成部分。</w:t>
      </w:r>
    </w:p>
    <w:p w14:paraId="7C282A05">
      <w:pPr>
        <w:pageBreakBefore w:val="0"/>
        <w:kinsoku/>
        <w:wordWrap w:val="0"/>
        <w:bidi w:val="0"/>
        <w:spacing w:line="440" w:lineRule="exact"/>
        <w:rPr>
          <w:rFonts w:hint="default" w:ascii="Times New Roman" w:hAnsi="Times New Roman" w:cs="Times New Roman"/>
          <w:color w:val="auto"/>
          <w:sz w:val="24"/>
          <w:highlight w:val="none"/>
        </w:rPr>
      </w:pPr>
    </w:p>
    <w:p w14:paraId="43C9A3E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71D17E18">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70775595">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538CB053">
      <w:pPr>
        <w:pageBreakBefore w:val="0"/>
        <w:kinsoku/>
        <w:wordWrap w:val="0"/>
        <w:bidi w:val="0"/>
        <w:spacing w:line="440" w:lineRule="exact"/>
        <w:rPr>
          <w:rFonts w:hint="default" w:ascii="Times New Roman" w:hAnsi="Times New Roman" w:cs="Times New Roman"/>
          <w:color w:val="auto"/>
          <w:sz w:val="24"/>
          <w:highlight w:val="none"/>
        </w:rPr>
      </w:pPr>
    </w:p>
    <w:p w14:paraId="0E1C7913">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778" w:name="_Toc5419"/>
      <w:bookmarkStart w:id="1779" w:name="_Toc7242"/>
      <w:bookmarkStart w:id="1780" w:name="_Toc234833232"/>
      <w:bookmarkStart w:id="1781" w:name="_Toc22527"/>
      <w:bookmarkStart w:id="1782" w:name="_Toc6478"/>
      <w:r>
        <w:rPr>
          <w:rFonts w:hint="default" w:ascii="Times New Roman" w:hAnsi="Times New Roman" w:eastAsia="黑体" w:cs="Times New Roman"/>
          <w:b w:val="0"/>
          <w:color w:val="auto"/>
          <w:sz w:val="24"/>
          <w:szCs w:val="24"/>
          <w:highlight w:val="none"/>
        </w:rPr>
        <w:t>附件二</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廉政合同</w:t>
      </w:r>
      <w:bookmarkEnd w:id="1778"/>
      <w:bookmarkEnd w:id="1779"/>
      <w:bookmarkEnd w:id="1780"/>
      <w:bookmarkEnd w:id="1781"/>
      <w:bookmarkEnd w:id="1782"/>
    </w:p>
    <w:p w14:paraId="1CF6C2A9">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廉 政 合 同</w:t>
      </w:r>
    </w:p>
    <w:p w14:paraId="18EBE8D8">
      <w:pPr>
        <w:pageBreakBefore w:val="0"/>
        <w:kinsoku/>
        <w:wordWrap w:val="0"/>
        <w:bidi w:val="0"/>
        <w:spacing w:line="400" w:lineRule="atLeast"/>
        <w:rPr>
          <w:rFonts w:hint="default" w:ascii="Times New Roman" w:hAnsi="Times New Roman" w:eastAsia="黑体" w:cs="Times New Roman"/>
          <w:b/>
          <w:color w:val="auto"/>
          <w:spacing w:val="30"/>
          <w:sz w:val="24"/>
          <w:highlight w:val="none"/>
        </w:rPr>
      </w:pPr>
    </w:p>
    <w:p w14:paraId="3EF51E3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（项目名称）的项目法人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（项目法人名称，以下简称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标段的施工单位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（施工单位名称，以下简称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），特订立如下合同。</w:t>
      </w:r>
    </w:p>
    <w:p w14:paraId="03161376">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3" w:name="_Toc16895"/>
      <w:r>
        <w:rPr>
          <w:rFonts w:hint="default" w:ascii="Times New Roman" w:hAnsi="Times New Roman" w:eastAsia="黑体" w:cs="Times New Roman"/>
          <w:color w:val="auto"/>
          <w:sz w:val="24"/>
          <w:highlight w:val="none"/>
        </w:rPr>
        <w:t>1. 发包人和承包人双方的权利和义务</w:t>
      </w:r>
      <w:bookmarkEnd w:id="1783"/>
    </w:p>
    <w:p w14:paraId="4F20916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（1）严格遵守党的政策规定和国家有关法律法规及交通运输部的有关规定。</w:t>
      </w:r>
    </w:p>
    <w:p w14:paraId="1EF3CB3C">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（2）严格执行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标段施工合同文件，自觉按合同办事。</w:t>
      </w:r>
    </w:p>
    <w:p w14:paraId="50ED658E">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（3）双方的业务活动坚持公开、公正、诚信、透明的原则（法律认定的商业秘密和合同文件另有规定除外），不得损害国家和集体利益，不得违反工程建设管理规章制度。</w:t>
      </w:r>
    </w:p>
    <w:p w14:paraId="2177E6E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（4）建立健全廉政制度，开展廉政教育，设立廉政告示牌，公布举报电话，监督并认真查处违法违纪行为。</w:t>
      </w:r>
    </w:p>
    <w:p w14:paraId="2A9124CB">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（5）发现对方在业务活动中有违反廉政规定的行为，有及时提醒对方纠正的权利和义务。</w:t>
      </w:r>
    </w:p>
    <w:p w14:paraId="07B9EBC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（6）发现对方严重违反本合同义务条款的行为，有向其上级有关部门举报、建议给予处理并要求告知处理结果的权利。</w:t>
      </w:r>
    </w:p>
    <w:p w14:paraId="088972E4">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4" w:name="_Toc26938"/>
      <w:r>
        <w:rPr>
          <w:rFonts w:hint="default" w:ascii="Times New Roman" w:hAnsi="Times New Roman" w:eastAsia="黑体" w:cs="Times New Roman"/>
          <w:color w:val="auto"/>
          <w:sz w:val="24"/>
          <w:highlight w:val="none"/>
        </w:rPr>
        <w:t>2. 发包人的义务</w:t>
      </w:r>
      <w:bookmarkEnd w:id="1784"/>
    </w:p>
    <w:p w14:paraId="62737DF6">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（1）发包人及其工作人员不得索要或接受承包人的礼金、有价证券和贵重物品，不得让承包人报销任何应由发包人或发包人工作人员个人支付的费用等。</w:t>
      </w:r>
    </w:p>
    <w:p w14:paraId="78BEAFC4">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（2）发包人工作人员不得参加承包人安排的超标准宴请和娱乐活动；不得接受承包人提供的通信工具、交通工具和高档办公用品等。</w:t>
      </w:r>
    </w:p>
    <w:p w14:paraId="0BB0AD8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（3）发包人及其工作人员不得要求或者接受承包人为其住房装修、婚丧嫁娶活动、配偶子女的工作安排以及出国出境、旅游等提供方便等。</w:t>
      </w:r>
    </w:p>
    <w:p w14:paraId="2851B575">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（4）发包人工作人员及其配偶、子女不得从事与发包人工程有关的材料设备供应、工程分包、劳务等经济活动等。</w:t>
      </w:r>
    </w:p>
    <w:p w14:paraId="4C26E43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（5）发包人及其工作人员不得以任何理由向承包人推荐分包单位或推销材料，不得要求承包人购买合同规定外的材料和设备。</w:t>
      </w:r>
    </w:p>
    <w:p w14:paraId="2BC150BB">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（6）发包人工作人员要秉公办事，不准营私舞弊，不准利用职权从事各种个人有偿中介活动和安排个人施工队伍。</w:t>
      </w:r>
    </w:p>
    <w:p w14:paraId="6D74CAF4">
      <w:pPr>
        <w:pageBreakBefore w:val="0"/>
        <w:kinsoku/>
        <w:wordWrap w:val="0"/>
        <w:bidi w:val="0"/>
        <w:spacing w:line="400" w:lineRule="atLeast"/>
        <w:ind w:firstLine="616" w:firstLineChars="257"/>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3. 承包人的义务</w:t>
      </w:r>
    </w:p>
    <w:p w14:paraId="15AAD95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（1）承包人不得以任何理由向发包人及其工作人员行贿或馈赠礼金、有价证券、贵重礼品。</w:t>
      </w:r>
    </w:p>
    <w:p w14:paraId="30DA41CC">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（2）承包人不得以任何名义为发包人及其工作人员报销应由发包人单位或个人支付的任何费用。</w:t>
      </w:r>
    </w:p>
    <w:p w14:paraId="401518D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（3）承包人不得以任何理由安排发包人工作人员参加超标准宴请及娱乐活动。</w:t>
      </w:r>
    </w:p>
    <w:p w14:paraId="371ADB1C">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（4）承包人不得为发包人单位和个人购置或提供通信工具、交通工具和高档办公用品等。</w:t>
      </w:r>
    </w:p>
    <w:p w14:paraId="12083C30">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5" w:name="_Toc21007"/>
      <w:r>
        <w:rPr>
          <w:rFonts w:hint="default" w:ascii="Times New Roman" w:hAnsi="Times New Roman" w:eastAsia="黑体" w:cs="Times New Roman"/>
          <w:color w:val="auto"/>
          <w:sz w:val="24"/>
          <w:highlight w:val="none"/>
        </w:rPr>
        <w:t>4. 违约责任</w:t>
      </w:r>
      <w:bookmarkEnd w:id="1785"/>
    </w:p>
    <w:p w14:paraId="7581BD0F">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（1）发包人及其工作人员违反本合同第1、2条，按管理权限，依据有关规定给予党纪、政纪或组织处理；涉嫌犯罪的，移交司法机关追究刑事责任；给承包人单位造成经济损失的，应予以赔偿。</w:t>
      </w:r>
    </w:p>
    <w:p w14:paraId="59995806">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4C24063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5.</w:t>
      </w:r>
      <w:r>
        <w:rPr>
          <w:rFonts w:hint="default" w:ascii="Times New Roman" w:hAnsi="Times New Roman" w:cs="Times New Roman"/>
          <w:color w:val="auto"/>
          <w:sz w:val="24"/>
          <w:highlight w:val="none"/>
        </w:rPr>
        <w:t xml:space="preserve"> 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3D043DB7">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6. </w:t>
      </w:r>
      <w:r>
        <w:rPr>
          <w:rFonts w:hint="default" w:ascii="Times New Roman" w:hAnsi="Times New Roman" w:cs="Times New Roman"/>
          <w:color w:val="auto"/>
          <w:sz w:val="24"/>
          <w:highlight w:val="none"/>
        </w:rPr>
        <w:t>本合同有效期为发包人和承包人签署之日起至该工程项目竣工验收后止。</w:t>
      </w:r>
    </w:p>
    <w:p w14:paraId="5FE5014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7. </w:t>
      </w:r>
      <w:r>
        <w:rPr>
          <w:rFonts w:hint="default" w:ascii="Times New Roman" w:hAnsi="Times New Roman" w:cs="Times New Roman"/>
          <w:color w:val="auto"/>
          <w:sz w:val="24"/>
          <w:highlight w:val="none"/>
        </w:rPr>
        <w:t>本合同作为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标段施工合同的附件，与工程施工合同具有同等的法律效力，经合同双方签署后立即生效。</w:t>
      </w:r>
    </w:p>
    <w:p w14:paraId="0B1DA5A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8.</w:t>
      </w:r>
      <w:r>
        <w:rPr>
          <w:rFonts w:hint="default" w:ascii="Times New Roman" w:hAnsi="Times New Roman" w:cs="Times New Roman"/>
          <w:color w:val="auto"/>
          <w:sz w:val="24"/>
          <w:highlight w:val="none"/>
        </w:rPr>
        <w:t xml:space="preserve"> 本合同一式四份，由发包人和承包人各执一份，送交发包人和承包人的监督单位各一份。</w:t>
      </w:r>
    </w:p>
    <w:p w14:paraId="593E528F">
      <w:pPr>
        <w:pageBreakBefore w:val="0"/>
        <w:kinsoku/>
        <w:wordWrap w:val="0"/>
        <w:bidi w:val="0"/>
        <w:spacing w:line="400" w:lineRule="atLeast"/>
        <w:rPr>
          <w:rFonts w:hint="default" w:ascii="Times New Roman" w:hAnsi="Times New Roman" w:cs="Times New Roman"/>
          <w:color w:val="auto"/>
          <w:sz w:val="24"/>
          <w:highlight w:val="none"/>
        </w:rPr>
      </w:pPr>
    </w:p>
    <w:p w14:paraId="617533DF">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3FAE2DF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0F7EFD92">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0CD936AC">
      <w:pPr>
        <w:pageBreakBefore w:val="0"/>
        <w:kinsoku/>
        <w:wordWrap w:val="0"/>
        <w:bidi w:val="0"/>
        <w:spacing w:line="440" w:lineRule="exact"/>
        <w:ind w:firstLine="360" w:firstLineChars="150"/>
        <w:rPr>
          <w:rFonts w:hint="default" w:ascii="Times New Roman" w:hAnsi="Times New Roman" w:cs="Times New Roman"/>
          <w:color w:val="auto"/>
          <w:sz w:val="24"/>
          <w:highlight w:val="none"/>
        </w:rPr>
      </w:pPr>
    </w:p>
    <w:p w14:paraId="5DBEE80E">
      <w:pPr>
        <w:pageBreakBefore w:val="0"/>
        <w:kinsoku/>
        <w:wordWrap w:val="0"/>
        <w:bidi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发包人监督单位：</w:t>
      </w:r>
      <w:r>
        <w:rPr>
          <w:rFonts w:hint="default" w:ascii="Times New Roman" w:hAnsi="Times New Roman" w:cs="Times New Roman"/>
          <w:color w:val="auto"/>
          <w:sz w:val="24"/>
          <w:highlight w:val="none"/>
          <w:u w:val="single"/>
        </w:rPr>
        <w:t>（全称）（盖单位章）</w:t>
      </w:r>
      <w:r>
        <w:rPr>
          <w:rFonts w:hint="default" w:ascii="Times New Roman" w:hAnsi="Times New Roman" w:cs="Times New Roman"/>
          <w:color w:val="auto"/>
          <w:sz w:val="24"/>
          <w:highlight w:val="none"/>
        </w:rPr>
        <w:t xml:space="preserve">     承包人监督单位：</w:t>
      </w:r>
      <w:r>
        <w:rPr>
          <w:rFonts w:hint="default" w:ascii="Times New Roman" w:hAnsi="Times New Roman" w:cs="Times New Roman"/>
          <w:color w:val="auto"/>
          <w:sz w:val="24"/>
          <w:highlight w:val="none"/>
          <w:u w:val="single"/>
        </w:rPr>
        <w:t>（全称）（盖单位章）</w:t>
      </w:r>
    </w:p>
    <w:p w14:paraId="0DF098D0">
      <w:pPr>
        <w:pageBreakBefore w:val="0"/>
        <w:kinsoku/>
        <w:wordWrap w:val="0"/>
        <w:bidi w:val="0"/>
        <w:spacing w:line="400" w:lineRule="atLeast"/>
        <w:rPr>
          <w:rFonts w:hint="default" w:ascii="Times New Roman" w:hAnsi="Times New Roman" w:cs="Times New Roman"/>
          <w:color w:val="auto"/>
          <w:sz w:val="24"/>
          <w:highlight w:val="none"/>
        </w:rPr>
      </w:pPr>
    </w:p>
    <w:p w14:paraId="365284D4">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786" w:name="_Toc1095"/>
      <w:bookmarkStart w:id="1787" w:name="_Toc7071"/>
      <w:bookmarkStart w:id="1788" w:name="_Toc20728"/>
      <w:bookmarkStart w:id="1789" w:name="_Toc29870"/>
      <w:bookmarkStart w:id="1790" w:name="_Toc234833233"/>
      <w:r>
        <w:rPr>
          <w:rFonts w:hint="default" w:ascii="Times New Roman" w:hAnsi="Times New Roman" w:eastAsia="黑体" w:cs="Times New Roman"/>
          <w:b w:val="0"/>
          <w:color w:val="auto"/>
          <w:sz w:val="24"/>
          <w:szCs w:val="24"/>
          <w:highlight w:val="none"/>
        </w:rPr>
        <w:t>附件三</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安全生产合同</w:t>
      </w:r>
      <w:bookmarkEnd w:id="1786"/>
      <w:bookmarkEnd w:id="1787"/>
      <w:bookmarkEnd w:id="1788"/>
      <w:bookmarkEnd w:id="1789"/>
      <w:bookmarkEnd w:id="1790"/>
    </w:p>
    <w:p w14:paraId="19D13936">
      <w:pPr>
        <w:pageBreakBefore w:val="0"/>
        <w:kinsoku/>
        <w:wordWrap w:val="0"/>
        <w:bidi w:val="0"/>
        <w:spacing w:line="39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安全生产合同</w:t>
      </w:r>
    </w:p>
    <w:p w14:paraId="5E547AFC">
      <w:pPr>
        <w:pageBreakBefore w:val="0"/>
        <w:kinsoku/>
        <w:wordWrap w:val="0"/>
        <w:bidi w:val="0"/>
        <w:spacing w:line="390" w:lineRule="atLeast"/>
        <w:rPr>
          <w:rFonts w:hint="default" w:ascii="Times New Roman" w:hAnsi="Times New Roman" w:eastAsia="黑体" w:cs="Times New Roman"/>
          <w:b/>
          <w:color w:val="auto"/>
          <w:sz w:val="24"/>
          <w:highlight w:val="none"/>
        </w:rPr>
      </w:pPr>
    </w:p>
    <w:p w14:paraId="17076550">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标段施工合同的实施过程中创造安全、高效的施工环境，切实搞好本项目的安全管理工作，本项目发包人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）特此签订安全生产合同。</w:t>
      </w:r>
    </w:p>
    <w:p w14:paraId="28E8161D">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1" w:name="_Toc19308"/>
      <w:r>
        <w:rPr>
          <w:rFonts w:hint="default" w:ascii="Times New Roman" w:hAnsi="Times New Roman" w:eastAsia="黑体" w:cs="Times New Roman"/>
          <w:color w:val="auto"/>
          <w:sz w:val="24"/>
          <w:highlight w:val="none"/>
        </w:rPr>
        <w:t>1.发包人职责</w:t>
      </w:r>
      <w:bookmarkEnd w:id="1791"/>
    </w:p>
    <w:p w14:paraId="260DEA28">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（1）严格遵守国家有关安全生产的法律法规，认真执行工程承包合同中的有关安全要求。</w:t>
      </w:r>
    </w:p>
    <w:p w14:paraId="55294507">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（2）按照</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的原则进行安全生产管理，做到生产与安全工作同时计划、布置、检查、总结和评比。</w:t>
      </w:r>
    </w:p>
    <w:p w14:paraId="177770E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（3）重要的安全设施必须坚持与主体工程</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三同时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的原则，即：同时设计、审批，同时施工，同时验收，投入使用。</w:t>
      </w:r>
    </w:p>
    <w:p w14:paraId="5897190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（4）定期召开安全生产调度会，及时传达中央及地方有关安全生产的精神。</w:t>
      </w:r>
    </w:p>
    <w:p w14:paraId="49CE02E6">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（5）组织对承包人施工现场进行安全生产检查，监督承包人及时处理发现的各种安全隐患。</w:t>
      </w:r>
    </w:p>
    <w:p w14:paraId="74448AF1">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2" w:name="_Toc18835"/>
      <w:r>
        <w:rPr>
          <w:rFonts w:hint="default" w:ascii="Times New Roman" w:hAnsi="Times New Roman" w:eastAsia="黑体" w:cs="Times New Roman"/>
          <w:color w:val="auto"/>
          <w:sz w:val="24"/>
          <w:highlight w:val="none"/>
        </w:rPr>
        <w:t>2.承包人职责</w:t>
      </w:r>
      <w:bookmarkEnd w:id="1792"/>
    </w:p>
    <w:p w14:paraId="22D7B832">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33F8BBC6">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60FF688">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57DE624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（4）承包人在任何时候都应采取各种合理的预防措施，防止其员工发生任何违法、违禁、暴力或妨碍治安的行为。</w:t>
      </w:r>
    </w:p>
    <w:p w14:paraId="5AAD974D">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5FEF7C4D">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79FD5033">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（7）操作人员上岗，必须按规定穿戴防护用品。施工负责人和安全检查员应随时检查劳动防护用品的穿戴情况，不按规定穿戴防护用品的人员不得上岗。</w:t>
      </w:r>
    </w:p>
    <w:p w14:paraId="3E4C52BB">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（8）所有施工机具设备和高空作业的设备均应定期检查，并有安全员的签字记录，保证其经常处于完好状态；不合格的机具、设备和劳动保护用品严禁使用。</w:t>
      </w:r>
    </w:p>
    <w:p w14:paraId="43FCB3A9">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（9）施工中采用新技术、新工艺、新设备、新材料时，必须制定相应的安全技术措施，施工现场必须具有相关的安全标志牌。</w:t>
      </w:r>
    </w:p>
    <w:p w14:paraId="7B9F96F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的原则，严肃处理相关责任人。</w:t>
      </w:r>
    </w:p>
    <w:p w14:paraId="7B2B74BF">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（11）安全生产费用按照</w:t>
      </w:r>
      <w:bookmarkStart w:id="1793" w:name="_Toc187470650"/>
      <w:r>
        <w:rPr>
          <w:rFonts w:hint="default" w:ascii="Times New Roman" w:hAnsi="Times New Roman" w:cs="Times New Roman"/>
          <w:color w:val="auto"/>
          <w:sz w:val="24"/>
          <w:highlight w:val="none"/>
        </w:rPr>
        <w:t>《公路水运工程安全生产监督管理办法</w:t>
      </w:r>
      <w:bookmarkEnd w:id="1793"/>
      <w:r>
        <w:rPr>
          <w:rFonts w:hint="default" w:ascii="Times New Roman" w:hAnsi="Times New Roman" w:cs="Times New Roman"/>
          <w:color w:val="auto"/>
          <w:sz w:val="24"/>
          <w:highlight w:val="none"/>
        </w:rPr>
        <w:t>》的相关规定使用和管理。</w:t>
      </w:r>
    </w:p>
    <w:p w14:paraId="7E3D07E0">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4" w:name="_Toc19815"/>
      <w:r>
        <w:rPr>
          <w:rFonts w:hint="default" w:ascii="Times New Roman" w:hAnsi="Times New Roman" w:eastAsia="黑体" w:cs="Times New Roman"/>
          <w:color w:val="auto"/>
          <w:sz w:val="24"/>
          <w:highlight w:val="none"/>
        </w:rPr>
        <w:t>3.违约责任</w:t>
      </w:r>
      <w:bookmarkEnd w:id="1794"/>
    </w:p>
    <w:p w14:paraId="27EE87BB">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如因发包人或承包人违约造成安全事故，将依法追究责任。</w:t>
      </w:r>
    </w:p>
    <w:p w14:paraId="1CCD83A1">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本合同由双方法定代表人或其授权的代理人签署并加盖单位章后生效，全部工程竣工验收后失效。</w:t>
      </w:r>
    </w:p>
    <w:p w14:paraId="56E16B6B">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本合同正本二份、副本____份，合同双方各执正本一份，副本____份，当正本与副本的内容不一致时，以正本为准。</w:t>
      </w:r>
    </w:p>
    <w:p w14:paraId="014AA892">
      <w:pPr>
        <w:pageBreakBefore w:val="0"/>
        <w:kinsoku/>
        <w:wordWrap w:val="0"/>
        <w:bidi w:val="0"/>
        <w:spacing w:line="400" w:lineRule="atLeast"/>
        <w:ind w:firstLine="525"/>
        <w:rPr>
          <w:rFonts w:hint="default" w:ascii="Times New Roman" w:hAnsi="Times New Roman" w:cs="Times New Roman"/>
          <w:color w:val="auto"/>
          <w:sz w:val="24"/>
          <w:highlight w:val="none"/>
        </w:rPr>
      </w:pPr>
    </w:p>
    <w:p w14:paraId="26F3159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1B83DD7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i/>
          <w:color w:val="auto"/>
          <w:sz w:val="24"/>
          <w:highlight w:val="none"/>
        </w:rPr>
        <w:t>（</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2DEF6352">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6AB41FA2">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795" w:name="_Toc14696"/>
      <w:bookmarkStart w:id="1796" w:name="_Toc24497"/>
      <w:bookmarkStart w:id="1797" w:name="_Toc5077"/>
      <w:bookmarkStart w:id="1798" w:name="_Toc30403"/>
      <w:bookmarkStart w:id="1799" w:name="_Toc234833234"/>
      <w:r>
        <w:rPr>
          <w:rFonts w:hint="default" w:ascii="Times New Roman" w:hAnsi="Times New Roman" w:eastAsia="黑体" w:cs="Times New Roman"/>
          <w:b w:val="0"/>
          <w:color w:val="auto"/>
          <w:sz w:val="24"/>
          <w:szCs w:val="24"/>
          <w:highlight w:val="none"/>
        </w:rPr>
        <w:t>附件四</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 xml:space="preserve">其他管理和技术人员最低要求 </w:t>
      </w:r>
      <w:r>
        <w:rPr>
          <w:rFonts w:hint="default" w:ascii="Times New Roman" w:hAnsi="Times New Roman" w:cs="Times New Roman"/>
          <w:color w:val="auto"/>
          <w:kern w:val="2"/>
          <w:sz w:val="24"/>
          <w:szCs w:val="24"/>
          <w:highlight w:val="none"/>
          <w:vertAlign w:val="superscript"/>
        </w:rPr>
        <w:footnoteReference w:id="49"/>
      </w:r>
      <w:bookmarkEnd w:id="1795"/>
      <w:bookmarkEnd w:id="1796"/>
      <w:bookmarkEnd w:id="1797"/>
      <w:bookmarkEnd w:id="1798"/>
      <w:bookmarkEnd w:id="1799"/>
    </w:p>
    <w:p w14:paraId="60812B6D">
      <w:pPr>
        <w:pageBreakBefore w:val="0"/>
        <w:kinsoku/>
        <w:wordWrap w:val="0"/>
        <w:bidi w:val="0"/>
        <w:adjustRightInd w:val="0"/>
        <w:snapToGrid w:val="0"/>
        <w:spacing w:line="400" w:lineRule="atLeast"/>
        <w:rPr>
          <w:rFonts w:hint="default" w:ascii="Times New Roman" w:hAnsi="Times New Roman" w:cs="Times New Roman"/>
          <w:color w:val="auto"/>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61"/>
        <w:gridCol w:w="4282"/>
      </w:tblGrid>
      <w:tr w14:paraId="3B7F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448" w:type="dxa"/>
            <w:noWrap w:val="0"/>
            <w:vAlign w:val="center"/>
          </w:tcPr>
          <w:p w14:paraId="52A2FFA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  员</w:t>
            </w:r>
          </w:p>
        </w:tc>
        <w:tc>
          <w:tcPr>
            <w:tcW w:w="2161" w:type="dxa"/>
            <w:noWrap w:val="0"/>
            <w:vAlign w:val="center"/>
          </w:tcPr>
          <w:p w14:paraId="4FF88BD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  量</w:t>
            </w:r>
          </w:p>
        </w:tc>
        <w:tc>
          <w:tcPr>
            <w:tcW w:w="4282" w:type="dxa"/>
            <w:noWrap w:val="0"/>
            <w:vAlign w:val="center"/>
          </w:tcPr>
          <w:p w14:paraId="34A045D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 格 要 求</w:t>
            </w:r>
          </w:p>
        </w:tc>
      </w:tr>
      <w:tr w14:paraId="1F2A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AE9999A">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F9FED5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549B1CCC">
            <w:pPr>
              <w:pageBreakBefore w:val="0"/>
              <w:kinsoku/>
              <w:wordWrap w:val="0"/>
              <w:bidi w:val="0"/>
              <w:spacing w:line="400" w:lineRule="atLeast"/>
              <w:rPr>
                <w:rFonts w:hint="default" w:ascii="Times New Roman" w:hAnsi="Times New Roman" w:cs="Times New Roman"/>
                <w:color w:val="auto"/>
                <w:sz w:val="24"/>
                <w:highlight w:val="none"/>
              </w:rPr>
            </w:pPr>
          </w:p>
        </w:tc>
      </w:tr>
      <w:tr w14:paraId="2EED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6B9A22E">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045A47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DA7C695">
            <w:pPr>
              <w:pageBreakBefore w:val="0"/>
              <w:kinsoku/>
              <w:wordWrap w:val="0"/>
              <w:bidi w:val="0"/>
              <w:spacing w:line="400" w:lineRule="atLeast"/>
              <w:rPr>
                <w:rFonts w:hint="default" w:ascii="Times New Roman" w:hAnsi="Times New Roman" w:cs="Times New Roman"/>
                <w:color w:val="auto"/>
                <w:sz w:val="24"/>
                <w:highlight w:val="none"/>
              </w:rPr>
            </w:pPr>
          </w:p>
        </w:tc>
      </w:tr>
      <w:tr w14:paraId="77D1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98719A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013CC2E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018C5BB4">
            <w:pPr>
              <w:pageBreakBefore w:val="0"/>
              <w:kinsoku/>
              <w:wordWrap w:val="0"/>
              <w:bidi w:val="0"/>
              <w:spacing w:line="400" w:lineRule="atLeast"/>
              <w:rPr>
                <w:rFonts w:hint="default" w:ascii="Times New Roman" w:hAnsi="Times New Roman" w:cs="Times New Roman"/>
                <w:color w:val="auto"/>
                <w:sz w:val="24"/>
                <w:highlight w:val="none"/>
              </w:rPr>
            </w:pPr>
          </w:p>
        </w:tc>
      </w:tr>
      <w:tr w14:paraId="539F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43CF54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291F041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B07ADC7">
            <w:pPr>
              <w:pageBreakBefore w:val="0"/>
              <w:kinsoku/>
              <w:wordWrap w:val="0"/>
              <w:bidi w:val="0"/>
              <w:spacing w:line="400" w:lineRule="atLeast"/>
              <w:rPr>
                <w:rFonts w:hint="default" w:ascii="Times New Roman" w:hAnsi="Times New Roman" w:cs="Times New Roman"/>
                <w:color w:val="auto"/>
                <w:sz w:val="24"/>
                <w:highlight w:val="none"/>
              </w:rPr>
            </w:pPr>
          </w:p>
        </w:tc>
      </w:tr>
      <w:tr w14:paraId="4C64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879AB81">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666C2C7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F6DBE77">
            <w:pPr>
              <w:pageBreakBefore w:val="0"/>
              <w:kinsoku/>
              <w:wordWrap w:val="0"/>
              <w:bidi w:val="0"/>
              <w:spacing w:line="400" w:lineRule="atLeast"/>
              <w:rPr>
                <w:rFonts w:hint="default" w:ascii="Times New Roman" w:hAnsi="Times New Roman" w:cs="Times New Roman"/>
                <w:color w:val="auto"/>
                <w:sz w:val="24"/>
                <w:highlight w:val="none"/>
              </w:rPr>
            </w:pPr>
          </w:p>
        </w:tc>
      </w:tr>
      <w:tr w14:paraId="2088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10B88BA">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5A28E9E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28297BE">
            <w:pPr>
              <w:pageBreakBefore w:val="0"/>
              <w:kinsoku/>
              <w:wordWrap w:val="0"/>
              <w:bidi w:val="0"/>
              <w:spacing w:line="400" w:lineRule="atLeast"/>
              <w:rPr>
                <w:rFonts w:hint="default" w:ascii="Times New Roman" w:hAnsi="Times New Roman" w:cs="Times New Roman"/>
                <w:color w:val="auto"/>
                <w:sz w:val="24"/>
                <w:highlight w:val="none"/>
              </w:rPr>
            </w:pPr>
          </w:p>
        </w:tc>
      </w:tr>
      <w:tr w14:paraId="0932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5EFE01D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89BA22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596F8D4">
            <w:pPr>
              <w:pageBreakBefore w:val="0"/>
              <w:kinsoku/>
              <w:wordWrap w:val="0"/>
              <w:bidi w:val="0"/>
              <w:spacing w:line="400" w:lineRule="atLeast"/>
              <w:rPr>
                <w:rFonts w:hint="default" w:ascii="Times New Roman" w:hAnsi="Times New Roman" w:cs="Times New Roman"/>
                <w:color w:val="auto"/>
                <w:sz w:val="24"/>
                <w:highlight w:val="none"/>
              </w:rPr>
            </w:pPr>
          </w:p>
        </w:tc>
      </w:tr>
      <w:tr w14:paraId="108B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1D57B6F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9F667F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12DF63B4">
            <w:pPr>
              <w:pageBreakBefore w:val="0"/>
              <w:kinsoku/>
              <w:wordWrap w:val="0"/>
              <w:bidi w:val="0"/>
              <w:spacing w:line="400" w:lineRule="atLeast"/>
              <w:rPr>
                <w:rFonts w:hint="default" w:ascii="Times New Roman" w:hAnsi="Times New Roman" w:cs="Times New Roman"/>
                <w:color w:val="auto"/>
                <w:sz w:val="24"/>
                <w:highlight w:val="none"/>
              </w:rPr>
            </w:pPr>
          </w:p>
        </w:tc>
      </w:tr>
      <w:tr w14:paraId="67FD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E86177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E9392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BB14064">
            <w:pPr>
              <w:pageBreakBefore w:val="0"/>
              <w:kinsoku/>
              <w:wordWrap w:val="0"/>
              <w:bidi w:val="0"/>
              <w:spacing w:line="400" w:lineRule="atLeast"/>
              <w:rPr>
                <w:rFonts w:hint="default" w:ascii="Times New Roman" w:hAnsi="Times New Roman" w:cs="Times New Roman"/>
                <w:color w:val="auto"/>
                <w:sz w:val="24"/>
                <w:highlight w:val="none"/>
              </w:rPr>
            </w:pPr>
          </w:p>
        </w:tc>
      </w:tr>
      <w:tr w14:paraId="252D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7114918D">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EADD0E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FA6EE78">
            <w:pPr>
              <w:pageBreakBefore w:val="0"/>
              <w:kinsoku/>
              <w:wordWrap w:val="0"/>
              <w:bidi w:val="0"/>
              <w:spacing w:line="400" w:lineRule="atLeast"/>
              <w:rPr>
                <w:rFonts w:hint="default" w:ascii="Times New Roman" w:hAnsi="Times New Roman" w:cs="Times New Roman"/>
                <w:color w:val="auto"/>
                <w:sz w:val="24"/>
                <w:highlight w:val="none"/>
              </w:rPr>
            </w:pPr>
          </w:p>
        </w:tc>
      </w:tr>
      <w:tr w14:paraId="3232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E2169D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655E69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1438082">
            <w:pPr>
              <w:pageBreakBefore w:val="0"/>
              <w:kinsoku/>
              <w:wordWrap w:val="0"/>
              <w:bidi w:val="0"/>
              <w:spacing w:line="400" w:lineRule="atLeast"/>
              <w:rPr>
                <w:rFonts w:hint="default" w:ascii="Times New Roman" w:hAnsi="Times New Roman" w:cs="Times New Roman"/>
                <w:color w:val="auto"/>
                <w:sz w:val="24"/>
                <w:highlight w:val="none"/>
              </w:rPr>
            </w:pPr>
          </w:p>
        </w:tc>
      </w:tr>
      <w:tr w14:paraId="574D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351E9F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501EAC2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566DA93">
            <w:pPr>
              <w:pageBreakBefore w:val="0"/>
              <w:kinsoku/>
              <w:wordWrap w:val="0"/>
              <w:bidi w:val="0"/>
              <w:spacing w:line="400" w:lineRule="atLeast"/>
              <w:rPr>
                <w:rFonts w:hint="default" w:ascii="Times New Roman" w:hAnsi="Times New Roman" w:cs="Times New Roman"/>
                <w:color w:val="auto"/>
                <w:sz w:val="24"/>
                <w:highlight w:val="none"/>
              </w:rPr>
            </w:pPr>
          </w:p>
        </w:tc>
      </w:tr>
      <w:tr w14:paraId="39A2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70952F6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E8CA07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5373738B">
            <w:pPr>
              <w:pageBreakBefore w:val="0"/>
              <w:kinsoku/>
              <w:wordWrap w:val="0"/>
              <w:bidi w:val="0"/>
              <w:spacing w:line="400" w:lineRule="atLeast"/>
              <w:rPr>
                <w:rFonts w:hint="default" w:ascii="Times New Roman" w:hAnsi="Times New Roman" w:cs="Times New Roman"/>
                <w:color w:val="auto"/>
                <w:sz w:val="24"/>
                <w:highlight w:val="none"/>
              </w:rPr>
            </w:pPr>
          </w:p>
        </w:tc>
      </w:tr>
      <w:tr w14:paraId="6416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1725C65">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7FDD69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1FAAB6C4">
            <w:pPr>
              <w:pageBreakBefore w:val="0"/>
              <w:kinsoku/>
              <w:wordWrap w:val="0"/>
              <w:bidi w:val="0"/>
              <w:spacing w:line="400" w:lineRule="atLeast"/>
              <w:rPr>
                <w:rFonts w:hint="default" w:ascii="Times New Roman" w:hAnsi="Times New Roman" w:cs="Times New Roman"/>
                <w:color w:val="auto"/>
                <w:sz w:val="24"/>
                <w:highlight w:val="none"/>
              </w:rPr>
            </w:pPr>
          </w:p>
        </w:tc>
      </w:tr>
      <w:tr w14:paraId="3E10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1D15F040">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2BE21A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8B6D4E9">
            <w:pPr>
              <w:pageBreakBefore w:val="0"/>
              <w:kinsoku/>
              <w:wordWrap w:val="0"/>
              <w:bidi w:val="0"/>
              <w:spacing w:line="400" w:lineRule="atLeast"/>
              <w:rPr>
                <w:rFonts w:hint="default" w:ascii="Times New Roman" w:hAnsi="Times New Roman" w:cs="Times New Roman"/>
                <w:color w:val="auto"/>
                <w:sz w:val="24"/>
                <w:highlight w:val="none"/>
              </w:rPr>
            </w:pPr>
          </w:p>
        </w:tc>
      </w:tr>
    </w:tbl>
    <w:p w14:paraId="4936E647">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800" w:name="_Toc28672"/>
      <w:bookmarkStart w:id="1801" w:name="_Toc3353"/>
      <w:bookmarkStart w:id="1802" w:name="_Toc28190"/>
      <w:bookmarkStart w:id="1803" w:name="_Toc234833235"/>
      <w:bookmarkStart w:id="1804" w:name="_Toc22982"/>
      <w:r>
        <w:rPr>
          <w:rFonts w:hint="default" w:ascii="Times New Roman" w:hAnsi="Times New Roman" w:eastAsia="黑体" w:cs="Times New Roman"/>
          <w:b w:val="0"/>
          <w:color w:val="auto"/>
          <w:sz w:val="24"/>
          <w:szCs w:val="24"/>
          <w:highlight w:val="none"/>
        </w:rPr>
        <w:t>附件五</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主要机械设备和试验检测设备最低要求</w:t>
      </w:r>
      <w:r>
        <w:rPr>
          <w:rFonts w:hint="default" w:ascii="Times New Roman" w:hAnsi="Times New Roman" w:cs="Times New Roman"/>
          <w:color w:val="auto"/>
          <w:sz w:val="24"/>
          <w:szCs w:val="24"/>
          <w:highlight w:val="none"/>
          <w:vertAlign w:val="superscript"/>
        </w:rPr>
        <w:footnoteReference w:id="50"/>
      </w:r>
      <w:bookmarkEnd w:id="1800"/>
      <w:bookmarkEnd w:id="1801"/>
      <w:bookmarkEnd w:id="1802"/>
      <w:bookmarkEnd w:id="1803"/>
      <w:bookmarkEnd w:id="1804"/>
    </w:p>
    <w:p w14:paraId="64765A12">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745"/>
        <w:gridCol w:w="1386"/>
        <w:gridCol w:w="2194"/>
      </w:tblGrid>
      <w:tr w14:paraId="67F5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022457E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2745" w:type="dxa"/>
            <w:noWrap w:val="0"/>
            <w:vAlign w:val="center"/>
          </w:tcPr>
          <w:p w14:paraId="4A12D5F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1386" w:type="dxa"/>
            <w:noWrap w:val="0"/>
            <w:vAlign w:val="center"/>
          </w:tcPr>
          <w:p w14:paraId="7F42ED7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2194" w:type="dxa"/>
            <w:noWrap w:val="0"/>
            <w:vAlign w:val="center"/>
          </w:tcPr>
          <w:p w14:paraId="1A656A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49AC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10A2A00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5106A18A">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70704E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3BDFA144">
            <w:pPr>
              <w:pageBreakBefore w:val="0"/>
              <w:kinsoku/>
              <w:wordWrap w:val="0"/>
              <w:bidi w:val="0"/>
              <w:spacing w:line="400" w:lineRule="atLeast"/>
              <w:rPr>
                <w:rFonts w:hint="default" w:ascii="Times New Roman" w:hAnsi="Times New Roman" w:cs="Times New Roman"/>
                <w:color w:val="auto"/>
                <w:sz w:val="24"/>
                <w:highlight w:val="none"/>
              </w:rPr>
            </w:pPr>
          </w:p>
        </w:tc>
      </w:tr>
      <w:tr w14:paraId="093E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431BA5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2726C2A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366B21D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52F392B0">
            <w:pPr>
              <w:pageBreakBefore w:val="0"/>
              <w:kinsoku/>
              <w:wordWrap w:val="0"/>
              <w:bidi w:val="0"/>
              <w:spacing w:line="400" w:lineRule="atLeast"/>
              <w:rPr>
                <w:rFonts w:hint="default" w:ascii="Times New Roman" w:hAnsi="Times New Roman" w:cs="Times New Roman"/>
                <w:color w:val="auto"/>
                <w:sz w:val="24"/>
                <w:highlight w:val="none"/>
              </w:rPr>
            </w:pPr>
          </w:p>
        </w:tc>
      </w:tr>
      <w:tr w14:paraId="52CB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0E1CC2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5D976A74">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612E48F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1B60814B">
            <w:pPr>
              <w:pageBreakBefore w:val="0"/>
              <w:kinsoku/>
              <w:wordWrap w:val="0"/>
              <w:bidi w:val="0"/>
              <w:spacing w:line="400" w:lineRule="atLeast"/>
              <w:rPr>
                <w:rFonts w:hint="default" w:ascii="Times New Roman" w:hAnsi="Times New Roman" w:cs="Times New Roman"/>
                <w:color w:val="auto"/>
                <w:sz w:val="24"/>
                <w:highlight w:val="none"/>
              </w:rPr>
            </w:pPr>
          </w:p>
        </w:tc>
      </w:tr>
      <w:tr w14:paraId="352E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2AC7EBB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4787D7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DD8CEF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55CB2A14">
            <w:pPr>
              <w:pageBreakBefore w:val="0"/>
              <w:kinsoku/>
              <w:wordWrap w:val="0"/>
              <w:bidi w:val="0"/>
              <w:spacing w:line="400" w:lineRule="atLeast"/>
              <w:rPr>
                <w:rFonts w:hint="default" w:ascii="Times New Roman" w:hAnsi="Times New Roman" w:cs="Times New Roman"/>
                <w:color w:val="auto"/>
                <w:sz w:val="24"/>
                <w:highlight w:val="none"/>
              </w:rPr>
            </w:pPr>
          </w:p>
        </w:tc>
      </w:tr>
      <w:tr w14:paraId="1D97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25FC5BE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6B3F6FB">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E5A774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7B59065">
            <w:pPr>
              <w:pageBreakBefore w:val="0"/>
              <w:kinsoku/>
              <w:wordWrap w:val="0"/>
              <w:bidi w:val="0"/>
              <w:spacing w:line="400" w:lineRule="atLeast"/>
              <w:rPr>
                <w:rFonts w:hint="default" w:ascii="Times New Roman" w:hAnsi="Times New Roman" w:cs="Times New Roman"/>
                <w:color w:val="auto"/>
                <w:sz w:val="24"/>
                <w:highlight w:val="none"/>
              </w:rPr>
            </w:pPr>
          </w:p>
        </w:tc>
      </w:tr>
      <w:tr w14:paraId="6BD5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CE2B0C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7548E780">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2F9BA0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C18EF53">
            <w:pPr>
              <w:pageBreakBefore w:val="0"/>
              <w:kinsoku/>
              <w:wordWrap w:val="0"/>
              <w:bidi w:val="0"/>
              <w:spacing w:line="400" w:lineRule="atLeast"/>
              <w:rPr>
                <w:rFonts w:hint="default" w:ascii="Times New Roman" w:hAnsi="Times New Roman" w:cs="Times New Roman"/>
                <w:color w:val="auto"/>
                <w:sz w:val="24"/>
                <w:highlight w:val="none"/>
              </w:rPr>
            </w:pPr>
          </w:p>
        </w:tc>
      </w:tr>
      <w:tr w14:paraId="428D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EBBCC8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B6D479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764DA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7460F321">
            <w:pPr>
              <w:pageBreakBefore w:val="0"/>
              <w:kinsoku/>
              <w:wordWrap w:val="0"/>
              <w:bidi w:val="0"/>
              <w:spacing w:line="400" w:lineRule="atLeast"/>
              <w:rPr>
                <w:rFonts w:hint="default" w:ascii="Times New Roman" w:hAnsi="Times New Roman" w:cs="Times New Roman"/>
                <w:color w:val="auto"/>
                <w:sz w:val="24"/>
                <w:highlight w:val="none"/>
              </w:rPr>
            </w:pPr>
          </w:p>
        </w:tc>
      </w:tr>
      <w:tr w14:paraId="498E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635345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727477C">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734C17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568971A">
            <w:pPr>
              <w:pageBreakBefore w:val="0"/>
              <w:kinsoku/>
              <w:wordWrap w:val="0"/>
              <w:bidi w:val="0"/>
              <w:spacing w:line="400" w:lineRule="atLeast"/>
              <w:rPr>
                <w:rFonts w:hint="default" w:ascii="Times New Roman" w:hAnsi="Times New Roman" w:cs="Times New Roman"/>
                <w:color w:val="auto"/>
                <w:sz w:val="24"/>
                <w:highlight w:val="none"/>
              </w:rPr>
            </w:pPr>
          </w:p>
        </w:tc>
      </w:tr>
      <w:tr w14:paraId="7BE1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E6EBDA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5B120C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368CAD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59DE44BF">
            <w:pPr>
              <w:pageBreakBefore w:val="0"/>
              <w:kinsoku/>
              <w:wordWrap w:val="0"/>
              <w:bidi w:val="0"/>
              <w:spacing w:line="400" w:lineRule="atLeast"/>
              <w:rPr>
                <w:rFonts w:hint="default" w:ascii="Times New Roman" w:hAnsi="Times New Roman" w:cs="Times New Roman"/>
                <w:color w:val="auto"/>
                <w:sz w:val="24"/>
                <w:highlight w:val="none"/>
              </w:rPr>
            </w:pPr>
          </w:p>
        </w:tc>
      </w:tr>
      <w:tr w14:paraId="2BB9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1F9BDC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55A0E2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702435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4C68510">
            <w:pPr>
              <w:pageBreakBefore w:val="0"/>
              <w:kinsoku/>
              <w:wordWrap w:val="0"/>
              <w:bidi w:val="0"/>
              <w:spacing w:line="400" w:lineRule="atLeast"/>
              <w:rPr>
                <w:rFonts w:hint="default" w:ascii="Times New Roman" w:hAnsi="Times New Roman" w:cs="Times New Roman"/>
                <w:color w:val="auto"/>
                <w:sz w:val="24"/>
                <w:highlight w:val="none"/>
              </w:rPr>
            </w:pPr>
          </w:p>
        </w:tc>
      </w:tr>
      <w:tr w14:paraId="2014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6D17597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112CF4D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12E216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F5A7B82">
            <w:pPr>
              <w:pageBreakBefore w:val="0"/>
              <w:kinsoku/>
              <w:wordWrap w:val="0"/>
              <w:bidi w:val="0"/>
              <w:spacing w:line="400" w:lineRule="atLeast"/>
              <w:rPr>
                <w:rFonts w:hint="default" w:ascii="Times New Roman" w:hAnsi="Times New Roman" w:cs="Times New Roman"/>
                <w:color w:val="auto"/>
                <w:sz w:val="24"/>
                <w:highlight w:val="none"/>
              </w:rPr>
            </w:pPr>
          </w:p>
        </w:tc>
      </w:tr>
      <w:tr w14:paraId="1349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5B37823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BC90872">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CABDF8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0827E6B7">
            <w:pPr>
              <w:pageBreakBefore w:val="0"/>
              <w:kinsoku/>
              <w:wordWrap w:val="0"/>
              <w:bidi w:val="0"/>
              <w:spacing w:line="400" w:lineRule="atLeast"/>
              <w:rPr>
                <w:rFonts w:hint="default" w:ascii="Times New Roman" w:hAnsi="Times New Roman" w:cs="Times New Roman"/>
                <w:color w:val="auto"/>
                <w:sz w:val="24"/>
                <w:highlight w:val="none"/>
              </w:rPr>
            </w:pPr>
          </w:p>
        </w:tc>
      </w:tr>
      <w:tr w14:paraId="078F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898D52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3103E51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264725C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DFCF529">
            <w:pPr>
              <w:pageBreakBefore w:val="0"/>
              <w:kinsoku/>
              <w:wordWrap w:val="0"/>
              <w:bidi w:val="0"/>
              <w:spacing w:line="400" w:lineRule="atLeast"/>
              <w:rPr>
                <w:rFonts w:hint="default" w:ascii="Times New Roman" w:hAnsi="Times New Roman" w:cs="Times New Roman"/>
                <w:color w:val="auto"/>
                <w:sz w:val="24"/>
                <w:highlight w:val="none"/>
              </w:rPr>
            </w:pPr>
          </w:p>
        </w:tc>
      </w:tr>
      <w:tr w14:paraId="30FC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17FA1B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B7F2DD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1BB16B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A15B7C3">
            <w:pPr>
              <w:pageBreakBefore w:val="0"/>
              <w:kinsoku/>
              <w:wordWrap w:val="0"/>
              <w:bidi w:val="0"/>
              <w:spacing w:line="400" w:lineRule="atLeast"/>
              <w:rPr>
                <w:rFonts w:hint="default" w:ascii="Times New Roman" w:hAnsi="Times New Roman" w:cs="Times New Roman"/>
                <w:color w:val="auto"/>
                <w:sz w:val="24"/>
                <w:highlight w:val="none"/>
              </w:rPr>
            </w:pPr>
          </w:p>
        </w:tc>
      </w:tr>
      <w:tr w14:paraId="00D5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966F5E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D123DAF">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F6B6AC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1F3CD01F">
            <w:pPr>
              <w:pageBreakBefore w:val="0"/>
              <w:kinsoku/>
              <w:wordWrap w:val="0"/>
              <w:bidi w:val="0"/>
              <w:spacing w:line="400" w:lineRule="atLeast"/>
              <w:rPr>
                <w:rFonts w:hint="default" w:ascii="Times New Roman" w:hAnsi="Times New Roman" w:cs="Times New Roman"/>
                <w:color w:val="auto"/>
                <w:sz w:val="24"/>
                <w:highlight w:val="none"/>
              </w:rPr>
            </w:pPr>
          </w:p>
        </w:tc>
      </w:tr>
    </w:tbl>
    <w:p w14:paraId="2DC0CC53">
      <w:pPr>
        <w:pageBreakBefore w:val="0"/>
        <w:kinsoku/>
        <w:wordWrap w:val="0"/>
        <w:bidi w:val="0"/>
        <w:spacing w:line="400" w:lineRule="atLeast"/>
        <w:rPr>
          <w:rFonts w:hint="default" w:ascii="Times New Roman" w:hAnsi="Times New Roman" w:eastAsia="黑体" w:cs="Times New Roman"/>
          <w:color w:val="auto"/>
          <w:sz w:val="24"/>
          <w:highlight w:val="none"/>
        </w:rPr>
      </w:pPr>
    </w:p>
    <w:p w14:paraId="4ED4F958">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bookmarkStart w:id="1805" w:name="_Toc32399"/>
      <w:bookmarkStart w:id="1806" w:name="_Toc16392"/>
      <w:bookmarkStart w:id="1807" w:name="_Toc9623"/>
      <w:bookmarkStart w:id="1808" w:name="_Toc234833236"/>
      <w:bookmarkStart w:id="1809" w:name="_Toc13117"/>
      <w:r>
        <w:rPr>
          <w:rFonts w:hint="default" w:ascii="Times New Roman" w:hAnsi="Times New Roman" w:eastAsia="黑体" w:cs="Times New Roman"/>
          <w:b w:val="0"/>
          <w:color w:val="auto"/>
          <w:sz w:val="24"/>
          <w:szCs w:val="24"/>
          <w:highlight w:val="none"/>
        </w:rPr>
        <w:t>附件六</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项目经理委任书</w:t>
      </w:r>
      <w:bookmarkEnd w:id="1805"/>
      <w:bookmarkEnd w:id="1806"/>
      <w:bookmarkEnd w:id="1807"/>
      <w:bookmarkEnd w:id="1808"/>
      <w:bookmarkEnd w:id="1809"/>
    </w:p>
    <w:p w14:paraId="6E395060">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u w:val="single"/>
        </w:rPr>
        <w:t>（承包人全称）</w:t>
      </w:r>
    </w:p>
    <w:p w14:paraId="0F3F5D78">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（合同工程名称） </w:t>
      </w:r>
      <w:r>
        <w:rPr>
          <w:rFonts w:hint="default" w:ascii="Times New Roman" w:hAnsi="Times New Roman" w:eastAsia="黑体" w:cs="Times New Roman"/>
          <w:color w:val="auto"/>
          <w:sz w:val="28"/>
          <w:szCs w:val="28"/>
          <w:highlight w:val="none"/>
        </w:rPr>
        <w:t>项目经理委任书</w:t>
      </w:r>
    </w:p>
    <w:p w14:paraId="104D86CF">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53A141E1">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0A8F1F0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（发包人全称）</w:t>
      </w:r>
    </w:p>
    <w:p w14:paraId="4454DB4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（承包人全称） </w:t>
      </w: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代表本单位委任</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u w:val="single"/>
        </w:rPr>
        <w:t>（合同工程名称）</w:t>
      </w:r>
      <w:r>
        <w:rPr>
          <w:rFonts w:hint="default" w:ascii="Times New Roman" w:hAnsi="Times New Roman" w:cs="Times New Roman"/>
          <w:color w:val="auto"/>
          <w:sz w:val="24"/>
          <w:highlight w:val="none"/>
        </w:rPr>
        <w:t>的项目经理。凡本合同执行中的有关技术、工程进度、现场管理、质量检验、结算与支付等方面工作，由</w:t>
      </w:r>
      <w:r>
        <w:rPr>
          <w:rFonts w:hint="default" w:ascii="Times New Roman" w:hAnsi="Times New Roman" w:cs="Times New Roman"/>
          <w:color w:val="auto"/>
          <w:sz w:val="24"/>
          <w:highlight w:val="none"/>
          <w:u w:val="single"/>
        </w:rPr>
        <w:t xml:space="preserve">  （姓名） </w:t>
      </w:r>
      <w:r>
        <w:rPr>
          <w:rFonts w:hint="default" w:ascii="Times New Roman" w:hAnsi="Times New Roman" w:cs="Times New Roman"/>
          <w:color w:val="auto"/>
          <w:sz w:val="24"/>
          <w:highlight w:val="none"/>
        </w:rPr>
        <w:t>代表本单位全面负责。</w:t>
      </w:r>
    </w:p>
    <w:p w14:paraId="34B65CA8">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p>
    <w:p w14:paraId="6D611109">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00F596D1">
      <w:pPr>
        <w:pageBreakBefore w:val="0"/>
        <w:kinsoku/>
        <w:wordWrap w:val="0"/>
        <w:bidi w:val="0"/>
        <w:snapToGrid w:val="0"/>
        <w:spacing w:line="400" w:lineRule="atLeast"/>
        <w:ind w:firstLine="4603" w:firstLineChars="1918"/>
        <w:jc w:val="lef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        </w:t>
      </w:r>
    </w:p>
    <w:p w14:paraId="1C250463">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（姓名）       </w:t>
      </w:r>
    </w:p>
    <w:p w14:paraId="1EC44DBA">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（签字）       </w:t>
      </w:r>
    </w:p>
    <w:p w14:paraId="7271D6FA">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942BC9C">
      <w:pPr>
        <w:pStyle w:val="27"/>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p>
    <w:p w14:paraId="16AC1F15">
      <w:pPr>
        <w:pStyle w:val="27"/>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p>
    <w:p w14:paraId="04EA1318">
      <w:pPr>
        <w:pageBreakBefore w:val="0"/>
        <w:kinsoku/>
        <w:wordWrap w:val="0"/>
        <w:bidi w:val="0"/>
        <w:snapToGrid w:val="0"/>
        <w:spacing w:line="400" w:lineRule="atLeast"/>
        <w:rPr>
          <w:rFonts w:hint="default" w:ascii="Times New Roman" w:hAnsi="Times New Roman" w:cs="Times New Roman"/>
          <w:color w:val="auto"/>
          <w:sz w:val="24"/>
          <w:highlight w:val="none"/>
        </w:rPr>
      </w:pPr>
    </w:p>
    <w:p w14:paraId="5B974FE2">
      <w:pPr>
        <w:pageBreakBefore w:val="0"/>
        <w:kinsoku/>
        <w:wordWrap w:val="0"/>
        <w:bidi w:val="0"/>
        <w:snapToGrid w:val="0"/>
        <w:spacing w:line="400" w:lineRule="atLeast"/>
        <w:rPr>
          <w:rFonts w:hint="default" w:ascii="Times New Roman" w:hAnsi="Times New Roman" w:eastAsia="黑体" w:cs="Times New Roman"/>
          <w:bCs/>
          <w:color w:val="auto"/>
          <w:kern w:val="44"/>
          <w:sz w:val="24"/>
          <w:highlight w:val="none"/>
        </w:rPr>
      </w:pPr>
      <w:r>
        <w:rPr>
          <w:rFonts w:hint="default" w:ascii="Times New Roman" w:hAnsi="Times New Roman" w:cs="Times New Roman"/>
          <w:color w:val="auto"/>
          <w:sz w:val="24"/>
          <w:highlight w:val="none"/>
        </w:rPr>
        <w:t>抄送：</w:t>
      </w:r>
      <w:r>
        <w:rPr>
          <w:rFonts w:hint="default" w:ascii="Times New Roman" w:hAnsi="Times New Roman" w:cs="Times New Roman"/>
          <w:color w:val="auto"/>
          <w:sz w:val="24"/>
          <w:highlight w:val="none"/>
          <w:u w:val="single"/>
        </w:rPr>
        <w:t xml:space="preserve">  （监理人）  </w:t>
      </w:r>
      <w:r>
        <w:rPr>
          <w:rFonts w:hint="default" w:ascii="Times New Roman" w:hAnsi="Times New Roman" w:cs="Times New Roman"/>
          <w:color w:val="auto"/>
          <w:sz w:val="24"/>
          <w:highlight w:val="none"/>
        </w:rPr>
        <w:br w:type="page"/>
      </w:r>
      <w:r>
        <w:rPr>
          <w:rFonts w:hint="default" w:ascii="Times New Roman" w:hAnsi="Times New Roman" w:eastAsia="黑体" w:cs="Times New Roman"/>
          <w:bCs/>
          <w:color w:val="auto"/>
          <w:kern w:val="44"/>
          <w:sz w:val="24"/>
          <w:highlight w:val="none"/>
        </w:rPr>
        <w:t>附件七 履约保证金格式</w:t>
      </w:r>
    </w:p>
    <w:p w14:paraId="78CE23F1">
      <w:pPr>
        <w:pageBreakBefore w:val="0"/>
        <w:kinsoku/>
        <w:wordWrap w:val="0"/>
        <w:bidi w:val="0"/>
        <w:spacing w:line="400" w:lineRule="atLeast"/>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如采用银行保函，格式如下。</w:t>
      </w:r>
    </w:p>
    <w:p w14:paraId="6BDCE1BF">
      <w:pPr>
        <w:pageBreakBefore w:val="0"/>
        <w:kinsoku/>
        <w:wordWrap w:val="0"/>
        <w:bidi w:val="0"/>
        <w:spacing w:line="400" w:lineRule="atLeast"/>
        <w:ind w:firstLine="3360" w:firstLineChars="1200"/>
        <w:rPr>
          <w:rFonts w:hint="default" w:ascii="Times New Roman" w:hAnsi="Times New Roman" w:eastAsia="黑体" w:cs="Times New Roman"/>
          <w:color w:val="auto"/>
          <w:sz w:val="28"/>
          <w:szCs w:val="28"/>
          <w:highlight w:val="none"/>
        </w:rPr>
      </w:pPr>
    </w:p>
    <w:p w14:paraId="7B437576">
      <w:pPr>
        <w:pageBreakBefore w:val="0"/>
        <w:kinsoku/>
        <w:wordWrap w:val="0"/>
        <w:bidi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履约保证金</w:t>
      </w:r>
    </w:p>
    <w:p w14:paraId="223730E9">
      <w:pPr>
        <w:pageBreakBefore w:val="0"/>
        <w:kinsoku/>
        <w:wordWrap w:val="0"/>
        <w:bidi w:val="0"/>
        <w:spacing w:line="400" w:lineRule="atLeast"/>
        <w:rPr>
          <w:rFonts w:hint="default" w:ascii="Times New Roman" w:hAnsi="Times New Roman" w:cs="Times New Roman"/>
          <w:color w:val="auto"/>
          <w:sz w:val="24"/>
          <w:highlight w:val="none"/>
        </w:rPr>
      </w:pPr>
    </w:p>
    <w:p w14:paraId="36EE146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w:t>
      </w:r>
    </w:p>
    <w:p w14:paraId="0B0FBBEC">
      <w:pPr>
        <w:pageBreakBefore w:val="0"/>
        <w:kinsoku/>
        <w:wordWrap w:val="0"/>
        <w:bidi w:val="0"/>
        <w:spacing w:line="400" w:lineRule="atLeast"/>
        <w:rPr>
          <w:rFonts w:hint="default" w:ascii="Times New Roman" w:hAnsi="Times New Roman" w:cs="Times New Roman"/>
          <w:color w:val="auto"/>
          <w:sz w:val="24"/>
          <w:highlight w:val="none"/>
        </w:rPr>
      </w:pPr>
    </w:p>
    <w:p w14:paraId="70AD876B">
      <w:pPr>
        <w:pageBreakBefore w:val="0"/>
        <w:kinsoku/>
        <w:wordWrap w:val="0"/>
        <w:bidi w:val="0"/>
        <w:spacing w:line="400" w:lineRule="atLeast"/>
        <w:ind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标段施工的投标。我方愿意无条件地、不可撤销地就承包人履行与你方订立的合同，向你方提供担保。</w:t>
      </w:r>
    </w:p>
    <w:p w14:paraId="2D7B60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担保金额人民币（大写）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7478BFD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担保有效期自发包人与承包人签订的合同生效之日起至发包人签发交工验收证书且承包人按照合同约定缴纳质量保证金之日止。</w:t>
      </w:r>
      <w:r>
        <w:rPr>
          <w:rStyle w:val="47"/>
          <w:rFonts w:hint="default" w:ascii="Times New Roman" w:hAnsi="Times New Roman" w:eastAsia="黑体" w:cs="Times New Roman"/>
          <w:color w:val="auto"/>
          <w:sz w:val="28"/>
          <w:szCs w:val="28"/>
          <w:highlight w:val="none"/>
        </w:rPr>
        <w:footnoteReference w:id="51"/>
      </w:r>
    </w:p>
    <w:p w14:paraId="398008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在本担保有效期内，因承包人违反合同约定的义务给你方造成经济损失时，我方在收到你方以书面形式提出的在担保金额内的赔偿要求后，在7日内无条件支付，无须你方出具证明或陈述理由。</w:t>
      </w:r>
    </w:p>
    <w:p w14:paraId="51FD11F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发包人和承包人按合同条款第15条变更合同时，无论我方是否收到该变更，我方承担本担保规定的义务不变。</w:t>
      </w:r>
    </w:p>
    <w:p w14:paraId="3633C680">
      <w:pPr>
        <w:pageBreakBefore w:val="0"/>
        <w:kinsoku/>
        <w:wordWrap w:val="0"/>
        <w:bidi w:val="0"/>
        <w:spacing w:line="400" w:lineRule="atLeast"/>
        <w:rPr>
          <w:rFonts w:hint="default" w:ascii="Times New Roman" w:hAnsi="Times New Roman" w:cs="Times New Roman"/>
          <w:color w:val="auto"/>
          <w:sz w:val="24"/>
          <w:highlight w:val="none"/>
        </w:rPr>
      </w:pPr>
    </w:p>
    <w:p w14:paraId="1E647AF3">
      <w:pPr>
        <w:pageBreakBefore w:val="0"/>
        <w:kinsoku/>
        <w:wordWrap w:val="0"/>
        <w:bidi w:val="0"/>
        <w:spacing w:line="400" w:lineRule="atLeast"/>
        <w:rPr>
          <w:rFonts w:hint="default" w:ascii="Times New Roman" w:hAnsi="Times New Roman" w:cs="Times New Roman"/>
          <w:color w:val="auto"/>
          <w:sz w:val="24"/>
          <w:highlight w:val="none"/>
        </w:rPr>
      </w:pPr>
    </w:p>
    <w:p w14:paraId="7A001459">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61E2DCCE">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3E0B0689">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36AE5918">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1629D67B">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7BEA1E94">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1A3C14B4">
      <w:pPr>
        <w:pageBreakBefore w:val="0"/>
        <w:kinsoku/>
        <w:wordWrap w:val="0"/>
        <w:bidi w:val="0"/>
        <w:spacing w:line="400" w:lineRule="atLeast"/>
        <w:ind w:firstLine="4216" w:firstLineChars="1757"/>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4B88168">
      <w:pPr>
        <w:pageBreakBefore w:val="0"/>
        <w:kinsoku/>
        <w:wordWrap w:val="0"/>
        <w:bidi w:val="0"/>
        <w:spacing w:line="400" w:lineRule="atLeast"/>
        <w:rPr>
          <w:rFonts w:hint="default" w:ascii="Times New Roman" w:hAnsi="Times New Roman" w:cs="Times New Roman"/>
          <w:color w:val="auto"/>
          <w:sz w:val="24"/>
          <w:highlight w:val="none"/>
        </w:rPr>
      </w:pPr>
    </w:p>
    <w:p w14:paraId="7E1E4AAC">
      <w:pPr>
        <w:pageBreakBefore w:val="0"/>
        <w:kinsoku/>
        <w:wordWrap w:val="0"/>
        <w:bidi w:val="0"/>
        <w:spacing w:line="400" w:lineRule="atLeast"/>
        <w:rPr>
          <w:rFonts w:hint="default" w:ascii="Times New Roman" w:hAnsi="Times New Roman" w:eastAsia="黑体" w:cs="Times New Roman"/>
          <w:color w:val="auto"/>
          <w:sz w:val="24"/>
          <w:highlight w:val="none"/>
        </w:rPr>
      </w:pPr>
    </w:p>
    <w:p w14:paraId="15C4AA38">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810" w:name="_Toc18852"/>
      <w:bookmarkStart w:id="1811" w:name="_Toc32209"/>
      <w:bookmarkStart w:id="1812" w:name="_Toc24417"/>
      <w:bookmarkStart w:id="1813" w:name="_Toc234833238"/>
      <w:bookmarkStart w:id="1814" w:name="_Toc21835"/>
      <w:r>
        <w:rPr>
          <w:rFonts w:hint="default" w:ascii="Times New Roman" w:hAnsi="Times New Roman" w:eastAsia="黑体" w:cs="Times New Roman"/>
          <w:b w:val="0"/>
          <w:color w:val="auto"/>
          <w:sz w:val="24"/>
          <w:szCs w:val="24"/>
          <w:highlight w:val="none"/>
        </w:rPr>
        <w:t>附件八</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工程资金监管协议格式</w:t>
      </w:r>
      <w:bookmarkEnd w:id="1810"/>
      <w:bookmarkEnd w:id="1811"/>
      <w:bookmarkEnd w:id="1812"/>
      <w:bookmarkEnd w:id="1813"/>
      <w:bookmarkEnd w:id="1814"/>
    </w:p>
    <w:p w14:paraId="5F98D05E">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（发包人与承包人签订合同协议书时应与发包人指定的银行签署工程资金监管协议，工程资金监管协议内容在保证本项目资金有效监管的前提下由三方共同商定）</w:t>
      </w:r>
    </w:p>
    <w:p w14:paraId="1FE5F38F">
      <w:pPr>
        <w:pageBreakBefore w:val="0"/>
        <w:kinsoku/>
        <w:wordWrap w:val="0"/>
        <w:bidi w:val="0"/>
        <w:spacing w:line="380" w:lineRule="atLeast"/>
        <w:rPr>
          <w:rFonts w:hint="default" w:ascii="Times New Roman" w:hAnsi="Times New Roman" w:eastAsia="黑体" w:cs="Times New Roman"/>
          <w:color w:val="auto"/>
          <w:sz w:val="24"/>
          <w:highlight w:val="none"/>
        </w:rPr>
      </w:pPr>
    </w:p>
    <w:p w14:paraId="42522029">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工程资金监管协议</w:t>
      </w:r>
    </w:p>
    <w:p w14:paraId="343EF17D">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p>
    <w:p w14:paraId="7BF696FA">
      <w:pPr>
        <w:pageBreakBefore w:val="0"/>
        <w:kinsoku/>
        <w:wordWrap w:val="0"/>
        <w:bidi w:val="0"/>
        <w:spacing w:line="380" w:lineRule="atLeast"/>
        <w:rPr>
          <w:rFonts w:hint="default" w:ascii="Times New Roman" w:hAnsi="Times New Roman" w:cs="Times New Roman"/>
          <w:color w:val="auto"/>
          <w:sz w:val="24"/>
          <w:highlight w:val="none"/>
        </w:rPr>
      </w:pPr>
      <w:bookmarkStart w:id="1815" w:name="_Toc234833239"/>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甲方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bookmarkEnd w:id="1815"/>
    </w:p>
    <w:p w14:paraId="3C1C97DA">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1C51A544">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2AA616EB">
      <w:pPr>
        <w:pageBreakBefore w:val="0"/>
        <w:kinsoku/>
        <w:wordWrap w:val="0"/>
        <w:bidi w:val="0"/>
        <w:spacing w:line="380" w:lineRule="atLeast"/>
        <w:jc w:val="left"/>
        <w:rPr>
          <w:rFonts w:hint="default" w:ascii="Times New Roman" w:hAnsi="Times New Roman" w:cs="Times New Roman"/>
          <w:color w:val="auto"/>
          <w:sz w:val="24"/>
          <w:highlight w:val="none"/>
        </w:rPr>
      </w:pPr>
    </w:p>
    <w:p w14:paraId="536EC574">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为了促进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（项目名称）的顺利实施，管好用好建设资金，确保工程资金专款专用，同时为承包人提供便捷有效的银行业务服务，根据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（项目名称）合同条款有关规定，经甲、乙、丙三方协商，达成协议如下：</w:t>
      </w:r>
    </w:p>
    <w:p w14:paraId="79955B83">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资金管理的内容</w:t>
      </w:r>
    </w:p>
    <w:p w14:paraId="2B03DF4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（1）乙方为完成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（项目名称）工程成立的项目经理部在丙方开设基本结算户；</w:t>
      </w:r>
    </w:p>
    <w:p w14:paraId="76A100F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（2）甲方应按合同规定将工程款汇入乙方在丙方开设的账户；</w:t>
      </w:r>
    </w:p>
    <w:p w14:paraId="76A1FA2E">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（3）乙方应将流动资金及甲方所拨付资金专项用于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p>
    <w:p w14:paraId="0D1F7DD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（4）丙方应为乙方提供便捷有效的银行业务服务，并接受甲方委托对乙方在丙方开设的基本结算户资金使用情况进行监督。</w:t>
      </w:r>
    </w:p>
    <w:p w14:paraId="7C02E827">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甲方的权责</w:t>
      </w:r>
    </w:p>
    <w:p w14:paraId="3E916A0E">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（1）按照</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（项目名称）合同有关条款规定的时间和方式，向乙方支付工程款；</w:t>
      </w:r>
    </w:p>
    <w:p w14:paraId="12154F3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（2）在发现乙方将本项目资金挪用、转移时，甲方有权中止工程支付，直至乙方改正为止；</w:t>
      </w:r>
    </w:p>
    <w:p w14:paraId="5CEBE965">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（3）不定期审查丙方对乙方的资金使用监督情况，如丙方不能履行其责任，甲方有权随时终止本协议；</w:t>
      </w:r>
    </w:p>
    <w:p w14:paraId="2E8838A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（4）在乙、丙双方发生争议时，甲方应负责协调、解决。</w:t>
      </w:r>
    </w:p>
    <w:p w14:paraId="774ED8A6">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乙方的权责</w:t>
      </w:r>
    </w:p>
    <w:p w14:paraId="595CCD5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（1）项目经理部成立以后，乙方应尽快在丙方开设基本结算户；</w:t>
      </w:r>
    </w:p>
    <w:p w14:paraId="4D61B641">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（2）确保本项目资金专款专用，不发生挪用、转移资金的现象；保证不通过权益转让、抵押、担保承担债务等任何其他方式使用基本结算户的资金；</w:t>
      </w:r>
    </w:p>
    <w:p w14:paraId="11A47B2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（3）办理材料、设备等采购业务金额在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万元以上的，应出示购货合同、协议和发票；在办理总额超过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万元以上的采购业务时，应将合同、协议和发票复印件送丙方备案；购买应急材料、设备时可先办理支付手续，但事后必须补备有关资料；</w:t>
      </w:r>
    </w:p>
    <w:p w14:paraId="0335CA8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（4）用银行转账支票办理支付款项时，必须将转账支票送交丙方，由丙方负责办理支票转付手续；</w:t>
      </w:r>
    </w:p>
    <w:p w14:paraId="01385E9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（5）向分包单位支付工程进度款时，应附甲方批准分包的文件；</w:t>
      </w:r>
    </w:p>
    <w:p w14:paraId="28A278E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（6）向上级单位缴纳管理费、机械设备及周转材料租赁摊销费等款项时，应附上级单位出具的转账通知等有关资料，以确保资金专款专用。</w:t>
      </w:r>
    </w:p>
    <w:p w14:paraId="0A4DAECA">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丙方的权责</w:t>
      </w:r>
    </w:p>
    <w:p w14:paraId="2080809B">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（1）成立</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（项目名称）工程资金管理服务小组，明确业务流程，提高工作效率，杜绝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压票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现象；</w:t>
      </w:r>
    </w:p>
    <w:p w14:paraId="78AC1A9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pacing w:val="-6"/>
          <w:sz w:val="24"/>
          <w:highlight w:val="none"/>
        </w:rPr>
        <w:t>根据乙方提供的购货合同、协议和发票，检查其所购材料、设备是否用于</w:t>
      </w:r>
      <w:r>
        <w:rPr>
          <w:rFonts w:hint="default" w:ascii="Times New Roman" w:hAnsi="Times New Roman" w:cs="Times New Roman"/>
          <w:color w:val="auto"/>
          <w:spacing w:val="-6"/>
          <w:sz w:val="24"/>
          <w:highlight w:val="none"/>
          <w:u w:val="single"/>
        </w:rPr>
        <w:t xml:space="preserve">   </w:t>
      </w:r>
      <w:r>
        <w:rPr>
          <w:rFonts w:hint="default" w:ascii="Times New Roman" w:hAnsi="Times New Roman" w:cs="Times New Roman"/>
          <w:color w:val="auto"/>
          <w:sz w:val="24"/>
          <w:highlight w:val="none"/>
        </w:rPr>
        <w:t>（项目名称）工程建设，对本标段以外的购货款项，有权拒绝办理，并及时报告甲方；</w:t>
      </w:r>
    </w:p>
    <w:p w14:paraId="1E7BF0F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（3）根据乙方与分包单位签订的合同及支付文件，检查其支付款项是否符合有关条件，向分包单位以外单位的支付有权拒绝办理，并及时报告甲方；</w:t>
      </w:r>
    </w:p>
    <w:p w14:paraId="6831D915">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（4）根据乙方提供的上级单位出具的转账通知等有关资料，办理管理费、机械设备及周转材料租赁摊销费等款项的支付；对超出转账通知等有关资料以外的支付，有权拒绝办理，并及时报告甲方；</w:t>
      </w:r>
    </w:p>
    <w:p w14:paraId="0EEAD2B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（5）定期将乙方前一个周期的支付情况，整理后书面报送甲方；乙方复印备案的材料一并送甲方。</w:t>
      </w:r>
    </w:p>
    <w:p w14:paraId="5814E5F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甲、乙、丙三方都应履行保密责任，不得将其他两方的业务情况透露给三方以外的其他单位或个人。</w:t>
      </w:r>
    </w:p>
    <w:p w14:paraId="46C9B98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本协议有效期自乙方在丙方开户起，至工程交工验收甲方向乙方颁发交工验收证书后结束。</w:t>
      </w:r>
    </w:p>
    <w:p w14:paraId="0420FF37">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本协议未尽事宜，由甲方牵头，三方协商解决。</w:t>
      </w:r>
    </w:p>
    <w:p w14:paraId="49450A5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本协议正本三份、副本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份。合同三方各执正本一份、副本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份，当正本与副本内容不一致时，以正本为准。</w:t>
      </w:r>
    </w:p>
    <w:p w14:paraId="40B28F05">
      <w:pPr>
        <w:pageBreakBefore w:val="0"/>
        <w:kinsoku/>
        <w:wordWrap w:val="0"/>
        <w:bidi w:val="0"/>
        <w:spacing w:line="340" w:lineRule="atLeast"/>
        <w:outlineLvl w:val="9"/>
        <w:rPr>
          <w:rFonts w:hint="default" w:ascii="Times New Roman" w:hAnsi="Times New Roman" w:cs="Times New Roman"/>
          <w:b/>
          <w:color w:val="auto"/>
          <w:sz w:val="24"/>
          <w:highlight w:val="none"/>
        </w:rPr>
      </w:pPr>
    </w:p>
    <w:p w14:paraId="726C1C56">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55741651">
      <w:pPr>
        <w:pageBreakBefore w:val="0"/>
        <w:kinsoku/>
        <w:wordWrap w:val="0"/>
        <w:bidi w:val="0"/>
        <w:spacing w:line="340" w:lineRule="atLeast"/>
        <w:outlineLvl w:val="9"/>
        <w:rPr>
          <w:rFonts w:hint="default" w:ascii="Times New Roman" w:hAnsi="Times New Roman" w:cs="Times New Roman"/>
          <w:color w:val="auto"/>
          <w:sz w:val="24"/>
          <w:highlight w:val="none"/>
        </w:rPr>
      </w:pPr>
      <w:bookmarkStart w:id="1816" w:name="_Toc25487"/>
      <w:bookmarkStart w:id="1817" w:name="_Toc27026"/>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bookmarkEnd w:id="1816"/>
      <w:bookmarkEnd w:id="1817"/>
      <w:r>
        <w:rPr>
          <w:rFonts w:hint="default" w:ascii="Times New Roman" w:hAnsi="Times New Roman" w:cs="Times New Roman"/>
          <w:color w:val="auto"/>
          <w:sz w:val="24"/>
          <w:highlight w:val="none"/>
        </w:rPr>
        <w:t xml:space="preserve">  </w:t>
      </w:r>
    </w:p>
    <w:p w14:paraId="1E20931D">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5FD737F1">
      <w:pPr>
        <w:pageBreakBefore w:val="0"/>
        <w:kinsoku/>
        <w:wordWrap w:val="0"/>
        <w:bidi w:val="0"/>
        <w:spacing w:line="340" w:lineRule="atLeast"/>
        <w:rPr>
          <w:rFonts w:hint="default" w:ascii="Times New Roman" w:hAnsi="Times New Roman" w:cs="Times New Roman"/>
          <w:color w:val="auto"/>
          <w:sz w:val="24"/>
          <w:highlight w:val="none"/>
        </w:rPr>
      </w:pPr>
    </w:p>
    <w:p w14:paraId="2532C9B9">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71636D6A">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2073FC82">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29C90851">
      <w:pPr>
        <w:pageBreakBefore w:val="0"/>
        <w:kinsoku/>
        <w:wordWrap w:val="0"/>
        <w:bidi w:val="0"/>
        <w:spacing w:line="340" w:lineRule="atLeast"/>
        <w:rPr>
          <w:rFonts w:hint="default" w:ascii="Times New Roman" w:hAnsi="Times New Roman" w:cs="Times New Roman"/>
          <w:color w:val="auto"/>
          <w:sz w:val="24"/>
          <w:highlight w:val="none"/>
        </w:rPr>
      </w:pPr>
    </w:p>
    <w:p w14:paraId="74255232">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4210654D">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0960971C">
      <w:pPr>
        <w:pageBreakBefore w:val="0"/>
        <w:kinsoku/>
        <w:wordWrap w:val="0"/>
        <w:bidi w:val="0"/>
        <w:spacing w:line="340" w:lineRule="atLeast"/>
        <w:ind w:firstLine="1920" w:firstLineChars="800"/>
        <w:rPr>
          <w:rFonts w:hint="default" w:ascii="Times New Roman" w:hAnsi="Times New Roman" w:cs="Times New Roman"/>
          <w:color w:val="auto"/>
          <w:sz w:val="24"/>
          <w:highlight w:val="none"/>
        </w:rPr>
        <w:sectPr>
          <w:headerReference r:id="rId35" w:type="default"/>
          <w:footerReference r:id="rId36"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07D6095F">
      <w:pPr>
        <w:pageBreakBefore w:val="0"/>
        <w:kinsoku/>
        <w:wordWrap w:val="0"/>
        <w:bidi w:val="0"/>
        <w:spacing w:line="340" w:lineRule="atLeast"/>
        <w:ind w:firstLine="3534" w:firstLineChars="800"/>
        <w:rPr>
          <w:rFonts w:hint="default" w:ascii="Times New Roman" w:hAnsi="Times New Roman" w:cs="Times New Roman"/>
          <w:b/>
          <w:bCs/>
          <w:color w:val="auto"/>
          <w:sz w:val="44"/>
          <w:highlight w:val="none"/>
        </w:rPr>
      </w:pPr>
    </w:p>
    <w:p w14:paraId="31670C83">
      <w:pPr>
        <w:pageBreakBefore w:val="0"/>
        <w:kinsoku/>
        <w:wordWrap w:val="0"/>
        <w:bidi w:val="0"/>
        <w:spacing w:line="400" w:lineRule="exact"/>
        <w:rPr>
          <w:rFonts w:hint="default" w:ascii="Times New Roman" w:hAnsi="Times New Roman" w:cs="Times New Roman"/>
          <w:color w:val="auto"/>
          <w:sz w:val="24"/>
          <w:highlight w:val="none"/>
        </w:rPr>
      </w:pPr>
    </w:p>
    <w:p w14:paraId="4698DAD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5B4446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813B1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513AE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E7342B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2CDB162">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3F4884D9">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2E6FB1D1">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34A12DB1">
      <w:pPr>
        <w:pageBreakBefore w:val="0"/>
        <w:kinsoku/>
        <w:wordWrap w:val="0"/>
        <w:bidi w:val="0"/>
        <w:spacing w:before="0" w:after="480" w:afterLines="200" w:line="380" w:lineRule="atLeast"/>
        <w:ind w:firstLine="1680" w:firstLineChars="300"/>
        <w:jc w:val="center"/>
        <w:outlineLvl w:val="0"/>
        <w:rPr>
          <w:rFonts w:hint="default" w:ascii="Times New Roman" w:hAnsi="Times New Roman" w:eastAsia="黑体" w:cs="Times New Roman"/>
          <w:b w:val="0"/>
          <w:color w:val="auto"/>
          <w:sz w:val="32"/>
          <w:szCs w:val="32"/>
          <w:highlight w:val="none"/>
        </w:rPr>
        <w:sectPr>
          <w:headerReference r:id="rId37" w:type="default"/>
          <w:footerReference r:id="rId38"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818" w:name="_Toc28723"/>
      <w:bookmarkStart w:id="1819" w:name="_Toc15757"/>
      <w:bookmarkStart w:id="1820" w:name="_Toc234833240"/>
      <w:bookmarkStart w:id="1821" w:name="_Toc234835927"/>
      <w:bookmarkStart w:id="1822" w:name="_Toc22372"/>
      <w:r>
        <w:rPr>
          <w:rFonts w:hint="default" w:ascii="Times New Roman" w:hAnsi="Times New Roman" w:eastAsia="黑体" w:cs="Times New Roman"/>
          <w:color w:val="auto"/>
          <w:sz w:val="56"/>
          <w:szCs w:val="56"/>
          <w:highlight w:val="none"/>
        </w:rPr>
        <w:t>第五章  工程量清单</w:t>
      </w:r>
      <w:bookmarkEnd w:id="1818"/>
      <w:bookmarkEnd w:id="1819"/>
      <w:bookmarkEnd w:id="1820"/>
      <w:bookmarkEnd w:id="1821"/>
      <w:bookmarkStart w:id="1823" w:name="_Toc234833241"/>
      <w:r>
        <w:rPr>
          <w:rStyle w:val="47"/>
          <w:rFonts w:hint="default" w:ascii="Times New Roman" w:hAnsi="Times New Roman" w:eastAsia="黑体" w:cs="Times New Roman"/>
          <w:b w:val="0"/>
          <w:color w:val="auto"/>
          <w:sz w:val="56"/>
          <w:szCs w:val="56"/>
          <w:highlight w:val="none"/>
        </w:rPr>
        <w:footnoteReference w:id="52"/>
      </w:r>
      <w:bookmarkEnd w:id="1822"/>
    </w:p>
    <w:p w14:paraId="25F2D036">
      <w:pPr>
        <w:pStyle w:val="2"/>
        <w:pageBreakBefore w:val="0"/>
        <w:kinsoku/>
        <w:wordWrap w:val="0"/>
        <w:bidi w:val="0"/>
        <w:spacing w:before="0" w:after="480" w:afterLines="200" w:line="380" w:lineRule="atLeast"/>
        <w:jc w:val="center"/>
        <w:rPr>
          <w:rFonts w:hint="default" w:ascii="Times New Roman" w:hAnsi="Times New Roman" w:eastAsia="黑体" w:cs="Times New Roman"/>
          <w:b w:val="0"/>
          <w:color w:val="auto"/>
          <w:sz w:val="32"/>
          <w:szCs w:val="32"/>
          <w:highlight w:val="none"/>
        </w:rPr>
      </w:pPr>
      <w:bookmarkStart w:id="1824" w:name="_Toc2221"/>
      <w:bookmarkStart w:id="1825" w:name="_Toc3537"/>
      <w:bookmarkStart w:id="1826" w:name="_Toc9304"/>
      <w:r>
        <w:rPr>
          <w:rFonts w:hint="default" w:ascii="Times New Roman" w:hAnsi="Times New Roman" w:eastAsia="黑体" w:cs="Times New Roman"/>
          <w:b w:val="0"/>
          <w:color w:val="auto"/>
          <w:sz w:val="32"/>
          <w:szCs w:val="32"/>
          <w:highlight w:val="none"/>
        </w:rPr>
        <w:t>第五章  工程量清单</w:t>
      </w:r>
      <w:bookmarkEnd w:id="1823"/>
      <w:bookmarkEnd w:id="1824"/>
      <w:bookmarkEnd w:id="1825"/>
      <w:bookmarkEnd w:id="1826"/>
    </w:p>
    <w:p w14:paraId="480201F3">
      <w:pPr>
        <w:pStyle w:val="2"/>
        <w:pageBreakBefore w:val="0"/>
        <w:kinsoku/>
        <w:wordWrap w:val="0"/>
        <w:bidi w:val="0"/>
        <w:spacing w:before="240" w:beforeLines="100" w:after="240" w:afterLines="100" w:line="380" w:lineRule="atLeast"/>
        <w:outlineLvl w:val="1"/>
        <w:rPr>
          <w:rFonts w:hint="default" w:ascii="Times New Roman" w:hAnsi="Times New Roman" w:eastAsia="黑体" w:cs="Times New Roman"/>
          <w:b w:val="0"/>
          <w:color w:val="auto"/>
          <w:sz w:val="28"/>
          <w:szCs w:val="28"/>
          <w:highlight w:val="none"/>
        </w:rPr>
      </w:pPr>
      <w:bookmarkStart w:id="1827" w:name="_Toc27094"/>
      <w:bookmarkStart w:id="1828" w:name="_Toc27980"/>
      <w:bookmarkStart w:id="1829" w:name="_Toc7467"/>
      <w:bookmarkStart w:id="1830" w:name="_Toc234833242"/>
      <w:bookmarkStart w:id="1831" w:name="_Toc32385"/>
      <w:r>
        <w:rPr>
          <w:rFonts w:hint="default" w:ascii="Times New Roman" w:hAnsi="Times New Roman" w:eastAsia="黑体" w:cs="Times New Roman"/>
          <w:b w:val="0"/>
          <w:color w:val="auto"/>
          <w:sz w:val="28"/>
          <w:szCs w:val="28"/>
          <w:highlight w:val="none"/>
        </w:rPr>
        <w:t>1. 工程量清单说明</w:t>
      </w:r>
      <w:bookmarkEnd w:id="1827"/>
      <w:bookmarkEnd w:id="1828"/>
      <w:bookmarkEnd w:id="1829"/>
      <w:bookmarkEnd w:id="1830"/>
      <w:bookmarkEnd w:id="1831"/>
    </w:p>
    <w:p w14:paraId="4A95EE12">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1BB3691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 本工程量清单应与招标文件中的投标人须知、通用合同条款、专用合同条款、工程量清单计量规则、技术规范及图纸等一起阅读和理解。</w:t>
      </w:r>
    </w:p>
    <w:p w14:paraId="68AE024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14:paraId="71766A8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 工程量清单各章是按第八章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的相应章次编号的，因此，工程量清单中各章的工程子目的范围与计量等应与</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 </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相应章节的范围、计量与支付条款结合起来理解或解释。</w:t>
      </w:r>
    </w:p>
    <w:p w14:paraId="7D27B98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 对作业和材料的一般说明或规定，未重复写入工程量清单内，在给工程量清单各子目标价前，应参阅第七章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的有关内容。</w:t>
      </w:r>
    </w:p>
    <w:p w14:paraId="46565AF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 工程量清单中所列工程量的变动，丝毫不会降低或影响合同条款的效力，也不免除承包人按规定的标准进行施工和修复缺陷的责任。</w:t>
      </w:r>
    </w:p>
    <w:p w14:paraId="5CFE257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 图纸中所列的工程数量表及数量汇总表仅是提供资料，不是工程量清单的外延。当图纸与工程量清单所列数量不一致时，以工程量清单所列数量作为报价的依据。</w:t>
      </w:r>
    </w:p>
    <w:p w14:paraId="1BE583B4">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32" w:name="_Toc26778"/>
      <w:bookmarkStart w:id="1833" w:name="_Toc31685"/>
      <w:bookmarkStart w:id="1834" w:name="_Toc234833243"/>
      <w:bookmarkStart w:id="1835" w:name="_Toc8713"/>
      <w:bookmarkStart w:id="1836" w:name="_Toc29747"/>
      <w:r>
        <w:rPr>
          <w:rFonts w:hint="default" w:ascii="Times New Roman" w:hAnsi="Times New Roman" w:eastAsia="黑体" w:cs="Times New Roman"/>
          <w:b w:val="0"/>
          <w:color w:val="auto"/>
          <w:sz w:val="28"/>
          <w:szCs w:val="28"/>
          <w:highlight w:val="none"/>
        </w:rPr>
        <w:t>2. 投标报价说明</w:t>
      </w:r>
      <w:bookmarkEnd w:id="1832"/>
      <w:bookmarkEnd w:id="1833"/>
      <w:bookmarkEnd w:id="1834"/>
      <w:bookmarkEnd w:id="1835"/>
      <w:bookmarkEnd w:id="1836"/>
    </w:p>
    <w:p w14:paraId="45C60EF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 工程量清单中的每一子目须填入单价或价格，且只允许有一个报价。</w:t>
      </w:r>
    </w:p>
    <w:p w14:paraId="6218790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6B70046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0C6F134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 符合合同条款规定的全部费用应认为已被计入有标价的工程量清单所列各子目之中，未列子目不予计量的工作，其费用应视为已分摊在本合同工程的有关子目的单价或总额价之中。</w:t>
      </w:r>
    </w:p>
    <w:p w14:paraId="45737C8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2.5 承包人用于本合同工程的各类装备的提供、运输、维护、拆卸、拼装等支付的费用，已包括在工程量清单的单价与总额价之中。</w:t>
      </w:r>
    </w:p>
    <w:p w14:paraId="3B63AC60">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2.6 工程量清单中各项金额均以人民币（元）结算。</w:t>
      </w:r>
    </w:p>
    <w:p w14:paraId="45312B3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2.7 暂列金额（不含计日工总额）的数量及拟用子目的说明：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5CEEF7F6">
      <w:pPr>
        <w:pageBreakBefore w:val="0"/>
        <w:kinsoku/>
        <w:wordWrap w:val="0"/>
        <w:bidi w:val="0"/>
        <w:spacing w:line="400" w:lineRule="atLeast"/>
        <w:ind w:firstLine="540" w:firstLineChars="22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2.8 暂估价的数量及拟用子目的说明：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40363E13">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37" w:name="_Toc14325"/>
      <w:bookmarkStart w:id="1838" w:name="_Toc17259"/>
      <w:bookmarkStart w:id="1839" w:name="_Toc19"/>
      <w:bookmarkStart w:id="1840" w:name="_Toc3776"/>
      <w:bookmarkStart w:id="1841" w:name="_Toc234833244"/>
      <w:r>
        <w:rPr>
          <w:rFonts w:hint="default" w:ascii="Times New Roman" w:hAnsi="Times New Roman" w:eastAsia="黑体" w:cs="Times New Roman"/>
          <w:b w:val="0"/>
          <w:color w:val="auto"/>
          <w:sz w:val="28"/>
          <w:szCs w:val="28"/>
          <w:highlight w:val="none"/>
        </w:rPr>
        <w:t>3. 计日工说明</w:t>
      </w:r>
      <w:bookmarkEnd w:id="1837"/>
      <w:bookmarkEnd w:id="1838"/>
      <w:bookmarkEnd w:id="1839"/>
      <w:bookmarkEnd w:id="1840"/>
      <w:bookmarkEnd w:id="1841"/>
    </w:p>
    <w:p w14:paraId="1305FB61">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2" w:name="_Toc4285"/>
      <w:r>
        <w:rPr>
          <w:rFonts w:hint="default" w:ascii="Times New Roman" w:hAnsi="Times New Roman" w:cs="Times New Roman"/>
          <w:color w:val="auto"/>
          <w:sz w:val="24"/>
          <w:highlight w:val="none"/>
        </w:rPr>
        <w:t>3.1 总则</w:t>
      </w:r>
      <w:bookmarkEnd w:id="1842"/>
    </w:p>
    <w:p w14:paraId="307DC388">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（1）本说明应参照通用合同条款第15.7款一并理解。</w:t>
      </w:r>
    </w:p>
    <w:p w14:paraId="390ED0E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（2）未经监理人书面指令，任何工程不得按计日工施工；接到监理人按计日工施工的书面指令，承包人也不得拒绝。</w:t>
      </w:r>
    </w:p>
    <w:p w14:paraId="222D6AB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并进入评标价。</w:t>
      </w:r>
    </w:p>
    <w:p w14:paraId="3882AFB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（4）计日工不调价。</w:t>
      </w:r>
    </w:p>
    <w:p w14:paraId="04D9E3C3">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3" w:name="_Toc20973"/>
      <w:r>
        <w:rPr>
          <w:rFonts w:hint="default" w:ascii="Times New Roman" w:hAnsi="Times New Roman" w:cs="Times New Roman"/>
          <w:color w:val="auto"/>
          <w:sz w:val="24"/>
          <w:highlight w:val="none"/>
        </w:rPr>
        <w:t>3.2 计日工劳务</w:t>
      </w:r>
      <w:bookmarkEnd w:id="1843"/>
    </w:p>
    <w:p w14:paraId="622831A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53B783D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（2）承包人可以得到用于计日工劳务的全部工时的支付，此支付按承包人填报的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计日工劳务单价表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所列单价计算，该单价应包括基本单价及承包人的管理费、税费、利润等所有附加费，说明如下：</w:t>
      </w:r>
    </w:p>
    <w:p w14:paraId="6EDD5CE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劳务基本单价包括：承包人劳务的全部直接费用，如：工资、加班费、津贴、福利费及劳动保护费等。</w:t>
      </w:r>
    </w:p>
    <w:p w14:paraId="4E12663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承包人的利润、管理、质检、保险、税费；易耗品的使用，水电及照明费，工作台、脚手架、临时设施费，手动机具与工具的使用及维修，以及上述各项伴随而来的费用。</w:t>
      </w:r>
    </w:p>
    <w:p w14:paraId="3AC5FECA">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4" w:name="_Toc6706"/>
      <w:r>
        <w:rPr>
          <w:rFonts w:hint="default" w:ascii="Times New Roman" w:hAnsi="Times New Roman" w:cs="Times New Roman"/>
          <w:color w:val="auto"/>
          <w:sz w:val="24"/>
          <w:highlight w:val="none"/>
        </w:rPr>
        <w:t>3.3 计日工材料</w:t>
      </w:r>
      <w:bookmarkEnd w:id="1844"/>
    </w:p>
    <w:p w14:paraId="1159ECB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承包人可以得到计日工使用的材料费用（上述3.2款已计入劳务费内的材料费用除外）的支付，此费用按承包人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计日工材料单价表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中所填报的单价计算，该单价应包括基本单价及承包人的管理费、税费、利润等所有附加费，说明如下：</w:t>
      </w:r>
    </w:p>
    <w:p w14:paraId="6429A13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（1）材料基本单价按供货价加运杂费（到达承包人现场仓库）、保险费、仓库管理费以及运输损耗等计算；</w:t>
      </w:r>
    </w:p>
    <w:p w14:paraId="08C9132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（2）承包人的利润、管理、质检、保险、税费及其他附加费；</w:t>
      </w:r>
    </w:p>
    <w:p w14:paraId="0FD8FB4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（3）从现场运至使用地点的人工费和施工机械使用费不包括在上述基本单价内。</w:t>
      </w:r>
    </w:p>
    <w:p w14:paraId="59BF5E6E">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5" w:name="_Toc4756"/>
      <w:r>
        <w:rPr>
          <w:rFonts w:hint="default" w:ascii="Times New Roman" w:hAnsi="Times New Roman" w:cs="Times New Roman"/>
          <w:color w:val="auto"/>
          <w:sz w:val="24"/>
          <w:highlight w:val="none"/>
        </w:rPr>
        <w:t>3.4 计日工施工机械</w:t>
      </w:r>
      <w:bookmarkEnd w:id="1845"/>
    </w:p>
    <w:p w14:paraId="3A0C77C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（1）承包人可以得到用于计日工作业的施工机械费用的支付，该费用按承包人填报的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计日工施工机械单价表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中的租价计算。该租价应包括施工机械的折旧、利息、维修、保养、零配件、油燃料、保险和其他消耗品的费用以及全部有关使用这些机械的管理费、税费、利润和司机与助手的劳务费等费用。</w:t>
      </w:r>
    </w:p>
    <w:p w14:paraId="4F11669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59540187">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46" w:name="_Toc27598"/>
      <w:bookmarkStart w:id="1847" w:name="_Toc6095"/>
      <w:bookmarkStart w:id="1848" w:name="_Toc234833245"/>
      <w:bookmarkStart w:id="1849" w:name="_Toc28230"/>
      <w:bookmarkStart w:id="1850" w:name="_Toc2204"/>
      <w:r>
        <w:rPr>
          <w:rFonts w:hint="default" w:ascii="Times New Roman" w:hAnsi="Times New Roman" w:eastAsia="黑体" w:cs="Times New Roman"/>
          <w:b w:val="0"/>
          <w:color w:val="auto"/>
          <w:sz w:val="28"/>
          <w:szCs w:val="28"/>
          <w:highlight w:val="none"/>
        </w:rPr>
        <w:t>4. 其他说明</w:t>
      </w:r>
      <w:bookmarkEnd w:id="1846"/>
      <w:bookmarkEnd w:id="1847"/>
      <w:bookmarkEnd w:id="1848"/>
      <w:bookmarkEnd w:id="1849"/>
      <w:bookmarkEnd w:id="1850"/>
    </w:p>
    <w:p w14:paraId="7E70714C">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1851" w:name="_Toc18734"/>
      <w:bookmarkStart w:id="1852" w:name="_Toc14229"/>
      <w:bookmarkStart w:id="1853" w:name="_Toc234833246"/>
      <w:bookmarkStart w:id="1854" w:name="_Toc30213"/>
      <w:bookmarkStart w:id="1855" w:name="_Toc22314"/>
      <w:r>
        <w:rPr>
          <w:rFonts w:hint="default" w:ascii="Times New Roman" w:hAnsi="Times New Roman" w:eastAsia="黑体" w:cs="Times New Roman"/>
          <w:b w:val="0"/>
          <w:color w:val="auto"/>
          <w:sz w:val="28"/>
          <w:szCs w:val="28"/>
          <w:highlight w:val="none"/>
        </w:rPr>
        <w:t>5. 工程量清单</w:t>
      </w:r>
      <w:bookmarkEnd w:id="1851"/>
      <w:bookmarkEnd w:id="1852"/>
      <w:bookmarkEnd w:id="1853"/>
      <w:bookmarkEnd w:id="1854"/>
      <w:bookmarkEnd w:id="1855"/>
    </w:p>
    <w:p w14:paraId="53B6E405">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56" w:name="_Toc7522"/>
      <w:r>
        <w:rPr>
          <w:rFonts w:hint="default" w:ascii="Times New Roman" w:hAnsi="Times New Roman" w:cs="Times New Roman"/>
          <w:color w:val="auto"/>
          <w:sz w:val="24"/>
          <w:highlight w:val="none"/>
        </w:rPr>
        <w:t>5.1 工程量清单表</w:t>
      </w:r>
      <w:bookmarkEnd w:id="1856"/>
    </w:p>
    <w:p w14:paraId="34C1887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4EA6AB8">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t>工 程 量 清 单</w:t>
      </w:r>
    </w:p>
    <w:p w14:paraId="0F74F256">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342A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14F98E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第100章   总  则</w:t>
            </w:r>
          </w:p>
        </w:tc>
      </w:tr>
      <w:tr w14:paraId="513C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8" w:space="0"/>
              <w:left w:val="single" w:color="auto" w:sz="12" w:space="0"/>
              <w:bottom w:val="single" w:color="auto" w:sz="4" w:space="0"/>
              <w:right w:val="single" w:color="auto" w:sz="4" w:space="0"/>
            </w:tcBorders>
            <w:noWrap w:val="0"/>
            <w:vAlign w:val="center"/>
          </w:tcPr>
          <w:p w14:paraId="51373CD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C92986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1DE46B1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26EF7F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8F6374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7CF82E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6DE1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1A904E6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026799D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通则</w:t>
            </w:r>
          </w:p>
        </w:tc>
        <w:tc>
          <w:tcPr>
            <w:tcW w:w="749" w:type="dxa"/>
            <w:tcBorders>
              <w:top w:val="single" w:color="auto" w:sz="4" w:space="0"/>
              <w:left w:val="single" w:color="auto" w:sz="4" w:space="0"/>
              <w:bottom w:val="single" w:color="auto" w:sz="4" w:space="0"/>
              <w:right w:val="single" w:color="auto" w:sz="4" w:space="0"/>
            </w:tcBorders>
            <w:noWrap w:val="0"/>
            <w:vAlign w:val="top"/>
          </w:tcPr>
          <w:p w14:paraId="3E98254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8D082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4986D5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98358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30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top"/>
          </w:tcPr>
          <w:p w14:paraId="7B286EA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072B4D1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保险费 </w:t>
            </w:r>
          </w:p>
        </w:tc>
        <w:tc>
          <w:tcPr>
            <w:tcW w:w="749" w:type="dxa"/>
            <w:tcBorders>
              <w:top w:val="single" w:color="auto" w:sz="4" w:space="0"/>
              <w:left w:val="single" w:color="auto" w:sz="4" w:space="0"/>
              <w:bottom w:val="single" w:color="auto" w:sz="4" w:space="0"/>
              <w:right w:val="single" w:color="auto" w:sz="4" w:space="0"/>
            </w:tcBorders>
            <w:noWrap w:val="0"/>
            <w:vAlign w:val="top"/>
          </w:tcPr>
          <w:p w14:paraId="52D01B2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11D41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F0887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11C3FC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04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right w:val="single" w:color="auto" w:sz="4" w:space="0"/>
            </w:tcBorders>
            <w:noWrap w:val="0"/>
            <w:vAlign w:val="top"/>
          </w:tcPr>
          <w:p w14:paraId="290B5D2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tcBorders>
              <w:top w:val="single" w:color="auto" w:sz="4" w:space="0"/>
              <w:left w:val="single" w:color="auto" w:sz="4" w:space="0"/>
              <w:right w:val="single" w:color="auto" w:sz="4" w:space="0"/>
            </w:tcBorders>
            <w:noWrap w:val="0"/>
            <w:vAlign w:val="top"/>
          </w:tcPr>
          <w:p w14:paraId="110FF98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按合同条款规定，提供建筑工程一切险</w:t>
            </w:r>
          </w:p>
        </w:tc>
        <w:tc>
          <w:tcPr>
            <w:tcW w:w="749" w:type="dxa"/>
            <w:tcBorders>
              <w:top w:val="single" w:color="auto" w:sz="4" w:space="0"/>
              <w:left w:val="single" w:color="auto" w:sz="4" w:space="0"/>
              <w:right w:val="single" w:color="auto" w:sz="4" w:space="0"/>
            </w:tcBorders>
            <w:noWrap w:val="0"/>
            <w:vAlign w:val="top"/>
          </w:tcPr>
          <w:p w14:paraId="4A113C1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700E9C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6891C5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24F9E6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CC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13C24D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2643E3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按合同条款规定，提供第三者责任险</w:t>
            </w:r>
          </w:p>
        </w:tc>
        <w:tc>
          <w:tcPr>
            <w:tcW w:w="749" w:type="dxa"/>
            <w:noWrap w:val="0"/>
            <w:vAlign w:val="top"/>
          </w:tcPr>
          <w:p w14:paraId="435A138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766AA9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77BD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CBEE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EC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352967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w:t>
            </w:r>
          </w:p>
        </w:tc>
        <w:tc>
          <w:tcPr>
            <w:tcW w:w="4732" w:type="dxa"/>
            <w:noWrap w:val="0"/>
            <w:vAlign w:val="center"/>
          </w:tcPr>
          <w:p w14:paraId="03F7998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工程管理</w:t>
            </w:r>
          </w:p>
        </w:tc>
        <w:tc>
          <w:tcPr>
            <w:tcW w:w="749" w:type="dxa"/>
            <w:noWrap w:val="0"/>
            <w:vAlign w:val="center"/>
          </w:tcPr>
          <w:p w14:paraId="4801304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0555A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80BE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30E0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19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8586A6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102-1</w:t>
            </w:r>
          </w:p>
        </w:tc>
        <w:tc>
          <w:tcPr>
            <w:tcW w:w="4732" w:type="dxa"/>
            <w:noWrap w:val="0"/>
            <w:vAlign w:val="center"/>
          </w:tcPr>
          <w:p w14:paraId="66EFA74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竣工文件</w:t>
            </w:r>
          </w:p>
        </w:tc>
        <w:tc>
          <w:tcPr>
            <w:tcW w:w="749" w:type="dxa"/>
            <w:noWrap w:val="0"/>
            <w:vAlign w:val="center"/>
          </w:tcPr>
          <w:p w14:paraId="4806F4D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4B404C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2FF7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2424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B6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3B5649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102-2</w:t>
            </w:r>
          </w:p>
        </w:tc>
        <w:tc>
          <w:tcPr>
            <w:tcW w:w="4732" w:type="dxa"/>
            <w:noWrap w:val="0"/>
            <w:vAlign w:val="center"/>
          </w:tcPr>
          <w:p w14:paraId="45BAA6A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施工环保费</w:t>
            </w:r>
          </w:p>
        </w:tc>
        <w:tc>
          <w:tcPr>
            <w:tcW w:w="749" w:type="dxa"/>
            <w:noWrap w:val="0"/>
            <w:vAlign w:val="center"/>
          </w:tcPr>
          <w:p w14:paraId="07FD4B6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664454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BEFC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21F6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52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E41E79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102-3</w:t>
            </w:r>
          </w:p>
        </w:tc>
        <w:tc>
          <w:tcPr>
            <w:tcW w:w="4732" w:type="dxa"/>
            <w:noWrap w:val="0"/>
            <w:vAlign w:val="center"/>
          </w:tcPr>
          <w:p w14:paraId="0EF9AE7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安全生产费</w:t>
            </w:r>
          </w:p>
        </w:tc>
        <w:tc>
          <w:tcPr>
            <w:tcW w:w="749" w:type="dxa"/>
            <w:noWrap w:val="0"/>
            <w:vAlign w:val="center"/>
          </w:tcPr>
          <w:p w14:paraId="7837AC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08BEB9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26D1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BA11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A2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4B6650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102-4</w:t>
            </w:r>
          </w:p>
        </w:tc>
        <w:tc>
          <w:tcPr>
            <w:tcW w:w="4732" w:type="dxa"/>
            <w:noWrap w:val="0"/>
            <w:vAlign w:val="center"/>
          </w:tcPr>
          <w:p w14:paraId="4A66A97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信息化系统（暂估价）</w:t>
            </w:r>
          </w:p>
        </w:tc>
        <w:tc>
          <w:tcPr>
            <w:tcW w:w="749" w:type="dxa"/>
            <w:noWrap w:val="0"/>
            <w:vAlign w:val="center"/>
          </w:tcPr>
          <w:p w14:paraId="00E7D4E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99ABC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C803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27072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B0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20A4B9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w:t>
            </w:r>
          </w:p>
        </w:tc>
        <w:tc>
          <w:tcPr>
            <w:tcW w:w="4732" w:type="dxa"/>
            <w:noWrap w:val="0"/>
            <w:vAlign w:val="center"/>
          </w:tcPr>
          <w:p w14:paraId="3E0B21C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临时工程与设施</w:t>
            </w:r>
          </w:p>
        </w:tc>
        <w:tc>
          <w:tcPr>
            <w:tcW w:w="749" w:type="dxa"/>
            <w:noWrap w:val="0"/>
            <w:vAlign w:val="top"/>
          </w:tcPr>
          <w:p w14:paraId="692F7F4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1A734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167A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39FC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65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25F77AF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103-1</w:t>
            </w:r>
          </w:p>
        </w:tc>
        <w:tc>
          <w:tcPr>
            <w:tcW w:w="4732" w:type="dxa"/>
            <w:noWrap w:val="0"/>
            <w:vAlign w:val="top"/>
          </w:tcPr>
          <w:p w14:paraId="4488486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临时道路修建、养护与拆除（包括原道路的养护）</w:t>
            </w:r>
          </w:p>
        </w:tc>
        <w:tc>
          <w:tcPr>
            <w:tcW w:w="749" w:type="dxa"/>
            <w:noWrap w:val="0"/>
            <w:vAlign w:val="top"/>
          </w:tcPr>
          <w:p w14:paraId="425CE3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0F42E9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0348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4463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D3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722F28D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103-2</w:t>
            </w:r>
          </w:p>
        </w:tc>
        <w:tc>
          <w:tcPr>
            <w:tcW w:w="4732" w:type="dxa"/>
            <w:noWrap w:val="0"/>
            <w:vAlign w:val="top"/>
          </w:tcPr>
          <w:p w14:paraId="5B7F470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临时占地</w:t>
            </w:r>
          </w:p>
        </w:tc>
        <w:tc>
          <w:tcPr>
            <w:tcW w:w="749" w:type="dxa"/>
            <w:noWrap w:val="0"/>
            <w:vAlign w:val="top"/>
          </w:tcPr>
          <w:p w14:paraId="7B1061E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BCC2C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E34F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14CF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A5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059B4A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103-3</w:t>
            </w:r>
          </w:p>
        </w:tc>
        <w:tc>
          <w:tcPr>
            <w:tcW w:w="4732" w:type="dxa"/>
            <w:noWrap w:val="0"/>
            <w:vAlign w:val="center"/>
          </w:tcPr>
          <w:p w14:paraId="5A74E0D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临时供电设施架设、维护与拆除</w:t>
            </w:r>
          </w:p>
        </w:tc>
        <w:tc>
          <w:tcPr>
            <w:tcW w:w="749" w:type="dxa"/>
            <w:noWrap w:val="0"/>
            <w:vAlign w:val="center"/>
          </w:tcPr>
          <w:p w14:paraId="3AED394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77C0F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A17D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F01E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61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CEB24A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103-4</w:t>
            </w:r>
          </w:p>
        </w:tc>
        <w:tc>
          <w:tcPr>
            <w:tcW w:w="4732" w:type="dxa"/>
            <w:noWrap w:val="0"/>
            <w:vAlign w:val="top"/>
          </w:tcPr>
          <w:p w14:paraId="260D0DF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电信设施的提供、维修与拆除</w:t>
            </w:r>
          </w:p>
        </w:tc>
        <w:tc>
          <w:tcPr>
            <w:tcW w:w="749" w:type="dxa"/>
            <w:noWrap w:val="0"/>
            <w:vAlign w:val="top"/>
          </w:tcPr>
          <w:p w14:paraId="01DCF32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074429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45A7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3565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48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E186A3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103-5</w:t>
            </w:r>
          </w:p>
        </w:tc>
        <w:tc>
          <w:tcPr>
            <w:tcW w:w="4732" w:type="dxa"/>
            <w:noWrap w:val="0"/>
            <w:vAlign w:val="center"/>
          </w:tcPr>
          <w:p w14:paraId="66BA20D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临时供水与排污设施</w:t>
            </w:r>
          </w:p>
        </w:tc>
        <w:tc>
          <w:tcPr>
            <w:tcW w:w="749" w:type="dxa"/>
            <w:noWrap w:val="0"/>
            <w:vAlign w:val="top"/>
          </w:tcPr>
          <w:p w14:paraId="38A8DAB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87C43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4CE6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9879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C0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3D75E3A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w:t>
            </w:r>
          </w:p>
        </w:tc>
        <w:tc>
          <w:tcPr>
            <w:tcW w:w="4732" w:type="dxa"/>
            <w:noWrap w:val="0"/>
            <w:vAlign w:val="center"/>
          </w:tcPr>
          <w:p w14:paraId="3AE760C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承包人驻地建设</w:t>
            </w:r>
          </w:p>
        </w:tc>
        <w:tc>
          <w:tcPr>
            <w:tcW w:w="749" w:type="dxa"/>
            <w:noWrap w:val="0"/>
            <w:vAlign w:val="top"/>
          </w:tcPr>
          <w:p w14:paraId="2C2B3F0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89706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702A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AD46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3E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6123272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104-1</w:t>
            </w:r>
          </w:p>
        </w:tc>
        <w:tc>
          <w:tcPr>
            <w:tcW w:w="4732" w:type="dxa"/>
            <w:noWrap w:val="0"/>
            <w:vAlign w:val="top"/>
          </w:tcPr>
          <w:p w14:paraId="6A7B92C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承包人驻地建设</w:t>
            </w:r>
          </w:p>
        </w:tc>
        <w:tc>
          <w:tcPr>
            <w:tcW w:w="749" w:type="dxa"/>
            <w:noWrap w:val="0"/>
            <w:vAlign w:val="top"/>
          </w:tcPr>
          <w:p w14:paraId="763FEB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7EF609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994B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1F3D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79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5972A2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w:t>
            </w:r>
          </w:p>
        </w:tc>
        <w:tc>
          <w:tcPr>
            <w:tcW w:w="4732" w:type="dxa"/>
            <w:noWrap w:val="0"/>
            <w:vAlign w:val="center"/>
          </w:tcPr>
          <w:p w14:paraId="0F9257E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施工标准化</w:t>
            </w:r>
          </w:p>
        </w:tc>
        <w:tc>
          <w:tcPr>
            <w:tcW w:w="749" w:type="dxa"/>
            <w:noWrap w:val="0"/>
            <w:vAlign w:val="center"/>
          </w:tcPr>
          <w:p w14:paraId="56C19D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33730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40DC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10D6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FF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44E376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105-1</w:t>
            </w:r>
          </w:p>
        </w:tc>
        <w:tc>
          <w:tcPr>
            <w:tcW w:w="4732" w:type="dxa"/>
            <w:noWrap w:val="0"/>
            <w:vAlign w:val="center"/>
          </w:tcPr>
          <w:p w14:paraId="1331FFC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施工驻地</w:t>
            </w:r>
          </w:p>
        </w:tc>
        <w:tc>
          <w:tcPr>
            <w:tcW w:w="749" w:type="dxa"/>
            <w:noWrap w:val="0"/>
            <w:vAlign w:val="center"/>
          </w:tcPr>
          <w:p w14:paraId="783D7DD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0D1F45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362A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8E262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C8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08B5FE3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105-2</w:t>
            </w:r>
          </w:p>
        </w:tc>
        <w:tc>
          <w:tcPr>
            <w:tcW w:w="4732" w:type="dxa"/>
            <w:noWrap w:val="0"/>
            <w:vAlign w:val="center"/>
          </w:tcPr>
          <w:p w14:paraId="5BDCE4C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工地试验室</w:t>
            </w:r>
          </w:p>
        </w:tc>
        <w:tc>
          <w:tcPr>
            <w:tcW w:w="749" w:type="dxa"/>
            <w:noWrap w:val="0"/>
            <w:vAlign w:val="center"/>
          </w:tcPr>
          <w:p w14:paraId="79DD584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336A8C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B8ED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D1B6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F2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CCEC7A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105-3</w:t>
            </w:r>
          </w:p>
        </w:tc>
        <w:tc>
          <w:tcPr>
            <w:tcW w:w="4732" w:type="dxa"/>
            <w:noWrap w:val="0"/>
            <w:vAlign w:val="center"/>
          </w:tcPr>
          <w:p w14:paraId="3207ED8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拌和站</w:t>
            </w:r>
          </w:p>
        </w:tc>
        <w:tc>
          <w:tcPr>
            <w:tcW w:w="749" w:type="dxa"/>
            <w:noWrap w:val="0"/>
            <w:vAlign w:val="center"/>
          </w:tcPr>
          <w:p w14:paraId="5AC1E9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46BADE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110E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282F4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2F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C1EDBE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105-4</w:t>
            </w:r>
          </w:p>
        </w:tc>
        <w:tc>
          <w:tcPr>
            <w:tcW w:w="4732" w:type="dxa"/>
            <w:noWrap w:val="0"/>
            <w:vAlign w:val="center"/>
          </w:tcPr>
          <w:p w14:paraId="0E0165F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钢筋加工场</w:t>
            </w:r>
          </w:p>
        </w:tc>
        <w:tc>
          <w:tcPr>
            <w:tcW w:w="749" w:type="dxa"/>
            <w:noWrap w:val="0"/>
            <w:vAlign w:val="center"/>
          </w:tcPr>
          <w:p w14:paraId="7AA7CA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53D8AB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B949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358E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07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4464BF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105-5</w:t>
            </w:r>
          </w:p>
        </w:tc>
        <w:tc>
          <w:tcPr>
            <w:tcW w:w="4732" w:type="dxa"/>
            <w:noWrap w:val="0"/>
            <w:vAlign w:val="center"/>
          </w:tcPr>
          <w:p w14:paraId="73B6E67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预制场</w:t>
            </w:r>
          </w:p>
        </w:tc>
        <w:tc>
          <w:tcPr>
            <w:tcW w:w="749" w:type="dxa"/>
            <w:noWrap w:val="0"/>
            <w:vAlign w:val="center"/>
          </w:tcPr>
          <w:p w14:paraId="40E2FB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2D9565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E9E3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F69B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14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D2CC2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105-6</w:t>
            </w:r>
          </w:p>
        </w:tc>
        <w:tc>
          <w:tcPr>
            <w:tcW w:w="4732" w:type="dxa"/>
            <w:noWrap w:val="0"/>
            <w:vAlign w:val="center"/>
          </w:tcPr>
          <w:p w14:paraId="41F7723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仓储存放地</w:t>
            </w:r>
          </w:p>
        </w:tc>
        <w:tc>
          <w:tcPr>
            <w:tcW w:w="749" w:type="dxa"/>
            <w:noWrap w:val="0"/>
            <w:vAlign w:val="center"/>
          </w:tcPr>
          <w:p w14:paraId="08C5C4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2446E8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1FA2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AD97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A9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92C05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105-7</w:t>
            </w:r>
          </w:p>
        </w:tc>
        <w:tc>
          <w:tcPr>
            <w:tcW w:w="4732" w:type="dxa"/>
            <w:noWrap w:val="0"/>
            <w:vAlign w:val="center"/>
          </w:tcPr>
          <w:p w14:paraId="1B5F79B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各场（厂）区、作业区连接道路及施工主便道</w:t>
            </w:r>
          </w:p>
        </w:tc>
        <w:tc>
          <w:tcPr>
            <w:tcW w:w="749" w:type="dxa"/>
            <w:noWrap w:val="0"/>
            <w:vAlign w:val="center"/>
          </w:tcPr>
          <w:p w14:paraId="260A36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6CD572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385D5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17F07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C1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32A4034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600F5A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17C525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72617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8367B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EF6E1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38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60FEB0F6">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清单第100章合计  人民币</w:t>
            </w:r>
            <w:r>
              <w:rPr>
                <w:rFonts w:hint="default" w:ascii="Times New Roman" w:hAnsi="Times New Roman" w:cs="Times New Roman"/>
                <w:color w:val="auto"/>
                <w:szCs w:val="21"/>
                <w:highlight w:val="none"/>
                <w:u w:val="single"/>
              </w:rPr>
              <w:t xml:space="preserve">                    </w:t>
            </w:r>
          </w:p>
        </w:tc>
      </w:tr>
    </w:tbl>
    <w:p w14:paraId="03D41127">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67F39E1A">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2439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FB92A5A">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第200章   路  基</w:t>
            </w:r>
          </w:p>
        </w:tc>
      </w:tr>
      <w:tr w14:paraId="0FFC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431976A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184DDF8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71EFA75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E26CC3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7A9A4E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259867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007C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32DC38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202</w:t>
            </w:r>
          </w:p>
        </w:tc>
        <w:tc>
          <w:tcPr>
            <w:tcW w:w="4732" w:type="dxa"/>
            <w:tcBorders>
              <w:top w:val="single" w:color="auto" w:sz="4" w:space="0"/>
              <w:left w:val="single" w:color="auto" w:sz="4" w:space="0"/>
              <w:right w:val="single" w:color="auto" w:sz="4" w:space="0"/>
            </w:tcBorders>
            <w:noWrap w:val="0"/>
            <w:vAlign w:val="center"/>
          </w:tcPr>
          <w:p w14:paraId="265125E2">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场地清理</w:t>
            </w:r>
          </w:p>
        </w:tc>
        <w:tc>
          <w:tcPr>
            <w:tcW w:w="749" w:type="dxa"/>
            <w:tcBorders>
              <w:top w:val="single" w:color="auto" w:sz="4" w:space="0"/>
              <w:left w:val="single" w:color="auto" w:sz="4" w:space="0"/>
              <w:right w:val="single" w:color="auto" w:sz="4" w:space="0"/>
            </w:tcBorders>
            <w:noWrap w:val="0"/>
            <w:vAlign w:val="top"/>
          </w:tcPr>
          <w:p w14:paraId="0FCA3AC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5774E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905CE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2DC011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F3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0FD6DD3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w:t>
            </w:r>
          </w:p>
        </w:tc>
        <w:tc>
          <w:tcPr>
            <w:tcW w:w="4732" w:type="dxa"/>
            <w:tcBorders>
              <w:top w:val="single" w:color="auto" w:sz="4" w:space="0"/>
              <w:left w:val="single" w:color="auto" w:sz="4" w:space="0"/>
              <w:right w:val="single" w:color="auto" w:sz="4" w:space="0"/>
            </w:tcBorders>
            <w:noWrap w:val="0"/>
            <w:vAlign w:val="top"/>
          </w:tcPr>
          <w:p w14:paraId="1139624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清理与掘除</w:t>
            </w:r>
          </w:p>
        </w:tc>
        <w:tc>
          <w:tcPr>
            <w:tcW w:w="749" w:type="dxa"/>
            <w:tcBorders>
              <w:top w:val="single" w:color="auto" w:sz="4" w:space="0"/>
              <w:left w:val="single" w:color="auto" w:sz="4" w:space="0"/>
              <w:right w:val="single" w:color="auto" w:sz="4" w:space="0"/>
            </w:tcBorders>
            <w:noWrap w:val="0"/>
            <w:vAlign w:val="top"/>
          </w:tcPr>
          <w:p w14:paraId="75E7537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7B421B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8D648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F93EF5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8A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3337E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DC0900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清理现场</w:t>
            </w:r>
          </w:p>
        </w:tc>
        <w:tc>
          <w:tcPr>
            <w:tcW w:w="749" w:type="dxa"/>
            <w:noWrap w:val="0"/>
            <w:vAlign w:val="top"/>
          </w:tcPr>
          <w:p w14:paraId="3A7E00C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78A0A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B952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F5E35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61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C54B8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E033D5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砍伐树木</w:t>
            </w:r>
          </w:p>
        </w:tc>
        <w:tc>
          <w:tcPr>
            <w:tcW w:w="749" w:type="dxa"/>
            <w:noWrap w:val="0"/>
            <w:vAlign w:val="top"/>
          </w:tcPr>
          <w:p w14:paraId="3EFBDE5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21CB0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D291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040D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8F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17DDB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46D2028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挖除树根</w:t>
            </w:r>
          </w:p>
        </w:tc>
        <w:tc>
          <w:tcPr>
            <w:tcW w:w="749" w:type="dxa"/>
            <w:noWrap w:val="0"/>
            <w:vAlign w:val="top"/>
          </w:tcPr>
          <w:p w14:paraId="1D6A7B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506F0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85DE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79FD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02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713D2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w:t>
            </w:r>
          </w:p>
        </w:tc>
        <w:tc>
          <w:tcPr>
            <w:tcW w:w="4732" w:type="dxa"/>
            <w:noWrap w:val="0"/>
            <w:vAlign w:val="top"/>
          </w:tcPr>
          <w:p w14:paraId="79AEB74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挖除旧路面</w:t>
            </w:r>
          </w:p>
        </w:tc>
        <w:tc>
          <w:tcPr>
            <w:tcW w:w="749" w:type="dxa"/>
            <w:noWrap w:val="0"/>
            <w:vAlign w:val="top"/>
          </w:tcPr>
          <w:p w14:paraId="26A1B77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F5506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C3F8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6856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88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C315A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522941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水泥混凝土路面</w:t>
            </w:r>
          </w:p>
        </w:tc>
        <w:tc>
          <w:tcPr>
            <w:tcW w:w="749" w:type="dxa"/>
            <w:noWrap w:val="0"/>
            <w:vAlign w:val="top"/>
          </w:tcPr>
          <w:p w14:paraId="3149751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40C99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7AFA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5069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13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ADD65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0BF1E94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沥青混凝土路面</w:t>
            </w:r>
          </w:p>
        </w:tc>
        <w:tc>
          <w:tcPr>
            <w:tcW w:w="749" w:type="dxa"/>
            <w:noWrap w:val="0"/>
            <w:vAlign w:val="top"/>
          </w:tcPr>
          <w:p w14:paraId="1075FBE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2CEE9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D24F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67C4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1C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4A4B7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3E8D5B3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碎石路面</w:t>
            </w:r>
          </w:p>
        </w:tc>
        <w:tc>
          <w:tcPr>
            <w:tcW w:w="749" w:type="dxa"/>
            <w:noWrap w:val="0"/>
            <w:vAlign w:val="top"/>
          </w:tcPr>
          <w:p w14:paraId="2A08E73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D902D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5550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3AB58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E2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1885B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202-3</w:t>
            </w:r>
          </w:p>
        </w:tc>
        <w:tc>
          <w:tcPr>
            <w:tcW w:w="4732" w:type="dxa"/>
            <w:noWrap w:val="0"/>
            <w:vAlign w:val="top"/>
          </w:tcPr>
          <w:p w14:paraId="2087A12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拆除结构物</w:t>
            </w:r>
          </w:p>
        </w:tc>
        <w:tc>
          <w:tcPr>
            <w:tcW w:w="749" w:type="dxa"/>
            <w:noWrap w:val="0"/>
            <w:vAlign w:val="top"/>
          </w:tcPr>
          <w:p w14:paraId="5060529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BC63E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4291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7ABD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74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0ACA68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F5185C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钢筋混凝土结构</w:t>
            </w:r>
          </w:p>
        </w:tc>
        <w:tc>
          <w:tcPr>
            <w:tcW w:w="749" w:type="dxa"/>
            <w:noWrap w:val="0"/>
            <w:vAlign w:val="top"/>
          </w:tcPr>
          <w:p w14:paraId="462228C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38BE4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66A3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0502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98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B8AE6D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A2B0D4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混凝土结构</w:t>
            </w:r>
          </w:p>
        </w:tc>
        <w:tc>
          <w:tcPr>
            <w:tcW w:w="749" w:type="dxa"/>
            <w:noWrap w:val="0"/>
            <w:vAlign w:val="top"/>
          </w:tcPr>
          <w:p w14:paraId="02BDCDC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52B3E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A397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0233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48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74412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4DC4AAC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砖、石及其他砌体结构</w:t>
            </w:r>
          </w:p>
        </w:tc>
        <w:tc>
          <w:tcPr>
            <w:tcW w:w="749" w:type="dxa"/>
            <w:noWrap w:val="0"/>
            <w:vAlign w:val="top"/>
          </w:tcPr>
          <w:p w14:paraId="06A2777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BC0D7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5B30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FDC06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2F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BF61A1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732" w:type="dxa"/>
            <w:noWrap w:val="0"/>
            <w:vAlign w:val="center"/>
          </w:tcPr>
          <w:p w14:paraId="5EE48DD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金属结构</w:t>
            </w:r>
          </w:p>
        </w:tc>
        <w:tc>
          <w:tcPr>
            <w:tcW w:w="749" w:type="dxa"/>
            <w:noWrap w:val="0"/>
            <w:vAlign w:val="center"/>
          </w:tcPr>
          <w:p w14:paraId="42D300B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0F6F2C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F20B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1F2F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2F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0FF0F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202-4</w:t>
            </w:r>
          </w:p>
        </w:tc>
        <w:tc>
          <w:tcPr>
            <w:tcW w:w="4732" w:type="dxa"/>
            <w:noWrap w:val="0"/>
            <w:vAlign w:val="center"/>
          </w:tcPr>
          <w:p w14:paraId="1D80239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植物移栽</w:t>
            </w:r>
          </w:p>
        </w:tc>
        <w:tc>
          <w:tcPr>
            <w:tcW w:w="749" w:type="dxa"/>
            <w:noWrap w:val="0"/>
            <w:vAlign w:val="center"/>
          </w:tcPr>
          <w:p w14:paraId="22425D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EEA8E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EC98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CA919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A8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C165B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4A06FFF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移栽乔（灌）木</w:t>
            </w:r>
          </w:p>
        </w:tc>
        <w:tc>
          <w:tcPr>
            <w:tcW w:w="749" w:type="dxa"/>
            <w:noWrap w:val="0"/>
            <w:vAlign w:val="center"/>
          </w:tcPr>
          <w:p w14:paraId="43EC2EE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93B13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5F56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990DF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6E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4F884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3F1F8AA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移栽草皮</w:t>
            </w:r>
          </w:p>
        </w:tc>
        <w:tc>
          <w:tcPr>
            <w:tcW w:w="749" w:type="dxa"/>
            <w:noWrap w:val="0"/>
            <w:vAlign w:val="center"/>
          </w:tcPr>
          <w:p w14:paraId="67DFFAC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72CB5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3272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EE89F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04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5750C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203</w:t>
            </w:r>
          </w:p>
        </w:tc>
        <w:tc>
          <w:tcPr>
            <w:tcW w:w="4732" w:type="dxa"/>
            <w:noWrap w:val="0"/>
            <w:vAlign w:val="center"/>
          </w:tcPr>
          <w:p w14:paraId="1467A96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挖方路基</w:t>
            </w:r>
          </w:p>
        </w:tc>
        <w:tc>
          <w:tcPr>
            <w:tcW w:w="749" w:type="dxa"/>
            <w:noWrap w:val="0"/>
            <w:vAlign w:val="top"/>
          </w:tcPr>
          <w:p w14:paraId="5549AD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E6F05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BA0C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7BE9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FD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4A005A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w:t>
            </w:r>
          </w:p>
        </w:tc>
        <w:tc>
          <w:tcPr>
            <w:tcW w:w="4732" w:type="dxa"/>
            <w:noWrap w:val="0"/>
            <w:vAlign w:val="top"/>
          </w:tcPr>
          <w:p w14:paraId="397F5D9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路基挖方</w:t>
            </w:r>
          </w:p>
        </w:tc>
        <w:tc>
          <w:tcPr>
            <w:tcW w:w="749" w:type="dxa"/>
            <w:noWrap w:val="0"/>
            <w:vAlign w:val="top"/>
          </w:tcPr>
          <w:p w14:paraId="057D13C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E80E1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D8CB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DBAC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F3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7AA53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156AD0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挖土方</w:t>
            </w:r>
          </w:p>
        </w:tc>
        <w:tc>
          <w:tcPr>
            <w:tcW w:w="749" w:type="dxa"/>
            <w:noWrap w:val="0"/>
            <w:vAlign w:val="top"/>
          </w:tcPr>
          <w:p w14:paraId="64E2012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56833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1B34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D496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69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66030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1AFA91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挖石方</w:t>
            </w:r>
          </w:p>
        </w:tc>
        <w:tc>
          <w:tcPr>
            <w:tcW w:w="749" w:type="dxa"/>
            <w:noWrap w:val="0"/>
            <w:vAlign w:val="top"/>
          </w:tcPr>
          <w:p w14:paraId="29D9A7D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13E38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8639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0BC1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02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B14E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333878D1">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挖除非适用材料（不含淤泥、岩盐、冻土）</w:t>
            </w:r>
          </w:p>
        </w:tc>
        <w:tc>
          <w:tcPr>
            <w:tcW w:w="749" w:type="dxa"/>
            <w:noWrap w:val="0"/>
            <w:vAlign w:val="top"/>
          </w:tcPr>
          <w:p w14:paraId="3A98596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CFB92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1D36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F8D2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75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F1A6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732" w:type="dxa"/>
            <w:noWrap w:val="0"/>
            <w:vAlign w:val="top"/>
          </w:tcPr>
          <w:p w14:paraId="355FD94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挖淤泥</w:t>
            </w:r>
          </w:p>
        </w:tc>
        <w:tc>
          <w:tcPr>
            <w:tcW w:w="749" w:type="dxa"/>
            <w:noWrap w:val="0"/>
            <w:vAlign w:val="top"/>
          </w:tcPr>
          <w:p w14:paraId="791384C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4C01E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59E5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0463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19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4D79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1E74E805">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挖岩盐</w:t>
            </w:r>
          </w:p>
        </w:tc>
        <w:tc>
          <w:tcPr>
            <w:tcW w:w="749" w:type="dxa"/>
            <w:noWrap w:val="0"/>
            <w:vAlign w:val="center"/>
          </w:tcPr>
          <w:p w14:paraId="24117B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987E3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9436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927C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51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CC41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762B51E0">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挖冻土</w:t>
            </w:r>
          </w:p>
        </w:tc>
        <w:tc>
          <w:tcPr>
            <w:tcW w:w="749" w:type="dxa"/>
            <w:noWrap w:val="0"/>
            <w:vAlign w:val="center"/>
          </w:tcPr>
          <w:p w14:paraId="4AB02B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06C23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2440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AEB3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E8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2D62E4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w:t>
            </w:r>
          </w:p>
        </w:tc>
        <w:tc>
          <w:tcPr>
            <w:tcW w:w="4732" w:type="dxa"/>
            <w:noWrap w:val="0"/>
            <w:vAlign w:val="top"/>
          </w:tcPr>
          <w:p w14:paraId="7AFD613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改河、改渠、改路挖方</w:t>
            </w:r>
          </w:p>
        </w:tc>
        <w:tc>
          <w:tcPr>
            <w:tcW w:w="749" w:type="dxa"/>
            <w:noWrap w:val="0"/>
            <w:vAlign w:val="top"/>
          </w:tcPr>
          <w:p w14:paraId="0A72285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8AB80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3F70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1DB8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18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D0F12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21AC33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挖土方</w:t>
            </w:r>
          </w:p>
        </w:tc>
        <w:tc>
          <w:tcPr>
            <w:tcW w:w="749" w:type="dxa"/>
            <w:noWrap w:val="0"/>
            <w:vAlign w:val="top"/>
          </w:tcPr>
          <w:p w14:paraId="1321625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74C1F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AB43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F86E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5D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38CFF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D20519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挖石方</w:t>
            </w:r>
          </w:p>
        </w:tc>
        <w:tc>
          <w:tcPr>
            <w:tcW w:w="749" w:type="dxa"/>
            <w:noWrap w:val="0"/>
            <w:vAlign w:val="top"/>
          </w:tcPr>
          <w:p w14:paraId="22FCF60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DB99C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B8EE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8E5EC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D6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0198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4655C8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挖除非适用材料（不含淤泥、岩盐、冻土）</w:t>
            </w:r>
          </w:p>
        </w:tc>
        <w:tc>
          <w:tcPr>
            <w:tcW w:w="749" w:type="dxa"/>
            <w:noWrap w:val="0"/>
            <w:vAlign w:val="center"/>
          </w:tcPr>
          <w:p w14:paraId="7BBDD1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1F0D0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F6FA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3CB2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61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6A1F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C42E1D8">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挖淤泥</w:t>
            </w:r>
          </w:p>
        </w:tc>
        <w:tc>
          <w:tcPr>
            <w:tcW w:w="749" w:type="dxa"/>
            <w:noWrap w:val="0"/>
            <w:vAlign w:val="center"/>
          </w:tcPr>
          <w:p w14:paraId="4E02B4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65A1C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7876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67D6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52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0E75C1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tcBorders>
              <w:bottom w:val="single" w:color="auto" w:sz="4" w:space="0"/>
            </w:tcBorders>
            <w:noWrap w:val="0"/>
            <w:vAlign w:val="center"/>
          </w:tcPr>
          <w:p w14:paraId="72713EF9">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挖岩盐</w:t>
            </w:r>
          </w:p>
        </w:tc>
        <w:tc>
          <w:tcPr>
            <w:tcW w:w="749" w:type="dxa"/>
            <w:tcBorders>
              <w:bottom w:val="single" w:color="auto" w:sz="4" w:space="0"/>
            </w:tcBorders>
            <w:noWrap w:val="0"/>
            <w:vAlign w:val="center"/>
          </w:tcPr>
          <w:p w14:paraId="144F89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tcBorders>
              <w:bottom w:val="single" w:color="auto" w:sz="4" w:space="0"/>
            </w:tcBorders>
            <w:noWrap w:val="0"/>
            <w:vAlign w:val="center"/>
          </w:tcPr>
          <w:p w14:paraId="2F8AE6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008B49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6050C1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8C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6F8A13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tcBorders>
              <w:bottom w:val="single" w:color="auto" w:sz="4" w:space="0"/>
            </w:tcBorders>
            <w:noWrap w:val="0"/>
            <w:vAlign w:val="center"/>
          </w:tcPr>
          <w:p w14:paraId="08BBB789">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挖冻土</w:t>
            </w:r>
          </w:p>
        </w:tc>
        <w:tc>
          <w:tcPr>
            <w:tcW w:w="749" w:type="dxa"/>
            <w:tcBorders>
              <w:bottom w:val="single" w:color="auto" w:sz="4" w:space="0"/>
            </w:tcBorders>
            <w:noWrap w:val="0"/>
            <w:vAlign w:val="center"/>
          </w:tcPr>
          <w:p w14:paraId="3777F3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tcBorders>
              <w:bottom w:val="single" w:color="auto" w:sz="4" w:space="0"/>
            </w:tcBorders>
            <w:noWrap w:val="0"/>
            <w:vAlign w:val="center"/>
          </w:tcPr>
          <w:p w14:paraId="4AE35D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7C41B4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59128D6A">
            <w:pPr>
              <w:pageBreakBefore w:val="0"/>
              <w:kinsoku/>
              <w:wordWrap w:val="0"/>
              <w:bidi w:val="0"/>
              <w:spacing w:line="360" w:lineRule="atLeast"/>
              <w:jc w:val="center"/>
              <w:rPr>
                <w:rFonts w:hint="default" w:ascii="Times New Roman" w:hAnsi="Times New Roman" w:cs="Times New Roman"/>
                <w:color w:val="auto"/>
                <w:szCs w:val="21"/>
                <w:highlight w:val="none"/>
              </w:rPr>
            </w:pPr>
          </w:p>
        </w:tc>
      </w:tr>
    </w:tbl>
    <w:p w14:paraId="3252946D">
      <w:pPr>
        <w:pageBreakBefore w:val="0"/>
        <w:kinsoku/>
        <w:wordWrap w:val="0"/>
        <w:bidi w:val="0"/>
        <w:rPr>
          <w:rFonts w:hint="default" w:ascii="Times New Roman" w:hAnsi="Times New Roman" w:cs="Times New Roman"/>
          <w:color w:val="auto"/>
          <w:sz w:val="10"/>
          <w:szCs w:val="10"/>
          <w:highlight w:val="none"/>
        </w:rPr>
      </w:pPr>
      <w:r>
        <w:rPr>
          <w:rFonts w:hint="default" w:ascii="Times New Roman" w:hAnsi="Times New Roman" w:cs="Times New Roman"/>
          <w:color w:val="auto"/>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D8B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31ADF13">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第200章   路  基</w:t>
            </w:r>
          </w:p>
        </w:tc>
      </w:tr>
      <w:tr w14:paraId="5308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74619D5E">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0E33FD0A">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2B1016F2">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180FC2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470606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0AF9E5E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448B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B3229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204</w:t>
            </w:r>
          </w:p>
        </w:tc>
        <w:tc>
          <w:tcPr>
            <w:tcW w:w="4732" w:type="dxa"/>
            <w:noWrap w:val="0"/>
            <w:vAlign w:val="center"/>
          </w:tcPr>
          <w:p w14:paraId="5B10301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填方路基</w:t>
            </w:r>
          </w:p>
        </w:tc>
        <w:tc>
          <w:tcPr>
            <w:tcW w:w="749" w:type="dxa"/>
            <w:noWrap w:val="0"/>
            <w:vAlign w:val="top"/>
          </w:tcPr>
          <w:p w14:paraId="026463D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4625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38F3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450A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61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AAF62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204-1</w:t>
            </w:r>
          </w:p>
        </w:tc>
        <w:tc>
          <w:tcPr>
            <w:tcW w:w="4732" w:type="dxa"/>
            <w:noWrap w:val="0"/>
            <w:vAlign w:val="top"/>
          </w:tcPr>
          <w:p w14:paraId="6253331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路基填筑（包括填前压实）</w:t>
            </w:r>
          </w:p>
        </w:tc>
        <w:tc>
          <w:tcPr>
            <w:tcW w:w="749" w:type="dxa"/>
            <w:noWrap w:val="0"/>
            <w:vAlign w:val="top"/>
          </w:tcPr>
          <w:p w14:paraId="39D43E1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C640E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05A2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0714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40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BEEAD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5870764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利用土方</w:t>
            </w:r>
          </w:p>
        </w:tc>
        <w:tc>
          <w:tcPr>
            <w:tcW w:w="749" w:type="dxa"/>
            <w:noWrap w:val="0"/>
            <w:vAlign w:val="center"/>
          </w:tcPr>
          <w:p w14:paraId="4389A42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09F25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0296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09C7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C7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1D200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28E48D6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利用石方</w:t>
            </w:r>
          </w:p>
        </w:tc>
        <w:tc>
          <w:tcPr>
            <w:tcW w:w="749" w:type="dxa"/>
            <w:noWrap w:val="0"/>
            <w:vAlign w:val="center"/>
          </w:tcPr>
          <w:p w14:paraId="3D2D5B1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4FB66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FB84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C586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64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36434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1C5578E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利用土石混填</w:t>
            </w:r>
          </w:p>
        </w:tc>
        <w:tc>
          <w:tcPr>
            <w:tcW w:w="749" w:type="dxa"/>
            <w:noWrap w:val="0"/>
            <w:vAlign w:val="center"/>
          </w:tcPr>
          <w:p w14:paraId="3CC0AAB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39A3D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3C86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EEB3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F7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67249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1D34F1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借土填方</w:t>
            </w:r>
          </w:p>
        </w:tc>
        <w:tc>
          <w:tcPr>
            <w:tcW w:w="749" w:type="dxa"/>
            <w:noWrap w:val="0"/>
            <w:vAlign w:val="center"/>
          </w:tcPr>
          <w:p w14:paraId="15E0EDE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9A56A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E44F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0FE8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7C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2A47A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565D0466">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粉煤灰及矿渣路堤</w:t>
            </w:r>
          </w:p>
        </w:tc>
        <w:tc>
          <w:tcPr>
            <w:tcW w:w="749" w:type="dxa"/>
            <w:noWrap w:val="0"/>
            <w:vAlign w:val="center"/>
          </w:tcPr>
          <w:p w14:paraId="1362C24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03C41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603B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D529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54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12F89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746C1DB3">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吹填砂路堤</w:t>
            </w:r>
          </w:p>
        </w:tc>
        <w:tc>
          <w:tcPr>
            <w:tcW w:w="749" w:type="dxa"/>
            <w:noWrap w:val="0"/>
            <w:vAlign w:val="center"/>
          </w:tcPr>
          <w:p w14:paraId="55CE74D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E8F3B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7724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315D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45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A7EC1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0B9CDA25">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EPS路堤</w:t>
            </w:r>
          </w:p>
        </w:tc>
        <w:tc>
          <w:tcPr>
            <w:tcW w:w="749" w:type="dxa"/>
            <w:noWrap w:val="0"/>
            <w:vAlign w:val="center"/>
          </w:tcPr>
          <w:p w14:paraId="6376887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DD17A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3650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1478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2A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D81CC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4732" w:type="dxa"/>
            <w:noWrap w:val="0"/>
            <w:vAlign w:val="center"/>
          </w:tcPr>
          <w:p w14:paraId="57855E2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结构物台背回填</w:t>
            </w:r>
          </w:p>
        </w:tc>
        <w:tc>
          <w:tcPr>
            <w:tcW w:w="749" w:type="dxa"/>
            <w:noWrap w:val="0"/>
            <w:vAlign w:val="center"/>
          </w:tcPr>
          <w:p w14:paraId="149DCD3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9CB06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7660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7482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E4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01D60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-i</w:t>
            </w:r>
          </w:p>
        </w:tc>
        <w:tc>
          <w:tcPr>
            <w:tcW w:w="4732" w:type="dxa"/>
            <w:noWrap w:val="0"/>
            <w:vAlign w:val="center"/>
          </w:tcPr>
          <w:p w14:paraId="22F33A0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锥坡及台前溜坡填土</w:t>
            </w:r>
          </w:p>
        </w:tc>
        <w:tc>
          <w:tcPr>
            <w:tcW w:w="749" w:type="dxa"/>
            <w:noWrap w:val="0"/>
            <w:vAlign w:val="center"/>
          </w:tcPr>
          <w:p w14:paraId="3569ABE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EF6A7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060A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A7E6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B0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CDCB001">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w:t>
            </w:r>
          </w:p>
        </w:tc>
        <w:tc>
          <w:tcPr>
            <w:tcW w:w="4732" w:type="dxa"/>
            <w:noWrap w:val="0"/>
            <w:vAlign w:val="top"/>
          </w:tcPr>
          <w:p w14:paraId="0E678F3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改河、改渠、改路填筑</w:t>
            </w:r>
          </w:p>
        </w:tc>
        <w:tc>
          <w:tcPr>
            <w:tcW w:w="749" w:type="dxa"/>
            <w:noWrap w:val="0"/>
            <w:vAlign w:val="top"/>
          </w:tcPr>
          <w:p w14:paraId="41FAE558">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B0637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C487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404B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BB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7B590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5DF03B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利用土方</w:t>
            </w:r>
          </w:p>
        </w:tc>
        <w:tc>
          <w:tcPr>
            <w:tcW w:w="749" w:type="dxa"/>
            <w:noWrap w:val="0"/>
            <w:vAlign w:val="top"/>
          </w:tcPr>
          <w:p w14:paraId="60C67FA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BD8A3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856E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C578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2D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6642DF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641D27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利用石方</w:t>
            </w:r>
          </w:p>
        </w:tc>
        <w:tc>
          <w:tcPr>
            <w:tcW w:w="749" w:type="dxa"/>
            <w:noWrap w:val="0"/>
            <w:vAlign w:val="top"/>
          </w:tcPr>
          <w:p w14:paraId="5D73625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8E351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EDA0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3354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88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123C9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39AE5B0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利用土石混填</w:t>
            </w:r>
          </w:p>
        </w:tc>
        <w:tc>
          <w:tcPr>
            <w:tcW w:w="749" w:type="dxa"/>
            <w:noWrap w:val="0"/>
            <w:vAlign w:val="center"/>
          </w:tcPr>
          <w:p w14:paraId="01FE5C4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F73AC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9DB9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607D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13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B4833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35EBCD3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借土填方</w:t>
            </w:r>
          </w:p>
        </w:tc>
        <w:tc>
          <w:tcPr>
            <w:tcW w:w="749" w:type="dxa"/>
            <w:noWrap w:val="0"/>
            <w:vAlign w:val="center"/>
          </w:tcPr>
          <w:p w14:paraId="6DF10BA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AA050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DC81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D433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83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4069C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205</w:t>
            </w:r>
          </w:p>
        </w:tc>
        <w:tc>
          <w:tcPr>
            <w:tcW w:w="4732" w:type="dxa"/>
            <w:noWrap w:val="0"/>
            <w:vAlign w:val="center"/>
          </w:tcPr>
          <w:p w14:paraId="550DA98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特殊地区路基处理</w:t>
            </w:r>
          </w:p>
        </w:tc>
        <w:tc>
          <w:tcPr>
            <w:tcW w:w="749" w:type="dxa"/>
            <w:noWrap w:val="0"/>
            <w:vAlign w:val="top"/>
          </w:tcPr>
          <w:p w14:paraId="4812998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D7D47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3184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3F61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BE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A5B63D9">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205-1</w:t>
            </w:r>
          </w:p>
        </w:tc>
        <w:tc>
          <w:tcPr>
            <w:tcW w:w="4732" w:type="dxa"/>
            <w:noWrap w:val="0"/>
            <w:vAlign w:val="top"/>
          </w:tcPr>
          <w:p w14:paraId="2693F8B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软土路基处理</w:t>
            </w:r>
          </w:p>
        </w:tc>
        <w:tc>
          <w:tcPr>
            <w:tcW w:w="749" w:type="dxa"/>
            <w:noWrap w:val="0"/>
            <w:vAlign w:val="top"/>
          </w:tcPr>
          <w:p w14:paraId="5DB05265">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C965B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61CD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D90C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A3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97651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702616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抛石挤淤</w:t>
            </w:r>
          </w:p>
        </w:tc>
        <w:tc>
          <w:tcPr>
            <w:tcW w:w="749" w:type="dxa"/>
            <w:noWrap w:val="0"/>
            <w:vAlign w:val="center"/>
          </w:tcPr>
          <w:p w14:paraId="13F184B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ED92E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D8CF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9261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AD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F2365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455BD6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爆炸挤淤</w:t>
            </w:r>
          </w:p>
        </w:tc>
        <w:tc>
          <w:tcPr>
            <w:tcW w:w="749" w:type="dxa"/>
            <w:noWrap w:val="0"/>
            <w:vAlign w:val="center"/>
          </w:tcPr>
          <w:p w14:paraId="6F8D400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5D3C1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19AF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6291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98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865ABC">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CE10A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垫层</w:t>
            </w:r>
          </w:p>
        </w:tc>
        <w:tc>
          <w:tcPr>
            <w:tcW w:w="749" w:type="dxa"/>
            <w:noWrap w:val="0"/>
            <w:vAlign w:val="center"/>
          </w:tcPr>
          <w:p w14:paraId="457DCFDE">
            <w:pPr>
              <w:pageBreakBefore w:val="0"/>
              <w:widowControl/>
              <w:kinsoku/>
              <w:wordWrap w:val="0"/>
              <w:bidi w:val="0"/>
              <w:jc w:val="center"/>
              <w:rPr>
                <w:rFonts w:hint="default" w:ascii="Times New Roman" w:hAnsi="Times New Roman" w:cs="Times New Roman"/>
                <w:color w:val="auto"/>
                <w:kern w:val="0"/>
                <w:szCs w:val="21"/>
                <w:highlight w:val="none"/>
              </w:rPr>
            </w:pPr>
          </w:p>
        </w:tc>
        <w:tc>
          <w:tcPr>
            <w:tcW w:w="837" w:type="dxa"/>
            <w:noWrap w:val="0"/>
            <w:vAlign w:val="center"/>
          </w:tcPr>
          <w:p w14:paraId="1C9C1E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DDBC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C29A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69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AFB4D0">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-c-1</w:t>
            </w:r>
          </w:p>
        </w:tc>
        <w:tc>
          <w:tcPr>
            <w:tcW w:w="4732" w:type="dxa"/>
            <w:noWrap w:val="0"/>
            <w:vAlign w:val="center"/>
          </w:tcPr>
          <w:p w14:paraId="646788F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砂垫层</w:t>
            </w:r>
          </w:p>
        </w:tc>
        <w:tc>
          <w:tcPr>
            <w:tcW w:w="749" w:type="dxa"/>
            <w:noWrap w:val="0"/>
            <w:vAlign w:val="center"/>
          </w:tcPr>
          <w:p w14:paraId="7FB955E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A855B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C60F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15DE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EF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2D07A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-c-2</w:t>
            </w:r>
          </w:p>
        </w:tc>
        <w:tc>
          <w:tcPr>
            <w:tcW w:w="4732" w:type="dxa"/>
            <w:noWrap w:val="0"/>
            <w:vAlign w:val="center"/>
          </w:tcPr>
          <w:p w14:paraId="2B24DF9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砂砾垫层</w:t>
            </w:r>
          </w:p>
        </w:tc>
        <w:tc>
          <w:tcPr>
            <w:tcW w:w="749" w:type="dxa"/>
            <w:noWrap w:val="0"/>
            <w:vAlign w:val="center"/>
          </w:tcPr>
          <w:p w14:paraId="63A8DB2A">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4F4FD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41E6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D0E7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37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129B02">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-c-3</w:t>
            </w:r>
          </w:p>
        </w:tc>
        <w:tc>
          <w:tcPr>
            <w:tcW w:w="4732" w:type="dxa"/>
            <w:noWrap w:val="0"/>
            <w:vAlign w:val="center"/>
          </w:tcPr>
          <w:p w14:paraId="636C7EC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碎石垫层</w:t>
            </w:r>
          </w:p>
        </w:tc>
        <w:tc>
          <w:tcPr>
            <w:tcW w:w="749" w:type="dxa"/>
            <w:noWrap w:val="0"/>
            <w:vAlign w:val="center"/>
          </w:tcPr>
          <w:p w14:paraId="5A338B0F">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4E3F7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3055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48C1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19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5E78C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-c-4</w:t>
            </w:r>
          </w:p>
        </w:tc>
        <w:tc>
          <w:tcPr>
            <w:tcW w:w="4732" w:type="dxa"/>
            <w:noWrap w:val="0"/>
            <w:vAlign w:val="center"/>
          </w:tcPr>
          <w:p w14:paraId="5050E56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碎石土垫层</w:t>
            </w:r>
          </w:p>
        </w:tc>
        <w:tc>
          <w:tcPr>
            <w:tcW w:w="749" w:type="dxa"/>
            <w:noWrap w:val="0"/>
            <w:vAlign w:val="center"/>
          </w:tcPr>
          <w:p w14:paraId="79D4112D">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71CB3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0637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E290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B9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781CB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-c-5</w:t>
            </w:r>
          </w:p>
        </w:tc>
        <w:tc>
          <w:tcPr>
            <w:tcW w:w="4732" w:type="dxa"/>
            <w:noWrap w:val="0"/>
            <w:vAlign w:val="center"/>
          </w:tcPr>
          <w:p w14:paraId="3653C3E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灰土垫层</w:t>
            </w:r>
          </w:p>
        </w:tc>
        <w:tc>
          <w:tcPr>
            <w:tcW w:w="749" w:type="dxa"/>
            <w:noWrap w:val="0"/>
            <w:vAlign w:val="center"/>
          </w:tcPr>
          <w:p w14:paraId="6D86995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838CD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7321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62F0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41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1DACDD">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9FB747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土工合成材料</w:t>
            </w:r>
          </w:p>
        </w:tc>
        <w:tc>
          <w:tcPr>
            <w:tcW w:w="749" w:type="dxa"/>
            <w:noWrap w:val="0"/>
            <w:vAlign w:val="center"/>
          </w:tcPr>
          <w:p w14:paraId="1E3D1E3D">
            <w:pPr>
              <w:pageBreakBefore w:val="0"/>
              <w:widowControl/>
              <w:kinsoku/>
              <w:wordWrap w:val="0"/>
              <w:bidi w:val="0"/>
              <w:jc w:val="center"/>
              <w:rPr>
                <w:rFonts w:hint="default" w:ascii="Times New Roman" w:hAnsi="Times New Roman" w:cs="Times New Roman"/>
                <w:color w:val="auto"/>
                <w:kern w:val="0"/>
                <w:szCs w:val="21"/>
                <w:highlight w:val="none"/>
              </w:rPr>
            </w:pPr>
          </w:p>
        </w:tc>
        <w:tc>
          <w:tcPr>
            <w:tcW w:w="837" w:type="dxa"/>
            <w:noWrap w:val="0"/>
            <w:vAlign w:val="center"/>
          </w:tcPr>
          <w:p w14:paraId="3E86C7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E77B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5FDF1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24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27ECD4">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4732" w:type="dxa"/>
            <w:noWrap w:val="0"/>
            <w:vAlign w:val="center"/>
          </w:tcPr>
          <w:p w14:paraId="76AE502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反滤土工布</w:t>
            </w:r>
          </w:p>
        </w:tc>
        <w:tc>
          <w:tcPr>
            <w:tcW w:w="749" w:type="dxa"/>
            <w:noWrap w:val="0"/>
            <w:vAlign w:val="center"/>
          </w:tcPr>
          <w:p w14:paraId="259941DB">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DDE6E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DF24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EB2A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2E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00E2EC">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-d-2</w:t>
            </w:r>
          </w:p>
        </w:tc>
        <w:tc>
          <w:tcPr>
            <w:tcW w:w="4732" w:type="dxa"/>
            <w:noWrap w:val="0"/>
            <w:vAlign w:val="center"/>
          </w:tcPr>
          <w:p w14:paraId="00F3BE6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防渗土工膜</w:t>
            </w:r>
          </w:p>
        </w:tc>
        <w:tc>
          <w:tcPr>
            <w:tcW w:w="749" w:type="dxa"/>
            <w:noWrap w:val="0"/>
            <w:vAlign w:val="center"/>
          </w:tcPr>
          <w:p w14:paraId="5CDBF48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BF820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DF63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B6BA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31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4E328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-d-3</w:t>
            </w:r>
          </w:p>
        </w:tc>
        <w:tc>
          <w:tcPr>
            <w:tcW w:w="4732" w:type="dxa"/>
            <w:noWrap w:val="0"/>
            <w:vAlign w:val="center"/>
          </w:tcPr>
          <w:p w14:paraId="05D8620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土工格栅</w:t>
            </w:r>
          </w:p>
        </w:tc>
        <w:tc>
          <w:tcPr>
            <w:tcW w:w="749" w:type="dxa"/>
            <w:noWrap w:val="0"/>
            <w:vAlign w:val="center"/>
          </w:tcPr>
          <w:p w14:paraId="20C7B192">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471A2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B97C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6736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B7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32F0805D">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-d-4</w:t>
            </w:r>
          </w:p>
        </w:tc>
        <w:tc>
          <w:tcPr>
            <w:tcW w:w="4732" w:type="dxa"/>
            <w:tcBorders>
              <w:bottom w:val="single" w:color="auto" w:sz="4" w:space="0"/>
            </w:tcBorders>
            <w:noWrap w:val="0"/>
            <w:vAlign w:val="center"/>
          </w:tcPr>
          <w:p w14:paraId="685C974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土工格室</w:t>
            </w:r>
          </w:p>
        </w:tc>
        <w:tc>
          <w:tcPr>
            <w:tcW w:w="749" w:type="dxa"/>
            <w:tcBorders>
              <w:bottom w:val="single" w:color="auto" w:sz="4" w:space="0"/>
            </w:tcBorders>
            <w:noWrap w:val="0"/>
            <w:vAlign w:val="center"/>
          </w:tcPr>
          <w:p w14:paraId="73C98C16">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tcBorders>
              <w:bottom w:val="single" w:color="auto" w:sz="4" w:space="0"/>
            </w:tcBorders>
            <w:noWrap w:val="0"/>
            <w:vAlign w:val="center"/>
          </w:tcPr>
          <w:p w14:paraId="185AEF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7101A6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0BD743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3D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51CA30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tcBorders>
              <w:bottom w:val="single" w:color="auto" w:sz="4" w:space="0"/>
            </w:tcBorders>
            <w:noWrap w:val="0"/>
            <w:vAlign w:val="center"/>
          </w:tcPr>
          <w:p w14:paraId="04E647D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预压与超载预压</w:t>
            </w:r>
          </w:p>
        </w:tc>
        <w:tc>
          <w:tcPr>
            <w:tcW w:w="749" w:type="dxa"/>
            <w:tcBorders>
              <w:bottom w:val="single" w:color="auto" w:sz="4" w:space="0"/>
            </w:tcBorders>
            <w:noWrap w:val="0"/>
            <w:vAlign w:val="center"/>
          </w:tcPr>
          <w:p w14:paraId="58906A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tcBorders>
              <w:bottom w:val="single" w:color="auto" w:sz="4" w:space="0"/>
            </w:tcBorders>
            <w:noWrap w:val="0"/>
            <w:vAlign w:val="center"/>
          </w:tcPr>
          <w:p w14:paraId="24342E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5A87EE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4431F2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0F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tcBorders>
            <w:noWrap w:val="0"/>
            <w:vAlign w:val="center"/>
          </w:tcPr>
          <w:p w14:paraId="69E2B0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-e-1</w:t>
            </w:r>
          </w:p>
        </w:tc>
        <w:tc>
          <w:tcPr>
            <w:tcW w:w="4732" w:type="dxa"/>
            <w:tcBorders>
              <w:top w:val="single" w:color="auto" w:sz="4" w:space="0"/>
            </w:tcBorders>
            <w:noWrap w:val="0"/>
            <w:vAlign w:val="center"/>
          </w:tcPr>
          <w:p w14:paraId="275C9AF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真空预压</w:t>
            </w:r>
          </w:p>
        </w:tc>
        <w:tc>
          <w:tcPr>
            <w:tcW w:w="749" w:type="dxa"/>
            <w:tcBorders>
              <w:top w:val="single" w:color="auto" w:sz="4" w:space="0"/>
            </w:tcBorders>
            <w:noWrap w:val="0"/>
            <w:vAlign w:val="center"/>
          </w:tcPr>
          <w:p w14:paraId="7FF82D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tcBorders>
              <w:top w:val="single" w:color="auto" w:sz="4" w:space="0"/>
            </w:tcBorders>
            <w:noWrap w:val="0"/>
            <w:vAlign w:val="center"/>
          </w:tcPr>
          <w:p w14:paraId="21671F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tcBorders>
            <w:noWrap w:val="0"/>
            <w:vAlign w:val="center"/>
          </w:tcPr>
          <w:p w14:paraId="67C3F1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right w:val="single" w:color="auto" w:sz="12" w:space="0"/>
            </w:tcBorders>
            <w:noWrap w:val="0"/>
            <w:vAlign w:val="center"/>
          </w:tcPr>
          <w:p w14:paraId="4651F5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8F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640D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-e-2</w:t>
            </w:r>
          </w:p>
        </w:tc>
        <w:tc>
          <w:tcPr>
            <w:tcW w:w="4732" w:type="dxa"/>
            <w:noWrap w:val="0"/>
            <w:vAlign w:val="center"/>
          </w:tcPr>
          <w:p w14:paraId="1DF4EC1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超载预压</w:t>
            </w:r>
          </w:p>
        </w:tc>
        <w:tc>
          <w:tcPr>
            <w:tcW w:w="749" w:type="dxa"/>
            <w:noWrap w:val="0"/>
            <w:vAlign w:val="center"/>
          </w:tcPr>
          <w:p w14:paraId="5224E5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FD2C5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337C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5B6F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C6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0434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23C6C79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袋装砂井</w:t>
            </w:r>
          </w:p>
        </w:tc>
        <w:tc>
          <w:tcPr>
            <w:tcW w:w="749" w:type="dxa"/>
            <w:noWrap w:val="0"/>
            <w:vAlign w:val="center"/>
          </w:tcPr>
          <w:p w14:paraId="7C9D38E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7273D5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D08F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B08A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72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9757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2210279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塑料排水板</w:t>
            </w:r>
          </w:p>
        </w:tc>
        <w:tc>
          <w:tcPr>
            <w:tcW w:w="749" w:type="dxa"/>
            <w:noWrap w:val="0"/>
            <w:vAlign w:val="center"/>
          </w:tcPr>
          <w:p w14:paraId="695BA8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A6354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E5EB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03AE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85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512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w:t>
            </w:r>
          </w:p>
        </w:tc>
        <w:tc>
          <w:tcPr>
            <w:tcW w:w="4732" w:type="dxa"/>
            <w:noWrap w:val="0"/>
            <w:vAlign w:val="center"/>
          </w:tcPr>
          <w:p w14:paraId="513A3F9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粒料桩</w:t>
            </w:r>
          </w:p>
        </w:tc>
        <w:tc>
          <w:tcPr>
            <w:tcW w:w="749" w:type="dxa"/>
            <w:noWrap w:val="0"/>
            <w:vAlign w:val="center"/>
          </w:tcPr>
          <w:p w14:paraId="270C66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2CEEA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93F2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3148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B8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49C7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-h-1</w:t>
            </w:r>
          </w:p>
        </w:tc>
        <w:tc>
          <w:tcPr>
            <w:tcW w:w="4732" w:type="dxa"/>
            <w:noWrap w:val="0"/>
            <w:vAlign w:val="center"/>
          </w:tcPr>
          <w:p w14:paraId="224BC27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砂桩</w:t>
            </w:r>
          </w:p>
        </w:tc>
        <w:tc>
          <w:tcPr>
            <w:tcW w:w="749" w:type="dxa"/>
            <w:noWrap w:val="0"/>
            <w:vAlign w:val="center"/>
          </w:tcPr>
          <w:p w14:paraId="5040C65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57741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C929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4EE9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0F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7DC3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-h-2</w:t>
            </w:r>
          </w:p>
        </w:tc>
        <w:tc>
          <w:tcPr>
            <w:tcW w:w="4732" w:type="dxa"/>
            <w:noWrap w:val="0"/>
            <w:vAlign w:val="center"/>
          </w:tcPr>
          <w:p w14:paraId="43E93C6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碎石桩</w:t>
            </w:r>
          </w:p>
        </w:tc>
        <w:tc>
          <w:tcPr>
            <w:tcW w:w="749" w:type="dxa"/>
            <w:noWrap w:val="0"/>
            <w:vAlign w:val="center"/>
          </w:tcPr>
          <w:p w14:paraId="467DCC9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D71D4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7883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56A6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7C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205C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w:t>
            </w:r>
          </w:p>
        </w:tc>
        <w:tc>
          <w:tcPr>
            <w:tcW w:w="4732" w:type="dxa"/>
            <w:noWrap w:val="0"/>
            <w:vAlign w:val="center"/>
          </w:tcPr>
          <w:p w14:paraId="0FBA018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加固土桩</w:t>
            </w:r>
          </w:p>
        </w:tc>
        <w:tc>
          <w:tcPr>
            <w:tcW w:w="749" w:type="dxa"/>
            <w:noWrap w:val="0"/>
            <w:vAlign w:val="center"/>
          </w:tcPr>
          <w:p w14:paraId="6CDC05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39089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5AD2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D939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3C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F8E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-i-1</w:t>
            </w:r>
          </w:p>
        </w:tc>
        <w:tc>
          <w:tcPr>
            <w:tcW w:w="4732" w:type="dxa"/>
            <w:noWrap w:val="0"/>
            <w:vAlign w:val="center"/>
          </w:tcPr>
          <w:p w14:paraId="2A8DA9E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粉喷桩</w:t>
            </w:r>
          </w:p>
        </w:tc>
        <w:tc>
          <w:tcPr>
            <w:tcW w:w="749" w:type="dxa"/>
            <w:noWrap w:val="0"/>
            <w:vAlign w:val="center"/>
          </w:tcPr>
          <w:p w14:paraId="068DF4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FB588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BAD2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255E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A1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7DD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-i-2</w:t>
            </w:r>
          </w:p>
        </w:tc>
        <w:tc>
          <w:tcPr>
            <w:tcW w:w="4732" w:type="dxa"/>
            <w:noWrap w:val="0"/>
            <w:vAlign w:val="center"/>
          </w:tcPr>
          <w:p w14:paraId="674C946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浆喷桩</w:t>
            </w:r>
          </w:p>
        </w:tc>
        <w:tc>
          <w:tcPr>
            <w:tcW w:w="749" w:type="dxa"/>
            <w:noWrap w:val="0"/>
            <w:vAlign w:val="center"/>
          </w:tcPr>
          <w:p w14:paraId="71214B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5A0DC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F339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41A4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4B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D317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-j</w:t>
            </w:r>
          </w:p>
        </w:tc>
        <w:tc>
          <w:tcPr>
            <w:tcW w:w="4732" w:type="dxa"/>
            <w:noWrap w:val="0"/>
            <w:vAlign w:val="center"/>
          </w:tcPr>
          <w:p w14:paraId="380FA28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CFG桩</w:t>
            </w:r>
          </w:p>
        </w:tc>
        <w:tc>
          <w:tcPr>
            <w:tcW w:w="749" w:type="dxa"/>
            <w:noWrap w:val="0"/>
            <w:vAlign w:val="center"/>
          </w:tcPr>
          <w:p w14:paraId="755142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F5BCC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AFC4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AE23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5F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BD4A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w:t>
            </w:r>
          </w:p>
        </w:tc>
        <w:tc>
          <w:tcPr>
            <w:tcW w:w="4732" w:type="dxa"/>
            <w:noWrap w:val="0"/>
            <w:vAlign w:val="center"/>
          </w:tcPr>
          <w:p w14:paraId="00F2932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Y形沉管灌注桩</w:t>
            </w:r>
          </w:p>
        </w:tc>
        <w:tc>
          <w:tcPr>
            <w:tcW w:w="749" w:type="dxa"/>
            <w:noWrap w:val="0"/>
            <w:vAlign w:val="center"/>
          </w:tcPr>
          <w:p w14:paraId="1A8681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348EB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5343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46A3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84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A1CA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-l</w:t>
            </w:r>
          </w:p>
        </w:tc>
        <w:tc>
          <w:tcPr>
            <w:tcW w:w="4732" w:type="dxa"/>
            <w:noWrap w:val="0"/>
            <w:vAlign w:val="center"/>
          </w:tcPr>
          <w:p w14:paraId="4C586DD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薄壁筒型沉管灌注桩</w:t>
            </w:r>
          </w:p>
        </w:tc>
        <w:tc>
          <w:tcPr>
            <w:tcW w:w="749" w:type="dxa"/>
            <w:noWrap w:val="0"/>
            <w:vAlign w:val="center"/>
          </w:tcPr>
          <w:p w14:paraId="00A632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4CB83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4C58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8D0C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3C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D690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4732" w:type="dxa"/>
            <w:noWrap w:val="0"/>
            <w:vAlign w:val="center"/>
          </w:tcPr>
          <w:p w14:paraId="25E3F6B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静压管桩</w:t>
            </w:r>
          </w:p>
        </w:tc>
        <w:tc>
          <w:tcPr>
            <w:tcW w:w="749" w:type="dxa"/>
            <w:noWrap w:val="0"/>
            <w:vAlign w:val="center"/>
          </w:tcPr>
          <w:p w14:paraId="0D041F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F3AFC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8ADB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FD85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98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00255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w:t>
            </w:r>
          </w:p>
        </w:tc>
        <w:tc>
          <w:tcPr>
            <w:tcW w:w="4732" w:type="dxa"/>
            <w:noWrap w:val="0"/>
            <w:vAlign w:val="center"/>
          </w:tcPr>
          <w:p w14:paraId="2E1B87C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强夯及强夯置换</w:t>
            </w:r>
          </w:p>
        </w:tc>
        <w:tc>
          <w:tcPr>
            <w:tcW w:w="749" w:type="dxa"/>
            <w:noWrap w:val="0"/>
            <w:vAlign w:val="center"/>
          </w:tcPr>
          <w:p w14:paraId="12E82A1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75F34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9090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F3D6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AB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F96AC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-n-1</w:t>
            </w:r>
          </w:p>
        </w:tc>
        <w:tc>
          <w:tcPr>
            <w:tcW w:w="4732" w:type="dxa"/>
            <w:noWrap w:val="0"/>
            <w:vAlign w:val="center"/>
          </w:tcPr>
          <w:p w14:paraId="420EAE5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w:t>
            </w:r>
          </w:p>
        </w:tc>
        <w:tc>
          <w:tcPr>
            <w:tcW w:w="749" w:type="dxa"/>
            <w:noWrap w:val="0"/>
            <w:vAlign w:val="center"/>
          </w:tcPr>
          <w:p w14:paraId="7360EB2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11886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A52B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593C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E5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1E4B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-n-2</w:t>
            </w:r>
          </w:p>
        </w:tc>
        <w:tc>
          <w:tcPr>
            <w:tcW w:w="4732" w:type="dxa"/>
            <w:noWrap w:val="0"/>
            <w:vAlign w:val="center"/>
          </w:tcPr>
          <w:p w14:paraId="71B2BE5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强夯置换</w:t>
            </w:r>
          </w:p>
        </w:tc>
        <w:tc>
          <w:tcPr>
            <w:tcW w:w="749" w:type="dxa"/>
            <w:noWrap w:val="0"/>
            <w:vAlign w:val="center"/>
          </w:tcPr>
          <w:p w14:paraId="7ACB93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F5D5A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6B60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2248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EF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41E82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205-2</w:t>
            </w:r>
          </w:p>
        </w:tc>
        <w:tc>
          <w:tcPr>
            <w:tcW w:w="4732" w:type="dxa"/>
            <w:noWrap w:val="0"/>
            <w:vAlign w:val="center"/>
          </w:tcPr>
          <w:p w14:paraId="71945C0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红黏土及膨胀土路基处理</w:t>
            </w:r>
          </w:p>
        </w:tc>
        <w:tc>
          <w:tcPr>
            <w:tcW w:w="749" w:type="dxa"/>
            <w:noWrap w:val="0"/>
            <w:vAlign w:val="center"/>
          </w:tcPr>
          <w:p w14:paraId="79BE7ADD">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p>
        </w:tc>
        <w:tc>
          <w:tcPr>
            <w:tcW w:w="837" w:type="dxa"/>
            <w:noWrap w:val="0"/>
            <w:vAlign w:val="center"/>
          </w:tcPr>
          <w:p w14:paraId="334810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4998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3751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34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6ABB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57A5E8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石灰改良土</w:t>
            </w:r>
          </w:p>
        </w:tc>
        <w:tc>
          <w:tcPr>
            <w:tcW w:w="749" w:type="dxa"/>
            <w:noWrap w:val="0"/>
            <w:vAlign w:val="center"/>
          </w:tcPr>
          <w:p w14:paraId="2F2F40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FC1F9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F4B2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F5C26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D8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EF41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E11945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水泥改良土</w:t>
            </w:r>
          </w:p>
        </w:tc>
        <w:tc>
          <w:tcPr>
            <w:tcW w:w="749" w:type="dxa"/>
            <w:noWrap w:val="0"/>
            <w:vAlign w:val="center"/>
          </w:tcPr>
          <w:p w14:paraId="3E88F0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3F6D3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492C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1BEF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88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47F0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205-3</w:t>
            </w:r>
          </w:p>
        </w:tc>
        <w:tc>
          <w:tcPr>
            <w:tcW w:w="4732" w:type="dxa"/>
            <w:noWrap w:val="0"/>
            <w:vAlign w:val="center"/>
          </w:tcPr>
          <w:p w14:paraId="4BCAEAA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滑坡处理</w:t>
            </w:r>
          </w:p>
        </w:tc>
        <w:tc>
          <w:tcPr>
            <w:tcW w:w="749" w:type="dxa"/>
            <w:noWrap w:val="0"/>
            <w:vAlign w:val="center"/>
          </w:tcPr>
          <w:p w14:paraId="05A9A7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53E6D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85D8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CE90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A9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DE6D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6C8286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清除滑坡体</w:t>
            </w:r>
          </w:p>
        </w:tc>
        <w:tc>
          <w:tcPr>
            <w:tcW w:w="749" w:type="dxa"/>
            <w:noWrap w:val="0"/>
            <w:vAlign w:val="center"/>
          </w:tcPr>
          <w:p w14:paraId="495139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800D7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9D1B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8220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09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3ED0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205-4</w:t>
            </w:r>
          </w:p>
        </w:tc>
        <w:tc>
          <w:tcPr>
            <w:tcW w:w="4732" w:type="dxa"/>
            <w:noWrap w:val="0"/>
            <w:vAlign w:val="center"/>
          </w:tcPr>
          <w:p w14:paraId="7961E14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岩溶洞处理</w:t>
            </w:r>
          </w:p>
        </w:tc>
        <w:tc>
          <w:tcPr>
            <w:tcW w:w="749" w:type="dxa"/>
            <w:noWrap w:val="0"/>
            <w:vAlign w:val="center"/>
          </w:tcPr>
          <w:p w14:paraId="042865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48DBC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5622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9FAA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AD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CA89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0FAEF9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回填</w:t>
            </w:r>
          </w:p>
        </w:tc>
        <w:tc>
          <w:tcPr>
            <w:tcW w:w="749" w:type="dxa"/>
            <w:noWrap w:val="0"/>
            <w:vAlign w:val="center"/>
          </w:tcPr>
          <w:p w14:paraId="6FBB5A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8D965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0D03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0354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17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56639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205-5</w:t>
            </w:r>
          </w:p>
        </w:tc>
        <w:tc>
          <w:tcPr>
            <w:tcW w:w="4732" w:type="dxa"/>
            <w:noWrap w:val="0"/>
            <w:vAlign w:val="center"/>
          </w:tcPr>
          <w:p w14:paraId="11E4F16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湿陷性黄土路基处理</w:t>
            </w:r>
          </w:p>
        </w:tc>
        <w:tc>
          <w:tcPr>
            <w:tcW w:w="749" w:type="dxa"/>
            <w:noWrap w:val="0"/>
            <w:vAlign w:val="center"/>
          </w:tcPr>
          <w:p w14:paraId="6A6F3A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C4FA8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AB36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09E9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3A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7B2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656A62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陷穴处理</w:t>
            </w:r>
          </w:p>
        </w:tc>
        <w:tc>
          <w:tcPr>
            <w:tcW w:w="749" w:type="dxa"/>
            <w:noWrap w:val="0"/>
            <w:vAlign w:val="center"/>
          </w:tcPr>
          <w:p w14:paraId="7947EC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688BC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F258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7D89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76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E410D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0BDA3C6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灌砂</w:t>
            </w:r>
          </w:p>
        </w:tc>
        <w:tc>
          <w:tcPr>
            <w:tcW w:w="749" w:type="dxa"/>
            <w:noWrap w:val="0"/>
            <w:vAlign w:val="center"/>
          </w:tcPr>
          <w:p w14:paraId="132A8A4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66427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F12A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0DE7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5E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0A2D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4C0A380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灌水泥砂浆</w:t>
            </w:r>
          </w:p>
        </w:tc>
        <w:tc>
          <w:tcPr>
            <w:tcW w:w="749" w:type="dxa"/>
            <w:noWrap w:val="0"/>
            <w:vAlign w:val="center"/>
          </w:tcPr>
          <w:p w14:paraId="3A9BEC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0A906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4679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A5FF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61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3C7F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E99B67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强夯及强夯置换</w:t>
            </w:r>
          </w:p>
        </w:tc>
        <w:tc>
          <w:tcPr>
            <w:tcW w:w="749" w:type="dxa"/>
            <w:noWrap w:val="0"/>
            <w:vAlign w:val="center"/>
          </w:tcPr>
          <w:p w14:paraId="0AA4E28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A547E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DCED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B23B9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E7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8569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732" w:type="dxa"/>
            <w:noWrap w:val="0"/>
            <w:vAlign w:val="center"/>
          </w:tcPr>
          <w:p w14:paraId="383C12B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w:t>
            </w:r>
          </w:p>
        </w:tc>
        <w:tc>
          <w:tcPr>
            <w:tcW w:w="749" w:type="dxa"/>
            <w:noWrap w:val="0"/>
            <w:vAlign w:val="center"/>
          </w:tcPr>
          <w:p w14:paraId="1A9BF7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365E3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1D4F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4B1EF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99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6C2B5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732" w:type="dxa"/>
            <w:noWrap w:val="0"/>
            <w:vAlign w:val="center"/>
          </w:tcPr>
          <w:p w14:paraId="4497BF0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强夯置换</w:t>
            </w:r>
          </w:p>
        </w:tc>
        <w:tc>
          <w:tcPr>
            <w:tcW w:w="749" w:type="dxa"/>
            <w:noWrap w:val="0"/>
            <w:vAlign w:val="center"/>
          </w:tcPr>
          <w:p w14:paraId="737F407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302A2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BF02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5256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DA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C719C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0F05F4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石灰改良土</w:t>
            </w:r>
          </w:p>
        </w:tc>
        <w:tc>
          <w:tcPr>
            <w:tcW w:w="749" w:type="dxa"/>
            <w:noWrap w:val="0"/>
            <w:vAlign w:val="center"/>
          </w:tcPr>
          <w:p w14:paraId="336739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E60EC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FC28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66A7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F8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2C10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5863AF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灰土桩</w:t>
            </w:r>
          </w:p>
        </w:tc>
        <w:tc>
          <w:tcPr>
            <w:tcW w:w="749" w:type="dxa"/>
            <w:noWrap w:val="0"/>
            <w:vAlign w:val="center"/>
          </w:tcPr>
          <w:p w14:paraId="5293A3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2BCF2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5BC0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8037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18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28C1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205-6</w:t>
            </w:r>
          </w:p>
        </w:tc>
        <w:tc>
          <w:tcPr>
            <w:tcW w:w="4732" w:type="dxa"/>
            <w:noWrap w:val="0"/>
            <w:vAlign w:val="center"/>
          </w:tcPr>
          <w:p w14:paraId="1D74DE5C">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盐渍土路基处理</w:t>
            </w:r>
          </w:p>
        </w:tc>
        <w:tc>
          <w:tcPr>
            <w:tcW w:w="749" w:type="dxa"/>
            <w:noWrap w:val="0"/>
            <w:vAlign w:val="center"/>
          </w:tcPr>
          <w:p w14:paraId="666CE2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446AC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FE26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F53DF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2E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8558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B28C3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noWrap w:val="0"/>
            <w:vAlign w:val="center"/>
          </w:tcPr>
          <w:p w14:paraId="0145B1D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FC707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5436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69B3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0D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A51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6254CB0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砂垫层</w:t>
            </w:r>
          </w:p>
        </w:tc>
        <w:tc>
          <w:tcPr>
            <w:tcW w:w="749" w:type="dxa"/>
            <w:noWrap w:val="0"/>
            <w:vAlign w:val="center"/>
          </w:tcPr>
          <w:p w14:paraId="719D07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C0332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8246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CA1C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22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E90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75ECB03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砂砾垫层</w:t>
            </w:r>
          </w:p>
        </w:tc>
        <w:tc>
          <w:tcPr>
            <w:tcW w:w="749" w:type="dxa"/>
            <w:noWrap w:val="0"/>
            <w:vAlign w:val="center"/>
          </w:tcPr>
          <w:p w14:paraId="5ABE09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CD62A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3BAC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2D36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3D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4DED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788552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749" w:type="dxa"/>
            <w:noWrap w:val="0"/>
            <w:vAlign w:val="center"/>
          </w:tcPr>
          <w:p w14:paraId="7C08B0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BAB57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5347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BE3A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0F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F652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732" w:type="dxa"/>
            <w:noWrap w:val="0"/>
            <w:vAlign w:val="center"/>
          </w:tcPr>
          <w:p w14:paraId="2A0BA99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防渗土工膜</w:t>
            </w:r>
          </w:p>
        </w:tc>
        <w:tc>
          <w:tcPr>
            <w:tcW w:w="749" w:type="dxa"/>
            <w:noWrap w:val="0"/>
            <w:vAlign w:val="center"/>
          </w:tcPr>
          <w:p w14:paraId="2C1507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70769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271C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AFE25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51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DEA2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732" w:type="dxa"/>
            <w:noWrap w:val="0"/>
            <w:vAlign w:val="center"/>
          </w:tcPr>
          <w:p w14:paraId="4924217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66D9D5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922B0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22C2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8608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AC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1922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205-7</w:t>
            </w:r>
          </w:p>
        </w:tc>
        <w:tc>
          <w:tcPr>
            <w:tcW w:w="4732" w:type="dxa"/>
            <w:noWrap w:val="0"/>
            <w:vAlign w:val="center"/>
          </w:tcPr>
          <w:p w14:paraId="4ABBD6A2">
            <w:pPr>
              <w:pageBreakBefore w:val="0"/>
              <w:tabs>
                <w:tab w:val="left" w:pos="1065"/>
              </w:tabs>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风积沙路基处理</w:t>
            </w:r>
          </w:p>
        </w:tc>
        <w:tc>
          <w:tcPr>
            <w:tcW w:w="749" w:type="dxa"/>
            <w:noWrap w:val="0"/>
            <w:vAlign w:val="center"/>
          </w:tcPr>
          <w:p w14:paraId="62F1ED9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45934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05F8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C453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AF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08F2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6C3F6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749" w:type="dxa"/>
            <w:noWrap w:val="0"/>
            <w:vAlign w:val="center"/>
          </w:tcPr>
          <w:p w14:paraId="7F112E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E3B1C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F358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31C1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36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A7EC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46E220B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1CBC16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487EE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4C60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C885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E1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C6C1C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0BABD58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土工格室</w:t>
            </w:r>
          </w:p>
        </w:tc>
        <w:tc>
          <w:tcPr>
            <w:tcW w:w="749" w:type="dxa"/>
            <w:noWrap w:val="0"/>
            <w:vAlign w:val="center"/>
          </w:tcPr>
          <w:p w14:paraId="08C0C3E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D0DBD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E09B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8EBB5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0F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A953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732" w:type="dxa"/>
            <w:noWrap w:val="0"/>
            <w:vAlign w:val="center"/>
          </w:tcPr>
          <w:p w14:paraId="613E3D06">
            <w:pPr>
              <w:pageBreakBefore w:val="0"/>
              <w:tabs>
                <w:tab w:val="left" w:pos="1065"/>
              </w:tabs>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蜂窝式塑料网</w:t>
            </w:r>
          </w:p>
        </w:tc>
        <w:tc>
          <w:tcPr>
            <w:tcW w:w="749" w:type="dxa"/>
            <w:noWrap w:val="0"/>
            <w:vAlign w:val="center"/>
          </w:tcPr>
          <w:p w14:paraId="53B9FC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394AC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CFF1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4BFE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98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096C0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205-8</w:t>
            </w:r>
          </w:p>
        </w:tc>
        <w:tc>
          <w:tcPr>
            <w:tcW w:w="4732" w:type="dxa"/>
            <w:noWrap w:val="0"/>
            <w:vAlign w:val="center"/>
          </w:tcPr>
          <w:p w14:paraId="6DBEBEB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冻土路基处理</w:t>
            </w:r>
          </w:p>
        </w:tc>
        <w:tc>
          <w:tcPr>
            <w:tcW w:w="749" w:type="dxa"/>
            <w:noWrap w:val="0"/>
            <w:vAlign w:val="center"/>
          </w:tcPr>
          <w:p w14:paraId="4115E0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C4AAF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F090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8430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61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B090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EB9062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隔热层</w:t>
            </w:r>
          </w:p>
        </w:tc>
        <w:tc>
          <w:tcPr>
            <w:tcW w:w="749" w:type="dxa"/>
            <w:noWrap w:val="0"/>
            <w:vAlign w:val="center"/>
          </w:tcPr>
          <w:p w14:paraId="6CD31C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6EFBF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24C6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F1A0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AF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7A6C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613736B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XPS保温板</w:t>
            </w:r>
          </w:p>
        </w:tc>
        <w:tc>
          <w:tcPr>
            <w:tcW w:w="749" w:type="dxa"/>
            <w:noWrap w:val="0"/>
            <w:vAlign w:val="center"/>
          </w:tcPr>
          <w:p w14:paraId="2DA215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22E61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5E3C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F961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79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325D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91DA4B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通风管</w:t>
            </w:r>
          </w:p>
        </w:tc>
        <w:tc>
          <w:tcPr>
            <w:tcW w:w="749" w:type="dxa"/>
            <w:noWrap w:val="0"/>
            <w:vAlign w:val="center"/>
          </w:tcPr>
          <w:p w14:paraId="1A43D5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49525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38C7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A74B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9D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3AF1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CEE0E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热棒</w:t>
            </w:r>
          </w:p>
        </w:tc>
        <w:tc>
          <w:tcPr>
            <w:tcW w:w="749" w:type="dxa"/>
            <w:noWrap w:val="0"/>
            <w:vAlign w:val="center"/>
          </w:tcPr>
          <w:p w14:paraId="3779F7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w:t>
            </w:r>
          </w:p>
        </w:tc>
        <w:tc>
          <w:tcPr>
            <w:tcW w:w="837" w:type="dxa"/>
            <w:noWrap w:val="0"/>
            <w:vAlign w:val="center"/>
          </w:tcPr>
          <w:p w14:paraId="558C31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167B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3EBF1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71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6F36D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207</w:t>
            </w:r>
          </w:p>
        </w:tc>
        <w:tc>
          <w:tcPr>
            <w:tcW w:w="4732" w:type="dxa"/>
            <w:noWrap w:val="0"/>
            <w:vAlign w:val="center"/>
          </w:tcPr>
          <w:p w14:paraId="54427488">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坡面排水</w:t>
            </w:r>
          </w:p>
        </w:tc>
        <w:tc>
          <w:tcPr>
            <w:tcW w:w="749" w:type="dxa"/>
            <w:noWrap w:val="0"/>
            <w:vAlign w:val="center"/>
          </w:tcPr>
          <w:p w14:paraId="6C41EA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B4FD4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1993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F4C8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4D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2553C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207-1</w:t>
            </w:r>
          </w:p>
        </w:tc>
        <w:tc>
          <w:tcPr>
            <w:tcW w:w="4732" w:type="dxa"/>
            <w:noWrap w:val="0"/>
            <w:vAlign w:val="center"/>
          </w:tcPr>
          <w:p w14:paraId="3F646B4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边沟</w:t>
            </w:r>
          </w:p>
        </w:tc>
        <w:tc>
          <w:tcPr>
            <w:tcW w:w="749" w:type="dxa"/>
            <w:noWrap w:val="0"/>
            <w:vAlign w:val="center"/>
          </w:tcPr>
          <w:p w14:paraId="20A2CF4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30EB4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AD4D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EC62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19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45DCF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397E7E3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084AE47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DEF9F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3A58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7DFD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AD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3ED9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803CB48">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75D836B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59E6E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3F2D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86F8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40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F62A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CA047C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77BFF1D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B73EC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0873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62806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E5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6D72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1A649D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2BC3F0D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AF24B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285A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E234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6B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D9C5C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76F92C4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预制安装混凝土盖板</w:t>
            </w:r>
          </w:p>
        </w:tc>
        <w:tc>
          <w:tcPr>
            <w:tcW w:w="749" w:type="dxa"/>
            <w:noWrap w:val="0"/>
            <w:vAlign w:val="center"/>
          </w:tcPr>
          <w:p w14:paraId="4A86D47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4362C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99BD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E57B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39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BB84B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-f</w:t>
            </w:r>
          </w:p>
        </w:tc>
        <w:tc>
          <w:tcPr>
            <w:tcW w:w="4732" w:type="dxa"/>
            <w:noWrap w:val="0"/>
            <w:vAlign w:val="center"/>
          </w:tcPr>
          <w:p w14:paraId="71D6E07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7AEEC99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6FA77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7879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00C61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0D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8D09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207-2</w:t>
            </w:r>
          </w:p>
        </w:tc>
        <w:tc>
          <w:tcPr>
            <w:tcW w:w="4732" w:type="dxa"/>
            <w:noWrap w:val="0"/>
            <w:vAlign w:val="center"/>
          </w:tcPr>
          <w:p w14:paraId="2516E87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排水沟</w:t>
            </w:r>
          </w:p>
        </w:tc>
        <w:tc>
          <w:tcPr>
            <w:tcW w:w="749" w:type="dxa"/>
            <w:noWrap w:val="0"/>
            <w:vAlign w:val="center"/>
          </w:tcPr>
          <w:p w14:paraId="2BDB1E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33013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7708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8B1F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88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078B0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27FD7DA2">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15F7A58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2B81B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106F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5A65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E1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9936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37CABF0">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30F3060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9E1BE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A979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E4AE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73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F2C6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A9E876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5567C7B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CA9B8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9EBF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776E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FD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8AA9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B31D16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68B5066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03543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3A3E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36D4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10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A958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30D15BF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预制安装混凝土盖板</w:t>
            </w:r>
          </w:p>
        </w:tc>
        <w:tc>
          <w:tcPr>
            <w:tcW w:w="749" w:type="dxa"/>
            <w:noWrap w:val="0"/>
            <w:vAlign w:val="center"/>
          </w:tcPr>
          <w:p w14:paraId="646780B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8253E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B13A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B507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91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18004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-f</w:t>
            </w:r>
          </w:p>
        </w:tc>
        <w:tc>
          <w:tcPr>
            <w:tcW w:w="4732" w:type="dxa"/>
            <w:noWrap w:val="0"/>
            <w:vAlign w:val="center"/>
          </w:tcPr>
          <w:p w14:paraId="697B362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281BF1F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85828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351E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CAA7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D7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AF9B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207-3</w:t>
            </w:r>
          </w:p>
        </w:tc>
        <w:tc>
          <w:tcPr>
            <w:tcW w:w="4732" w:type="dxa"/>
            <w:noWrap w:val="0"/>
            <w:vAlign w:val="center"/>
          </w:tcPr>
          <w:p w14:paraId="1C11A58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截水沟</w:t>
            </w:r>
          </w:p>
        </w:tc>
        <w:tc>
          <w:tcPr>
            <w:tcW w:w="749" w:type="dxa"/>
            <w:noWrap w:val="0"/>
            <w:vAlign w:val="center"/>
          </w:tcPr>
          <w:p w14:paraId="50022B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CA6B8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D30C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9D8A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7E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11E01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1DCDD06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6AC1BEB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7C174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CC5A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68873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E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5BBBF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E5B314B">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203065E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89530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50D0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379F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31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B865C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98757A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5492654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1F6ED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84F4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0333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D7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6BE8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7AF472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6B094A3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937C1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9002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1E49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77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C788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-e</w:t>
            </w:r>
          </w:p>
        </w:tc>
        <w:tc>
          <w:tcPr>
            <w:tcW w:w="4732" w:type="dxa"/>
            <w:noWrap w:val="0"/>
            <w:vAlign w:val="center"/>
          </w:tcPr>
          <w:p w14:paraId="2190567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144CD93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EE219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C10C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027A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ED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DB03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207-4</w:t>
            </w:r>
          </w:p>
        </w:tc>
        <w:tc>
          <w:tcPr>
            <w:tcW w:w="4732" w:type="dxa"/>
            <w:noWrap w:val="0"/>
            <w:vAlign w:val="center"/>
          </w:tcPr>
          <w:p w14:paraId="277AFA4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跌水与急流槽</w:t>
            </w:r>
          </w:p>
        </w:tc>
        <w:tc>
          <w:tcPr>
            <w:tcW w:w="749" w:type="dxa"/>
            <w:noWrap w:val="0"/>
            <w:vAlign w:val="center"/>
          </w:tcPr>
          <w:p w14:paraId="78DDF6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0ADC6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6ECC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B017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C3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D285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240CA6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2DF85F2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1982C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DCE5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126D0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0F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7282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247D5D8">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浆砌片石</w:t>
            </w:r>
          </w:p>
        </w:tc>
        <w:tc>
          <w:tcPr>
            <w:tcW w:w="749" w:type="dxa"/>
            <w:noWrap w:val="0"/>
            <w:vAlign w:val="center"/>
          </w:tcPr>
          <w:p w14:paraId="22220AE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2E2EC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1457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E97E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B0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8DBF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797755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71DB9FE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D21B1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6E2B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2BF9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32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D817E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BF2378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2F0E06B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14ED3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3B40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952B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93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28DE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207-5</w:t>
            </w:r>
          </w:p>
        </w:tc>
        <w:tc>
          <w:tcPr>
            <w:tcW w:w="4732" w:type="dxa"/>
            <w:noWrap w:val="0"/>
            <w:vAlign w:val="center"/>
          </w:tcPr>
          <w:p w14:paraId="030F1CB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渗沟</w:t>
            </w:r>
          </w:p>
        </w:tc>
        <w:tc>
          <w:tcPr>
            <w:tcW w:w="749" w:type="dxa"/>
            <w:noWrap w:val="0"/>
            <w:vAlign w:val="center"/>
          </w:tcPr>
          <w:p w14:paraId="5B810C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7FB6B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748A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D2E5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67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5126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207-6</w:t>
            </w:r>
          </w:p>
        </w:tc>
        <w:tc>
          <w:tcPr>
            <w:tcW w:w="4732" w:type="dxa"/>
            <w:noWrap w:val="0"/>
            <w:vAlign w:val="center"/>
          </w:tcPr>
          <w:p w14:paraId="2B2929E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蒸发池</w:t>
            </w:r>
          </w:p>
        </w:tc>
        <w:tc>
          <w:tcPr>
            <w:tcW w:w="749" w:type="dxa"/>
            <w:noWrap w:val="0"/>
            <w:vAlign w:val="center"/>
          </w:tcPr>
          <w:p w14:paraId="4F57C7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80BA7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01F9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07EE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70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67F4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64A732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挖土（石）方</w:t>
            </w:r>
          </w:p>
        </w:tc>
        <w:tc>
          <w:tcPr>
            <w:tcW w:w="749" w:type="dxa"/>
            <w:noWrap w:val="0"/>
            <w:vAlign w:val="center"/>
          </w:tcPr>
          <w:p w14:paraId="176EBA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43EC8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C147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11F8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65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3B8B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66125C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圬工</w:t>
            </w:r>
          </w:p>
        </w:tc>
        <w:tc>
          <w:tcPr>
            <w:tcW w:w="749" w:type="dxa"/>
            <w:noWrap w:val="0"/>
            <w:vAlign w:val="center"/>
          </w:tcPr>
          <w:p w14:paraId="2F4E9C4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BAC33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6041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838B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3A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36BE9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207-7</w:t>
            </w:r>
          </w:p>
        </w:tc>
        <w:tc>
          <w:tcPr>
            <w:tcW w:w="4732" w:type="dxa"/>
            <w:noWrap w:val="0"/>
            <w:vAlign w:val="center"/>
          </w:tcPr>
          <w:p w14:paraId="2DEB47EA">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涵洞上下游改沟、改渠铺砌</w:t>
            </w:r>
          </w:p>
        </w:tc>
        <w:tc>
          <w:tcPr>
            <w:tcW w:w="749" w:type="dxa"/>
            <w:noWrap w:val="0"/>
            <w:vAlign w:val="center"/>
          </w:tcPr>
          <w:p w14:paraId="278E0B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305D2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1056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051D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04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9A1C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E3738C9">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浆砌片石铺砌</w:t>
            </w:r>
          </w:p>
        </w:tc>
        <w:tc>
          <w:tcPr>
            <w:tcW w:w="749" w:type="dxa"/>
            <w:noWrap w:val="0"/>
            <w:vAlign w:val="center"/>
          </w:tcPr>
          <w:p w14:paraId="6C05059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2B6BB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9BC9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3B14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0A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87F9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5F94C5C">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现浇混凝土铺砌</w:t>
            </w:r>
          </w:p>
        </w:tc>
        <w:tc>
          <w:tcPr>
            <w:tcW w:w="749" w:type="dxa"/>
            <w:noWrap w:val="0"/>
            <w:vAlign w:val="center"/>
          </w:tcPr>
          <w:p w14:paraId="4F8777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66C68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D0AB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7CB1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C4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B7583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C5065C8">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预制混凝土铺砌</w:t>
            </w:r>
          </w:p>
        </w:tc>
        <w:tc>
          <w:tcPr>
            <w:tcW w:w="749" w:type="dxa"/>
            <w:noWrap w:val="0"/>
            <w:vAlign w:val="center"/>
          </w:tcPr>
          <w:p w14:paraId="6D5838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D5718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17B9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945F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10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ABC4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207-8</w:t>
            </w:r>
          </w:p>
        </w:tc>
        <w:tc>
          <w:tcPr>
            <w:tcW w:w="4732" w:type="dxa"/>
            <w:noWrap w:val="0"/>
            <w:vAlign w:val="center"/>
          </w:tcPr>
          <w:p w14:paraId="2CCCA02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现浇混凝土坡面排水结构物</w:t>
            </w:r>
          </w:p>
        </w:tc>
        <w:tc>
          <w:tcPr>
            <w:tcW w:w="749" w:type="dxa"/>
            <w:noWrap w:val="0"/>
            <w:vAlign w:val="center"/>
          </w:tcPr>
          <w:p w14:paraId="7068DDE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B5187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F858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AC1B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C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9C6C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207-9</w:t>
            </w:r>
          </w:p>
        </w:tc>
        <w:tc>
          <w:tcPr>
            <w:tcW w:w="4732" w:type="dxa"/>
            <w:noWrap w:val="0"/>
            <w:vAlign w:val="center"/>
          </w:tcPr>
          <w:p w14:paraId="28649E6F">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预制混凝土坡面排水结构物</w:t>
            </w:r>
          </w:p>
        </w:tc>
        <w:tc>
          <w:tcPr>
            <w:tcW w:w="749" w:type="dxa"/>
            <w:noWrap w:val="0"/>
            <w:vAlign w:val="center"/>
          </w:tcPr>
          <w:p w14:paraId="1F31F0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5E925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ED01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2AED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A3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8032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207-10</w:t>
            </w:r>
          </w:p>
        </w:tc>
        <w:tc>
          <w:tcPr>
            <w:tcW w:w="4732" w:type="dxa"/>
            <w:noWrap w:val="0"/>
            <w:vAlign w:val="center"/>
          </w:tcPr>
          <w:p w14:paraId="7093239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仰斜式排水孔</w:t>
            </w:r>
          </w:p>
        </w:tc>
        <w:tc>
          <w:tcPr>
            <w:tcW w:w="749" w:type="dxa"/>
            <w:noWrap w:val="0"/>
            <w:vAlign w:val="center"/>
          </w:tcPr>
          <w:p w14:paraId="69E386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E2489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D967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FA2D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85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7518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336E26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钻孔</w:t>
            </w:r>
          </w:p>
        </w:tc>
        <w:tc>
          <w:tcPr>
            <w:tcW w:w="749" w:type="dxa"/>
            <w:noWrap w:val="0"/>
            <w:vAlign w:val="center"/>
          </w:tcPr>
          <w:p w14:paraId="58FAB7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B5988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4E5F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0B57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C7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70C7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68DB8A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排水管</w:t>
            </w:r>
          </w:p>
        </w:tc>
        <w:tc>
          <w:tcPr>
            <w:tcW w:w="749" w:type="dxa"/>
            <w:noWrap w:val="0"/>
            <w:vAlign w:val="center"/>
          </w:tcPr>
          <w:p w14:paraId="1905A0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1C62B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A0C2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F4595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57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2E95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872831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软式透水管</w:t>
            </w:r>
          </w:p>
        </w:tc>
        <w:tc>
          <w:tcPr>
            <w:tcW w:w="749" w:type="dxa"/>
            <w:noWrap w:val="0"/>
            <w:vAlign w:val="center"/>
          </w:tcPr>
          <w:p w14:paraId="6E8361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08FAB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C40A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65DE4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7A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27DF4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208</w:t>
            </w:r>
          </w:p>
        </w:tc>
        <w:tc>
          <w:tcPr>
            <w:tcW w:w="4732" w:type="dxa"/>
            <w:noWrap w:val="0"/>
            <w:vAlign w:val="center"/>
          </w:tcPr>
          <w:p w14:paraId="3DA107E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护坡、护面墙</w:t>
            </w:r>
          </w:p>
        </w:tc>
        <w:tc>
          <w:tcPr>
            <w:tcW w:w="749" w:type="dxa"/>
            <w:noWrap w:val="0"/>
            <w:vAlign w:val="center"/>
          </w:tcPr>
          <w:p w14:paraId="57B0F2C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0FA56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63D8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534A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E8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7CA37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208-1</w:t>
            </w:r>
          </w:p>
        </w:tc>
        <w:tc>
          <w:tcPr>
            <w:tcW w:w="4732" w:type="dxa"/>
            <w:noWrap w:val="0"/>
            <w:vAlign w:val="center"/>
          </w:tcPr>
          <w:p w14:paraId="47C10A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护坡垫层</w:t>
            </w:r>
          </w:p>
        </w:tc>
        <w:tc>
          <w:tcPr>
            <w:tcW w:w="749" w:type="dxa"/>
            <w:noWrap w:val="0"/>
            <w:vAlign w:val="center"/>
          </w:tcPr>
          <w:p w14:paraId="68C2B4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9959D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10B1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A9BE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0A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129A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208-2</w:t>
            </w:r>
          </w:p>
        </w:tc>
        <w:tc>
          <w:tcPr>
            <w:tcW w:w="4732" w:type="dxa"/>
            <w:noWrap w:val="0"/>
            <w:vAlign w:val="center"/>
          </w:tcPr>
          <w:p w14:paraId="3F42518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干砌片石护坡</w:t>
            </w:r>
          </w:p>
        </w:tc>
        <w:tc>
          <w:tcPr>
            <w:tcW w:w="749" w:type="dxa"/>
            <w:noWrap w:val="0"/>
            <w:vAlign w:val="center"/>
          </w:tcPr>
          <w:p w14:paraId="6D218E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B96FA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FDB2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877D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12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F97B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208-3</w:t>
            </w:r>
          </w:p>
        </w:tc>
        <w:tc>
          <w:tcPr>
            <w:tcW w:w="4732" w:type="dxa"/>
            <w:noWrap w:val="0"/>
            <w:vAlign w:val="center"/>
          </w:tcPr>
          <w:p w14:paraId="3BCA685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浆砌片石护坡</w:t>
            </w:r>
          </w:p>
        </w:tc>
        <w:tc>
          <w:tcPr>
            <w:tcW w:w="749" w:type="dxa"/>
            <w:noWrap w:val="0"/>
            <w:vAlign w:val="center"/>
          </w:tcPr>
          <w:p w14:paraId="7F6D75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5C63C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D8CA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0140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82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D6EA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6028CA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满铺浆砌片石护坡</w:t>
            </w:r>
          </w:p>
        </w:tc>
        <w:tc>
          <w:tcPr>
            <w:tcW w:w="749" w:type="dxa"/>
            <w:noWrap w:val="0"/>
            <w:vAlign w:val="center"/>
          </w:tcPr>
          <w:p w14:paraId="71F905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5265F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C774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7833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AB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A85E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CC5909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浆砌骨架护坡</w:t>
            </w:r>
          </w:p>
        </w:tc>
        <w:tc>
          <w:tcPr>
            <w:tcW w:w="749" w:type="dxa"/>
            <w:noWrap w:val="0"/>
            <w:vAlign w:val="center"/>
          </w:tcPr>
          <w:p w14:paraId="4F8F9DD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BE2AB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146D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9EE7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68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4" w:type="dxa"/>
            <w:tcBorders>
              <w:left w:val="single" w:color="auto" w:sz="12" w:space="0"/>
            </w:tcBorders>
            <w:noWrap w:val="0"/>
            <w:vAlign w:val="center"/>
          </w:tcPr>
          <w:p w14:paraId="73207A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4CD284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749" w:type="dxa"/>
            <w:noWrap w:val="0"/>
            <w:vAlign w:val="center"/>
          </w:tcPr>
          <w:p w14:paraId="1969B2A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6FB23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487A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0FE7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9E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847E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208-4</w:t>
            </w:r>
          </w:p>
        </w:tc>
        <w:tc>
          <w:tcPr>
            <w:tcW w:w="4732" w:type="dxa"/>
            <w:noWrap w:val="0"/>
            <w:vAlign w:val="center"/>
          </w:tcPr>
          <w:p w14:paraId="511F9DE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混凝土护坡</w:t>
            </w:r>
          </w:p>
        </w:tc>
        <w:tc>
          <w:tcPr>
            <w:tcW w:w="749" w:type="dxa"/>
            <w:noWrap w:val="0"/>
            <w:vAlign w:val="center"/>
          </w:tcPr>
          <w:p w14:paraId="0B6683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26DD7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0F48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D6D6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ED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C31D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30CBA2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现浇混凝土满铺护坡</w:t>
            </w:r>
          </w:p>
        </w:tc>
        <w:tc>
          <w:tcPr>
            <w:tcW w:w="749" w:type="dxa"/>
            <w:noWrap w:val="0"/>
            <w:vAlign w:val="center"/>
          </w:tcPr>
          <w:p w14:paraId="5A44220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E6968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AE87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FB51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65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B82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B77E73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混凝土预制件满铺护坡</w:t>
            </w:r>
          </w:p>
        </w:tc>
        <w:tc>
          <w:tcPr>
            <w:tcW w:w="749" w:type="dxa"/>
            <w:noWrap w:val="0"/>
            <w:vAlign w:val="center"/>
          </w:tcPr>
          <w:p w14:paraId="1DC248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9DF62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F4B0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EFA4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CD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9460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E17B5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现浇混凝土骨架护坡</w:t>
            </w:r>
          </w:p>
        </w:tc>
        <w:tc>
          <w:tcPr>
            <w:tcW w:w="749" w:type="dxa"/>
            <w:noWrap w:val="0"/>
            <w:vAlign w:val="center"/>
          </w:tcPr>
          <w:p w14:paraId="3285EB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EDB24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CD1A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BB0B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EF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31C1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DD7323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混凝土预制件骨架护坡</w:t>
            </w:r>
          </w:p>
        </w:tc>
        <w:tc>
          <w:tcPr>
            <w:tcW w:w="749" w:type="dxa"/>
            <w:noWrap w:val="0"/>
            <w:vAlign w:val="center"/>
          </w:tcPr>
          <w:p w14:paraId="2A9C42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52BEF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D13F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1820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48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5B39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641523F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w:t>
            </w:r>
          </w:p>
        </w:tc>
        <w:tc>
          <w:tcPr>
            <w:tcW w:w="749" w:type="dxa"/>
            <w:noWrap w:val="0"/>
            <w:vAlign w:val="center"/>
          </w:tcPr>
          <w:p w14:paraId="2F7427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BCD4C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E651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BD16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03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F6DC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208-5</w:t>
            </w:r>
          </w:p>
        </w:tc>
        <w:tc>
          <w:tcPr>
            <w:tcW w:w="4732" w:type="dxa"/>
            <w:noWrap w:val="0"/>
            <w:vAlign w:val="center"/>
          </w:tcPr>
          <w:p w14:paraId="3083071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护面墙</w:t>
            </w:r>
          </w:p>
        </w:tc>
        <w:tc>
          <w:tcPr>
            <w:tcW w:w="749" w:type="dxa"/>
            <w:noWrap w:val="0"/>
            <w:vAlign w:val="center"/>
          </w:tcPr>
          <w:p w14:paraId="031DD1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280FA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5D64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1158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03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736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D5704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浆砌片（块）石护面墙</w:t>
            </w:r>
          </w:p>
        </w:tc>
        <w:tc>
          <w:tcPr>
            <w:tcW w:w="749" w:type="dxa"/>
            <w:noWrap w:val="0"/>
            <w:vAlign w:val="center"/>
          </w:tcPr>
          <w:p w14:paraId="610CCE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62058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ED8B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1EEA2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8E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3260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B3B307D">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现浇混凝土护面墙</w:t>
            </w:r>
          </w:p>
        </w:tc>
        <w:tc>
          <w:tcPr>
            <w:tcW w:w="749" w:type="dxa"/>
            <w:noWrap w:val="0"/>
            <w:vAlign w:val="center"/>
          </w:tcPr>
          <w:p w14:paraId="7C3D28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65E54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8EE3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FE82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71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4B18E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A0B19F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预制安装混凝土护面墙</w:t>
            </w:r>
          </w:p>
        </w:tc>
        <w:tc>
          <w:tcPr>
            <w:tcW w:w="749" w:type="dxa"/>
            <w:noWrap w:val="0"/>
            <w:vAlign w:val="center"/>
          </w:tcPr>
          <w:p w14:paraId="6D9D85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58FCE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0685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2511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11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0A1E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208-6</w:t>
            </w:r>
          </w:p>
        </w:tc>
        <w:tc>
          <w:tcPr>
            <w:tcW w:w="4732" w:type="dxa"/>
            <w:noWrap w:val="0"/>
            <w:vAlign w:val="center"/>
          </w:tcPr>
          <w:p w14:paraId="3CB3D79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封面</w:t>
            </w:r>
          </w:p>
        </w:tc>
        <w:tc>
          <w:tcPr>
            <w:tcW w:w="749" w:type="dxa"/>
            <w:noWrap w:val="0"/>
            <w:vAlign w:val="center"/>
          </w:tcPr>
          <w:p w14:paraId="622ADC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792C3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B589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DB5B8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B4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4898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FF8A3B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封面</w:t>
            </w:r>
          </w:p>
        </w:tc>
        <w:tc>
          <w:tcPr>
            <w:tcW w:w="749" w:type="dxa"/>
            <w:noWrap w:val="0"/>
            <w:vAlign w:val="center"/>
          </w:tcPr>
          <w:p w14:paraId="2C4C8C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4D61E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5B27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F2FC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59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52F2D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208-7</w:t>
            </w:r>
          </w:p>
        </w:tc>
        <w:tc>
          <w:tcPr>
            <w:tcW w:w="4732" w:type="dxa"/>
            <w:noWrap w:val="0"/>
            <w:vAlign w:val="center"/>
          </w:tcPr>
          <w:p w14:paraId="44178CC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捶面</w:t>
            </w:r>
          </w:p>
        </w:tc>
        <w:tc>
          <w:tcPr>
            <w:tcW w:w="749" w:type="dxa"/>
            <w:noWrap w:val="0"/>
            <w:vAlign w:val="center"/>
          </w:tcPr>
          <w:p w14:paraId="7B7AB8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AD9AA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A33B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FEF27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81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DD3F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3EF8DC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捶面</w:t>
            </w:r>
          </w:p>
        </w:tc>
        <w:tc>
          <w:tcPr>
            <w:tcW w:w="749" w:type="dxa"/>
            <w:noWrap w:val="0"/>
            <w:vAlign w:val="center"/>
          </w:tcPr>
          <w:p w14:paraId="471EEEC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63F4F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1A3B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54F6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40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4D55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208-8</w:t>
            </w:r>
          </w:p>
        </w:tc>
        <w:tc>
          <w:tcPr>
            <w:tcW w:w="4732" w:type="dxa"/>
            <w:noWrap w:val="0"/>
            <w:vAlign w:val="center"/>
          </w:tcPr>
          <w:p w14:paraId="2CF186CD">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坡面柔性防护</w:t>
            </w:r>
          </w:p>
        </w:tc>
        <w:tc>
          <w:tcPr>
            <w:tcW w:w="749" w:type="dxa"/>
            <w:noWrap w:val="0"/>
            <w:vAlign w:val="center"/>
          </w:tcPr>
          <w:p w14:paraId="4FE3AA4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43466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303B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B60C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3A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D49A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3E69A66">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主动防护系统</w:t>
            </w:r>
          </w:p>
        </w:tc>
        <w:tc>
          <w:tcPr>
            <w:tcW w:w="749" w:type="dxa"/>
            <w:noWrap w:val="0"/>
            <w:vAlign w:val="center"/>
          </w:tcPr>
          <w:p w14:paraId="19517C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1FD71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AF59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810F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98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6251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322724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被动防护系统</w:t>
            </w:r>
          </w:p>
        </w:tc>
        <w:tc>
          <w:tcPr>
            <w:tcW w:w="749" w:type="dxa"/>
            <w:noWrap w:val="0"/>
            <w:vAlign w:val="center"/>
          </w:tcPr>
          <w:p w14:paraId="093E47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AB55F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1ABC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10605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4F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92AC0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209</w:t>
            </w:r>
          </w:p>
        </w:tc>
        <w:tc>
          <w:tcPr>
            <w:tcW w:w="4732" w:type="dxa"/>
            <w:noWrap w:val="0"/>
            <w:vAlign w:val="center"/>
          </w:tcPr>
          <w:p w14:paraId="7881046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挡土墙</w:t>
            </w:r>
          </w:p>
        </w:tc>
        <w:tc>
          <w:tcPr>
            <w:tcW w:w="749" w:type="dxa"/>
            <w:noWrap w:val="0"/>
            <w:vAlign w:val="center"/>
          </w:tcPr>
          <w:p w14:paraId="65613A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60420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4E12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2905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8D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294A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209-1</w:t>
            </w:r>
          </w:p>
        </w:tc>
        <w:tc>
          <w:tcPr>
            <w:tcW w:w="4732" w:type="dxa"/>
            <w:noWrap w:val="0"/>
            <w:vAlign w:val="center"/>
          </w:tcPr>
          <w:p w14:paraId="756E526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noWrap w:val="0"/>
            <w:vAlign w:val="center"/>
          </w:tcPr>
          <w:p w14:paraId="032241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80677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A0A9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109C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2E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7EDAD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209-2</w:t>
            </w:r>
          </w:p>
        </w:tc>
        <w:tc>
          <w:tcPr>
            <w:tcW w:w="4732" w:type="dxa"/>
            <w:noWrap w:val="0"/>
            <w:vAlign w:val="center"/>
          </w:tcPr>
          <w:p w14:paraId="12E3C9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w:t>
            </w:r>
          </w:p>
        </w:tc>
        <w:tc>
          <w:tcPr>
            <w:tcW w:w="749" w:type="dxa"/>
            <w:noWrap w:val="0"/>
            <w:vAlign w:val="center"/>
          </w:tcPr>
          <w:p w14:paraId="4C1F87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0E541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F8CD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3BC9A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0B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5B0F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5F8D22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浆砌片（块）石基础</w:t>
            </w:r>
          </w:p>
        </w:tc>
        <w:tc>
          <w:tcPr>
            <w:tcW w:w="749" w:type="dxa"/>
            <w:noWrap w:val="0"/>
            <w:vAlign w:val="center"/>
          </w:tcPr>
          <w:p w14:paraId="7E74B7D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75998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7D54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855D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1C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FBD9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8741BB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w:t>
            </w:r>
          </w:p>
        </w:tc>
        <w:tc>
          <w:tcPr>
            <w:tcW w:w="749" w:type="dxa"/>
            <w:noWrap w:val="0"/>
            <w:vAlign w:val="center"/>
          </w:tcPr>
          <w:p w14:paraId="403461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70574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7E37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248D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F0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F4BFC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209-3</w:t>
            </w:r>
          </w:p>
        </w:tc>
        <w:tc>
          <w:tcPr>
            <w:tcW w:w="4732" w:type="dxa"/>
            <w:noWrap w:val="0"/>
            <w:vAlign w:val="center"/>
          </w:tcPr>
          <w:p w14:paraId="1AC6A3C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砌体挡土墙</w:t>
            </w:r>
          </w:p>
        </w:tc>
        <w:tc>
          <w:tcPr>
            <w:tcW w:w="749" w:type="dxa"/>
            <w:noWrap w:val="0"/>
            <w:vAlign w:val="center"/>
          </w:tcPr>
          <w:p w14:paraId="080931A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01FDA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6263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031D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5A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4B2A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1803DAA">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w:t>
            </w:r>
          </w:p>
        </w:tc>
        <w:tc>
          <w:tcPr>
            <w:tcW w:w="749" w:type="dxa"/>
            <w:noWrap w:val="0"/>
            <w:vAlign w:val="center"/>
          </w:tcPr>
          <w:p w14:paraId="4107BE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44A5A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EE39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1A2F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F3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6839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209-4</w:t>
            </w:r>
          </w:p>
        </w:tc>
        <w:tc>
          <w:tcPr>
            <w:tcW w:w="4732" w:type="dxa"/>
            <w:noWrap w:val="0"/>
            <w:vAlign w:val="center"/>
          </w:tcPr>
          <w:p w14:paraId="21C12C0A">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干砌挡土墙</w:t>
            </w:r>
          </w:p>
        </w:tc>
        <w:tc>
          <w:tcPr>
            <w:tcW w:w="749" w:type="dxa"/>
            <w:noWrap w:val="0"/>
            <w:vAlign w:val="center"/>
          </w:tcPr>
          <w:p w14:paraId="7B79EA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0AC64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210C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6463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5A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42542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209-5</w:t>
            </w:r>
          </w:p>
        </w:tc>
        <w:tc>
          <w:tcPr>
            <w:tcW w:w="4732" w:type="dxa"/>
            <w:noWrap w:val="0"/>
            <w:vAlign w:val="center"/>
          </w:tcPr>
          <w:p w14:paraId="1E50536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混凝土挡土墙</w:t>
            </w:r>
          </w:p>
        </w:tc>
        <w:tc>
          <w:tcPr>
            <w:tcW w:w="749" w:type="dxa"/>
            <w:noWrap w:val="0"/>
            <w:vAlign w:val="center"/>
          </w:tcPr>
          <w:p w14:paraId="49D4EDC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6B30D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BF3B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14908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AB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8F32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1C8CC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613A78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AC994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CE92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0590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27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CBB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D06218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82A98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EF41C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B801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E704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AF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60DC6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w:t>
            </w:r>
          </w:p>
        </w:tc>
        <w:tc>
          <w:tcPr>
            <w:tcW w:w="4732" w:type="dxa"/>
            <w:noWrap w:val="0"/>
            <w:vAlign w:val="center"/>
          </w:tcPr>
          <w:p w14:paraId="2E95228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锚杆、锚定板挡土墙</w:t>
            </w:r>
          </w:p>
        </w:tc>
        <w:tc>
          <w:tcPr>
            <w:tcW w:w="749" w:type="dxa"/>
            <w:noWrap w:val="0"/>
            <w:vAlign w:val="center"/>
          </w:tcPr>
          <w:p w14:paraId="0E1C788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893A5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C95E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F48D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4B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0524A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210-1</w:t>
            </w:r>
          </w:p>
        </w:tc>
        <w:tc>
          <w:tcPr>
            <w:tcW w:w="4732" w:type="dxa"/>
            <w:noWrap w:val="0"/>
            <w:vAlign w:val="center"/>
          </w:tcPr>
          <w:p w14:paraId="730E805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锚杆挡土墙</w:t>
            </w:r>
          </w:p>
        </w:tc>
        <w:tc>
          <w:tcPr>
            <w:tcW w:w="749" w:type="dxa"/>
            <w:noWrap w:val="0"/>
            <w:vAlign w:val="center"/>
          </w:tcPr>
          <w:p w14:paraId="24B50B7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EDF3E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4F59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D367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9C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E669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2E6D4B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现浇混凝土立柱</w:t>
            </w:r>
          </w:p>
        </w:tc>
        <w:tc>
          <w:tcPr>
            <w:tcW w:w="749" w:type="dxa"/>
            <w:noWrap w:val="0"/>
            <w:vAlign w:val="center"/>
          </w:tcPr>
          <w:p w14:paraId="436B20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CAC25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B762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856A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4C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30E1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361BE1C">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预制安装</w:t>
            </w:r>
            <w:r>
              <w:rPr>
                <w:rFonts w:hint="default" w:ascii="Times New Roman" w:hAnsi="Times New Roman" w:cs="Times New Roman"/>
                <w:color w:val="auto"/>
                <w:szCs w:val="21"/>
                <w:highlight w:val="none"/>
              </w:rPr>
              <w:t>混凝土立柱</w:t>
            </w:r>
          </w:p>
        </w:tc>
        <w:tc>
          <w:tcPr>
            <w:tcW w:w="749" w:type="dxa"/>
            <w:noWrap w:val="0"/>
            <w:vAlign w:val="center"/>
          </w:tcPr>
          <w:p w14:paraId="29DE039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5F2DD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DE56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163E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DF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CDB67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873C1D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w:t>
            </w:r>
            <w:r>
              <w:rPr>
                <w:rFonts w:hint="default" w:ascii="Times New Roman" w:hAnsi="Times New Roman" w:cs="Times New Roman"/>
                <w:color w:val="auto"/>
                <w:szCs w:val="21"/>
                <w:highlight w:val="none"/>
              </w:rPr>
              <w:t>混凝土挡板</w:t>
            </w:r>
          </w:p>
        </w:tc>
        <w:tc>
          <w:tcPr>
            <w:tcW w:w="749" w:type="dxa"/>
            <w:noWrap w:val="0"/>
            <w:vAlign w:val="center"/>
          </w:tcPr>
          <w:p w14:paraId="3A2698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588DF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7514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5ECE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9C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AC3CA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210-2</w:t>
            </w:r>
          </w:p>
        </w:tc>
        <w:tc>
          <w:tcPr>
            <w:tcW w:w="4732" w:type="dxa"/>
            <w:noWrap w:val="0"/>
            <w:vAlign w:val="center"/>
          </w:tcPr>
          <w:p w14:paraId="76F5D88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锚定板挡土墙</w:t>
            </w:r>
          </w:p>
        </w:tc>
        <w:tc>
          <w:tcPr>
            <w:tcW w:w="749" w:type="dxa"/>
            <w:noWrap w:val="0"/>
            <w:vAlign w:val="center"/>
          </w:tcPr>
          <w:p w14:paraId="6D3582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317C7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24C4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C52B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77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2D48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6267372">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现浇混凝土肋柱</w:t>
            </w:r>
          </w:p>
        </w:tc>
        <w:tc>
          <w:tcPr>
            <w:tcW w:w="749" w:type="dxa"/>
            <w:noWrap w:val="0"/>
            <w:vAlign w:val="center"/>
          </w:tcPr>
          <w:p w14:paraId="3ABBE5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8C486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BD1C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1C0D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57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9986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26170B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预制安装混凝土肋柱</w:t>
            </w:r>
          </w:p>
        </w:tc>
        <w:tc>
          <w:tcPr>
            <w:tcW w:w="749" w:type="dxa"/>
            <w:noWrap w:val="0"/>
            <w:vAlign w:val="center"/>
          </w:tcPr>
          <w:p w14:paraId="20A304A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DDB1E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4FAA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B9F2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08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0C19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8C398AE">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预制安装混凝土锚定板</w:t>
            </w:r>
          </w:p>
        </w:tc>
        <w:tc>
          <w:tcPr>
            <w:tcW w:w="749" w:type="dxa"/>
            <w:noWrap w:val="0"/>
            <w:vAlign w:val="center"/>
          </w:tcPr>
          <w:p w14:paraId="608ED3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C9E5E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8376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373D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91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33A0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210-3</w:t>
            </w:r>
          </w:p>
        </w:tc>
        <w:tc>
          <w:tcPr>
            <w:tcW w:w="4732" w:type="dxa"/>
            <w:noWrap w:val="0"/>
            <w:vAlign w:val="center"/>
          </w:tcPr>
          <w:p w14:paraId="3A76B4A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现浇墙身混凝土、附属部位混凝土</w:t>
            </w:r>
          </w:p>
        </w:tc>
        <w:tc>
          <w:tcPr>
            <w:tcW w:w="749" w:type="dxa"/>
            <w:noWrap w:val="0"/>
            <w:vAlign w:val="center"/>
          </w:tcPr>
          <w:p w14:paraId="702B4D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6E8C7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42BF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6725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DD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3BF8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E23F08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现浇混凝土墙身</w:t>
            </w:r>
          </w:p>
        </w:tc>
        <w:tc>
          <w:tcPr>
            <w:tcW w:w="749" w:type="dxa"/>
            <w:noWrap w:val="0"/>
            <w:vAlign w:val="center"/>
          </w:tcPr>
          <w:p w14:paraId="57F55A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DCCF7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FB61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1C12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59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1BA0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A093D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现浇附属部位混凝土</w:t>
            </w:r>
          </w:p>
        </w:tc>
        <w:tc>
          <w:tcPr>
            <w:tcW w:w="749" w:type="dxa"/>
            <w:noWrap w:val="0"/>
            <w:vAlign w:val="center"/>
          </w:tcPr>
          <w:p w14:paraId="50A035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FA669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1C57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C39C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CD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678C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210-4</w:t>
            </w:r>
          </w:p>
        </w:tc>
        <w:tc>
          <w:tcPr>
            <w:tcW w:w="4732" w:type="dxa"/>
            <w:noWrap w:val="0"/>
            <w:vAlign w:val="center"/>
          </w:tcPr>
          <w:p w14:paraId="47462B0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现浇桩基混凝土</w:t>
            </w:r>
          </w:p>
        </w:tc>
        <w:tc>
          <w:tcPr>
            <w:tcW w:w="749" w:type="dxa"/>
            <w:noWrap w:val="0"/>
            <w:vAlign w:val="center"/>
          </w:tcPr>
          <w:p w14:paraId="753A01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88E53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30D7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78E7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60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86761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210-5</w:t>
            </w:r>
          </w:p>
        </w:tc>
        <w:tc>
          <w:tcPr>
            <w:tcW w:w="4732" w:type="dxa"/>
            <w:noWrap w:val="0"/>
            <w:vAlign w:val="center"/>
          </w:tcPr>
          <w:p w14:paraId="01E59517">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锚杆及拉杆</w:t>
            </w:r>
          </w:p>
        </w:tc>
        <w:tc>
          <w:tcPr>
            <w:tcW w:w="749" w:type="dxa"/>
            <w:noWrap w:val="0"/>
            <w:vAlign w:val="center"/>
          </w:tcPr>
          <w:p w14:paraId="5DF8A85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5E685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F409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BCAE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A4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14C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49E13B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16B3377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35000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A6A9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EAAA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BF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F2AF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8F559C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拉杆</w:t>
            </w:r>
          </w:p>
        </w:tc>
        <w:tc>
          <w:tcPr>
            <w:tcW w:w="749" w:type="dxa"/>
            <w:noWrap w:val="0"/>
            <w:vAlign w:val="center"/>
          </w:tcPr>
          <w:p w14:paraId="07B4F5D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E8339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E6A7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2168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D7B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E7AC6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210-6</w:t>
            </w:r>
          </w:p>
        </w:tc>
        <w:tc>
          <w:tcPr>
            <w:tcW w:w="4732" w:type="dxa"/>
            <w:noWrap w:val="0"/>
            <w:vAlign w:val="center"/>
          </w:tcPr>
          <w:p w14:paraId="4D9E377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C05314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E61EC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D347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B503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44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557CE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211</w:t>
            </w:r>
          </w:p>
        </w:tc>
        <w:tc>
          <w:tcPr>
            <w:tcW w:w="4732" w:type="dxa"/>
            <w:noWrap w:val="0"/>
            <w:vAlign w:val="center"/>
          </w:tcPr>
          <w:p w14:paraId="2A7427E6">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加筋土挡土墙</w:t>
            </w:r>
          </w:p>
        </w:tc>
        <w:tc>
          <w:tcPr>
            <w:tcW w:w="749" w:type="dxa"/>
            <w:noWrap w:val="0"/>
            <w:vAlign w:val="center"/>
          </w:tcPr>
          <w:p w14:paraId="17D11B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C1EE9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1542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5CA9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2D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576BB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211-1</w:t>
            </w:r>
          </w:p>
        </w:tc>
        <w:tc>
          <w:tcPr>
            <w:tcW w:w="4732" w:type="dxa"/>
            <w:noWrap w:val="0"/>
            <w:vAlign w:val="center"/>
          </w:tcPr>
          <w:p w14:paraId="0ACC667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基础</w:t>
            </w:r>
          </w:p>
        </w:tc>
        <w:tc>
          <w:tcPr>
            <w:tcW w:w="749" w:type="dxa"/>
            <w:noWrap w:val="0"/>
            <w:vAlign w:val="center"/>
          </w:tcPr>
          <w:p w14:paraId="62B6CCB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99ACB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6965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903C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A4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2E1FD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1F1958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浆砌片石基础</w:t>
            </w:r>
          </w:p>
        </w:tc>
        <w:tc>
          <w:tcPr>
            <w:tcW w:w="749" w:type="dxa"/>
            <w:noWrap w:val="0"/>
            <w:vAlign w:val="center"/>
          </w:tcPr>
          <w:p w14:paraId="11CFBA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FC334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70C0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A018E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34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FB597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4D6F1F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w:t>
            </w:r>
          </w:p>
        </w:tc>
        <w:tc>
          <w:tcPr>
            <w:tcW w:w="749" w:type="dxa"/>
            <w:noWrap w:val="0"/>
            <w:vAlign w:val="center"/>
          </w:tcPr>
          <w:p w14:paraId="582E24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47F33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A313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8492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7C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081D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211-2</w:t>
            </w:r>
          </w:p>
        </w:tc>
        <w:tc>
          <w:tcPr>
            <w:tcW w:w="4732" w:type="dxa"/>
            <w:noWrap w:val="0"/>
            <w:vAlign w:val="center"/>
          </w:tcPr>
          <w:p w14:paraId="61927C6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混凝土帽石</w:t>
            </w:r>
          </w:p>
        </w:tc>
        <w:tc>
          <w:tcPr>
            <w:tcW w:w="749" w:type="dxa"/>
            <w:noWrap w:val="0"/>
            <w:vAlign w:val="center"/>
          </w:tcPr>
          <w:p w14:paraId="1B1ED1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D4F31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9275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6438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B6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966F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0F92EA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现浇帽石混凝土</w:t>
            </w:r>
          </w:p>
        </w:tc>
        <w:tc>
          <w:tcPr>
            <w:tcW w:w="749" w:type="dxa"/>
            <w:noWrap w:val="0"/>
            <w:vAlign w:val="center"/>
          </w:tcPr>
          <w:p w14:paraId="08AF9E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19F85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6304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87A8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FF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C86B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211-3</w:t>
            </w:r>
          </w:p>
        </w:tc>
        <w:tc>
          <w:tcPr>
            <w:tcW w:w="4732" w:type="dxa"/>
            <w:noWrap w:val="0"/>
            <w:vAlign w:val="center"/>
          </w:tcPr>
          <w:p w14:paraId="72F784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预制安装混凝土墙面板</w:t>
            </w:r>
          </w:p>
        </w:tc>
        <w:tc>
          <w:tcPr>
            <w:tcW w:w="749" w:type="dxa"/>
            <w:noWrap w:val="0"/>
            <w:vAlign w:val="center"/>
          </w:tcPr>
          <w:p w14:paraId="682261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733A6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17A2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5013A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D1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9BDFE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211-4</w:t>
            </w:r>
          </w:p>
        </w:tc>
        <w:tc>
          <w:tcPr>
            <w:tcW w:w="4732" w:type="dxa"/>
            <w:noWrap w:val="0"/>
            <w:vAlign w:val="center"/>
          </w:tcPr>
          <w:p w14:paraId="64FC080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加筋带</w:t>
            </w:r>
          </w:p>
        </w:tc>
        <w:tc>
          <w:tcPr>
            <w:tcW w:w="749" w:type="dxa"/>
            <w:noWrap w:val="0"/>
            <w:vAlign w:val="center"/>
          </w:tcPr>
          <w:p w14:paraId="69334D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EE6CF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72CB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CE4C7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E3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B103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1653D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扁钢带</w:t>
            </w:r>
          </w:p>
        </w:tc>
        <w:tc>
          <w:tcPr>
            <w:tcW w:w="749" w:type="dxa"/>
            <w:noWrap w:val="0"/>
            <w:vAlign w:val="center"/>
          </w:tcPr>
          <w:p w14:paraId="2D39B87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6849E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C33F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3836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5A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3253C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C1DE21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钢筋混凝土带</w:t>
            </w:r>
          </w:p>
        </w:tc>
        <w:tc>
          <w:tcPr>
            <w:tcW w:w="749" w:type="dxa"/>
            <w:noWrap w:val="0"/>
            <w:vAlign w:val="center"/>
          </w:tcPr>
          <w:p w14:paraId="3F994E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07FE6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AAB4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98792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63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404C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23EA8E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塑钢复合带</w:t>
            </w:r>
          </w:p>
        </w:tc>
        <w:tc>
          <w:tcPr>
            <w:tcW w:w="749" w:type="dxa"/>
            <w:noWrap w:val="0"/>
            <w:vAlign w:val="center"/>
          </w:tcPr>
          <w:p w14:paraId="299FED4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F86B4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4D1B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1A865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C8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3D1C2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3A5FEA13">
            <w:pPr>
              <w:pageBreakBefore w:val="0"/>
              <w:widowControl/>
              <w:kinsoku/>
              <w:wordWrap w:val="0"/>
              <w:bidi w:val="0"/>
              <w:spacing w:line="360" w:lineRule="atLeast"/>
              <w:jc w:val="lef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塑料土工格栅</w:t>
            </w:r>
          </w:p>
        </w:tc>
        <w:tc>
          <w:tcPr>
            <w:tcW w:w="749" w:type="dxa"/>
            <w:noWrap w:val="0"/>
            <w:vAlign w:val="center"/>
          </w:tcPr>
          <w:p w14:paraId="6CF70D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A0351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8788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3C42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4D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A2D0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7C5EBB53">
            <w:pPr>
              <w:pageBreakBefore w:val="0"/>
              <w:widowControl/>
              <w:kinsoku/>
              <w:wordWrap w:val="0"/>
              <w:bidi w:val="0"/>
              <w:spacing w:line="360" w:lineRule="atLeast"/>
              <w:jc w:val="lef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聚丙烯土工带</w:t>
            </w:r>
          </w:p>
        </w:tc>
        <w:tc>
          <w:tcPr>
            <w:tcW w:w="749" w:type="dxa"/>
            <w:noWrap w:val="0"/>
            <w:vAlign w:val="center"/>
          </w:tcPr>
          <w:p w14:paraId="1D6315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042DE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1335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A82F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AD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9448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211-5</w:t>
            </w:r>
          </w:p>
        </w:tc>
        <w:tc>
          <w:tcPr>
            <w:tcW w:w="4732" w:type="dxa"/>
            <w:noWrap w:val="0"/>
            <w:vAlign w:val="center"/>
          </w:tcPr>
          <w:p w14:paraId="47DC9C7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53DACE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8540C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3163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B657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46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8934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212</w:t>
            </w:r>
          </w:p>
        </w:tc>
        <w:tc>
          <w:tcPr>
            <w:tcW w:w="4732" w:type="dxa"/>
            <w:noWrap w:val="0"/>
            <w:vAlign w:val="center"/>
          </w:tcPr>
          <w:p w14:paraId="68BDBA2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喷射混凝土和喷浆边坡防护</w:t>
            </w:r>
          </w:p>
        </w:tc>
        <w:tc>
          <w:tcPr>
            <w:tcW w:w="749" w:type="dxa"/>
            <w:noWrap w:val="0"/>
            <w:vAlign w:val="center"/>
          </w:tcPr>
          <w:p w14:paraId="5753A76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7206C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A6B4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9FF2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14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C190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212-1</w:t>
            </w:r>
          </w:p>
        </w:tc>
        <w:tc>
          <w:tcPr>
            <w:tcW w:w="4732" w:type="dxa"/>
            <w:noWrap w:val="0"/>
            <w:vAlign w:val="center"/>
          </w:tcPr>
          <w:p w14:paraId="57F5001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挂网土工格栅喷浆防护边坡</w:t>
            </w:r>
          </w:p>
        </w:tc>
        <w:tc>
          <w:tcPr>
            <w:tcW w:w="749" w:type="dxa"/>
            <w:noWrap w:val="0"/>
            <w:vAlign w:val="center"/>
          </w:tcPr>
          <w:p w14:paraId="0486703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701DB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9607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0C76D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90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D3D0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AF4A81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喷浆防护边坡</w:t>
            </w:r>
          </w:p>
        </w:tc>
        <w:tc>
          <w:tcPr>
            <w:tcW w:w="749" w:type="dxa"/>
            <w:noWrap w:val="0"/>
            <w:vAlign w:val="center"/>
          </w:tcPr>
          <w:p w14:paraId="232CBC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3D1F9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D366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0D1E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A7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B919E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EB4500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铁丝网</w:t>
            </w:r>
          </w:p>
        </w:tc>
        <w:tc>
          <w:tcPr>
            <w:tcW w:w="749" w:type="dxa"/>
            <w:noWrap w:val="0"/>
            <w:vAlign w:val="center"/>
          </w:tcPr>
          <w:p w14:paraId="2E94C8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CC698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0270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3F58F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77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B28E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0BD4B9A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27927A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EC808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0763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6FCC7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09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5F9B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4C8421B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0EC51A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09147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60B7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E634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AB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D12F8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212-2</w:t>
            </w:r>
          </w:p>
        </w:tc>
        <w:tc>
          <w:tcPr>
            <w:tcW w:w="4732" w:type="dxa"/>
            <w:noWrap w:val="0"/>
            <w:vAlign w:val="center"/>
          </w:tcPr>
          <w:p w14:paraId="1B478EA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挂网锚喷混凝土防护边坡（全坡面）</w:t>
            </w:r>
          </w:p>
        </w:tc>
        <w:tc>
          <w:tcPr>
            <w:tcW w:w="749" w:type="dxa"/>
            <w:noWrap w:val="0"/>
            <w:vAlign w:val="center"/>
          </w:tcPr>
          <w:p w14:paraId="38A19C1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F6F47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AE2F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E6CF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2D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0A61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348E07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喷射混凝土防护边坡</w:t>
            </w:r>
          </w:p>
        </w:tc>
        <w:tc>
          <w:tcPr>
            <w:tcW w:w="749" w:type="dxa"/>
            <w:noWrap w:val="0"/>
            <w:vAlign w:val="center"/>
          </w:tcPr>
          <w:p w14:paraId="04D4F8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C3BF0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A6E9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B642D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8F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2C8C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12DB31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749" w:type="dxa"/>
            <w:noWrap w:val="0"/>
            <w:vAlign w:val="center"/>
          </w:tcPr>
          <w:p w14:paraId="3458DC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15150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05E9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0EB1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C4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849B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34C7C2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铁丝网</w:t>
            </w:r>
          </w:p>
        </w:tc>
        <w:tc>
          <w:tcPr>
            <w:tcW w:w="749" w:type="dxa"/>
            <w:noWrap w:val="0"/>
            <w:vAlign w:val="center"/>
          </w:tcPr>
          <w:p w14:paraId="1671BCD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2C197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0658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01AC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BF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A770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417923A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07B16A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2A6F9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7A0E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8ABD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3F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A0336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01DAC2C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1D6C29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9E209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9F0A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5198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B8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8F0CC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212-3</w:t>
            </w:r>
          </w:p>
        </w:tc>
        <w:tc>
          <w:tcPr>
            <w:tcW w:w="4732" w:type="dxa"/>
            <w:noWrap w:val="0"/>
            <w:vAlign w:val="center"/>
          </w:tcPr>
          <w:p w14:paraId="00F97052">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坡面防护</w:t>
            </w:r>
          </w:p>
        </w:tc>
        <w:tc>
          <w:tcPr>
            <w:tcW w:w="749" w:type="dxa"/>
            <w:noWrap w:val="0"/>
            <w:vAlign w:val="center"/>
          </w:tcPr>
          <w:p w14:paraId="519189E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4D974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6AD8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4813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F0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1F877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C79639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喷浆边坡防护</w:t>
            </w:r>
          </w:p>
        </w:tc>
        <w:tc>
          <w:tcPr>
            <w:tcW w:w="749" w:type="dxa"/>
            <w:noWrap w:val="0"/>
            <w:vAlign w:val="center"/>
          </w:tcPr>
          <w:p w14:paraId="52F3F36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02350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9CEC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38F7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AA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EFF06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10257EC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喷射混凝土</w:t>
            </w:r>
            <w:r>
              <w:rPr>
                <w:rFonts w:hint="default" w:ascii="Times New Roman" w:hAnsi="Times New Roman" w:cs="Times New Roman"/>
                <w:color w:val="auto"/>
                <w:kern w:val="0"/>
                <w:szCs w:val="21"/>
                <w:highlight w:val="none"/>
              </w:rPr>
              <w:t>边坡防护</w:t>
            </w:r>
          </w:p>
        </w:tc>
        <w:tc>
          <w:tcPr>
            <w:tcW w:w="749" w:type="dxa"/>
            <w:noWrap w:val="0"/>
            <w:vAlign w:val="center"/>
          </w:tcPr>
          <w:p w14:paraId="40617F5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vertAlign w:val="superscript"/>
              </w:rPr>
            </w:pPr>
            <w:r>
              <w:rPr>
                <w:rFonts w:hint="default" w:ascii="Times New Roman" w:hAnsi="Times New Roman" w:cs="Times New Roman"/>
                <w:bCs/>
                <w:color w:val="auto"/>
                <w:kern w:val="0"/>
                <w:szCs w:val="21"/>
                <w:highlight w:val="none"/>
              </w:rPr>
              <w:t>m</w:t>
            </w:r>
            <w:r>
              <w:rPr>
                <w:rFonts w:hint="default" w:ascii="Times New Roman" w:hAnsi="Times New Roman" w:cs="Times New Roman"/>
                <w:bCs/>
                <w:color w:val="auto"/>
                <w:kern w:val="0"/>
                <w:szCs w:val="21"/>
                <w:highlight w:val="none"/>
                <w:vertAlign w:val="superscript"/>
              </w:rPr>
              <w:t>2</w:t>
            </w:r>
          </w:p>
        </w:tc>
        <w:tc>
          <w:tcPr>
            <w:tcW w:w="837" w:type="dxa"/>
            <w:noWrap w:val="0"/>
            <w:vAlign w:val="center"/>
          </w:tcPr>
          <w:p w14:paraId="3F81CE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900E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0D85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76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D4831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212-4</w:t>
            </w:r>
          </w:p>
        </w:tc>
        <w:tc>
          <w:tcPr>
            <w:tcW w:w="4732" w:type="dxa"/>
            <w:noWrap w:val="0"/>
            <w:vAlign w:val="center"/>
          </w:tcPr>
          <w:p w14:paraId="7FD81B0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土钉支护</w:t>
            </w:r>
          </w:p>
        </w:tc>
        <w:tc>
          <w:tcPr>
            <w:tcW w:w="749" w:type="dxa"/>
            <w:noWrap w:val="0"/>
            <w:vAlign w:val="center"/>
          </w:tcPr>
          <w:p w14:paraId="45A52BC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A4537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9127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1A4E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41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451C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5FCE1F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钻孔注浆钉</w:t>
            </w:r>
          </w:p>
        </w:tc>
        <w:tc>
          <w:tcPr>
            <w:tcW w:w="749" w:type="dxa"/>
            <w:noWrap w:val="0"/>
            <w:vAlign w:val="center"/>
          </w:tcPr>
          <w:p w14:paraId="7AEA32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7A90C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9554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8A61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2C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CCD71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02D86A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击入钉</w:t>
            </w:r>
          </w:p>
        </w:tc>
        <w:tc>
          <w:tcPr>
            <w:tcW w:w="749" w:type="dxa"/>
            <w:noWrap w:val="0"/>
            <w:vAlign w:val="center"/>
          </w:tcPr>
          <w:p w14:paraId="70C896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B5718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5061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25FA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BE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5BA6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E7A8C2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w:t>
            </w:r>
          </w:p>
        </w:tc>
        <w:tc>
          <w:tcPr>
            <w:tcW w:w="749" w:type="dxa"/>
            <w:noWrap w:val="0"/>
            <w:vAlign w:val="center"/>
          </w:tcPr>
          <w:p w14:paraId="6FE595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F3F8B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30BC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6DAE9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FE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DD289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76722D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CC557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04007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1D67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E9E3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B5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62563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70C8CEC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749" w:type="dxa"/>
            <w:noWrap w:val="0"/>
            <w:vAlign w:val="center"/>
          </w:tcPr>
          <w:p w14:paraId="18943C3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33B94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5754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0EE4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64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474D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030726A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网格梁、立柱、挡土板</w:t>
            </w:r>
          </w:p>
        </w:tc>
        <w:tc>
          <w:tcPr>
            <w:tcW w:w="749" w:type="dxa"/>
            <w:noWrap w:val="0"/>
            <w:vAlign w:val="center"/>
          </w:tcPr>
          <w:p w14:paraId="1E9882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FE8AB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4E0B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5803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CA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9A42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67D6939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4A322B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E7602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F29C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E64B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1B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942FB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213</w:t>
            </w:r>
          </w:p>
        </w:tc>
        <w:tc>
          <w:tcPr>
            <w:tcW w:w="4732" w:type="dxa"/>
            <w:noWrap w:val="0"/>
            <w:vAlign w:val="center"/>
          </w:tcPr>
          <w:p w14:paraId="6A1F25E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预应力锚索边坡加固</w:t>
            </w:r>
          </w:p>
        </w:tc>
        <w:tc>
          <w:tcPr>
            <w:tcW w:w="749" w:type="dxa"/>
            <w:noWrap w:val="0"/>
            <w:vAlign w:val="center"/>
          </w:tcPr>
          <w:p w14:paraId="0DAD9FE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33968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176D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ACD6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44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C2979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213-1</w:t>
            </w:r>
          </w:p>
        </w:tc>
        <w:tc>
          <w:tcPr>
            <w:tcW w:w="4732" w:type="dxa"/>
            <w:noWrap w:val="0"/>
            <w:vAlign w:val="center"/>
          </w:tcPr>
          <w:p w14:paraId="44BC8F1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预应力钢绞线</w:t>
            </w:r>
          </w:p>
        </w:tc>
        <w:tc>
          <w:tcPr>
            <w:tcW w:w="749" w:type="dxa"/>
            <w:noWrap w:val="0"/>
            <w:vAlign w:val="center"/>
          </w:tcPr>
          <w:p w14:paraId="070DEE4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C10AC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D357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7090B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C8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7A3E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213-2</w:t>
            </w:r>
          </w:p>
        </w:tc>
        <w:tc>
          <w:tcPr>
            <w:tcW w:w="4732" w:type="dxa"/>
            <w:noWrap w:val="0"/>
            <w:vAlign w:val="center"/>
          </w:tcPr>
          <w:p w14:paraId="54B8240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无黏结预应力钢绞线</w:t>
            </w:r>
          </w:p>
        </w:tc>
        <w:tc>
          <w:tcPr>
            <w:tcW w:w="749" w:type="dxa"/>
            <w:noWrap w:val="0"/>
            <w:vAlign w:val="center"/>
          </w:tcPr>
          <w:p w14:paraId="2277FF2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6230C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F927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4DEE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9C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6EC4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213-3</w:t>
            </w:r>
          </w:p>
        </w:tc>
        <w:tc>
          <w:tcPr>
            <w:tcW w:w="4732" w:type="dxa"/>
            <w:noWrap w:val="0"/>
            <w:vAlign w:val="center"/>
          </w:tcPr>
          <w:p w14:paraId="6D08C86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7F5FA8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913B5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0AD3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55A9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04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2ABC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A2D65A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钢筋锚杆</w:t>
            </w:r>
          </w:p>
        </w:tc>
        <w:tc>
          <w:tcPr>
            <w:tcW w:w="749" w:type="dxa"/>
            <w:noWrap w:val="0"/>
            <w:vAlign w:val="center"/>
          </w:tcPr>
          <w:p w14:paraId="6B5FE28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B9518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2FDB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8897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A6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666C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51A83F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预应力钢筋锚杆</w:t>
            </w:r>
          </w:p>
        </w:tc>
        <w:tc>
          <w:tcPr>
            <w:tcW w:w="749" w:type="dxa"/>
            <w:noWrap w:val="0"/>
            <w:vAlign w:val="center"/>
          </w:tcPr>
          <w:p w14:paraId="4CE380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B145D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64C9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98E7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BF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B290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213-4</w:t>
            </w:r>
          </w:p>
        </w:tc>
        <w:tc>
          <w:tcPr>
            <w:tcW w:w="4732" w:type="dxa"/>
            <w:noWrap w:val="0"/>
            <w:vAlign w:val="center"/>
          </w:tcPr>
          <w:p w14:paraId="0074154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混凝土框格梁</w:t>
            </w:r>
          </w:p>
        </w:tc>
        <w:tc>
          <w:tcPr>
            <w:tcW w:w="749" w:type="dxa"/>
            <w:noWrap w:val="0"/>
            <w:vAlign w:val="center"/>
          </w:tcPr>
          <w:p w14:paraId="3FE7BC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E064D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58F7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951BB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86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9534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213-5</w:t>
            </w:r>
          </w:p>
        </w:tc>
        <w:tc>
          <w:tcPr>
            <w:tcW w:w="4732" w:type="dxa"/>
            <w:noWrap w:val="0"/>
            <w:vAlign w:val="center"/>
          </w:tcPr>
          <w:p w14:paraId="3B325A5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混凝土锚固板</w:t>
            </w:r>
          </w:p>
        </w:tc>
        <w:tc>
          <w:tcPr>
            <w:tcW w:w="749" w:type="dxa"/>
            <w:noWrap w:val="0"/>
            <w:vAlign w:val="center"/>
          </w:tcPr>
          <w:p w14:paraId="53D36E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37FF1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7AEA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59B7D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64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57ACC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213-6</w:t>
            </w:r>
          </w:p>
        </w:tc>
        <w:tc>
          <w:tcPr>
            <w:tcW w:w="4732" w:type="dxa"/>
            <w:noWrap w:val="0"/>
            <w:vAlign w:val="center"/>
          </w:tcPr>
          <w:p w14:paraId="011AB38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155A1B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57B9C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B71C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6B158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D6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7FAC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w:t>
            </w:r>
          </w:p>
        </w:tc>
        <w:tc>
          <w:tcPr>
            <w:tcW w:w="4732" w:type="dxa"/>
            <w:noWrap w:val="0"/>
            <w:vAlign w:val="center"/>
          </w:tcPr>
          <w:p w14:paraId="2FCF7C5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抗滑桩</w:t>
            </w:r>
          </w:p>
        </w:tc>
        <w:tc>
          <w:tcPr>
            <w:tcW w:w="749" w:type="dxa"/>
            <w:noWrap w:val="0"/>
            <w:vAlign w:val="center"/>
          </w:tcPr>
          <w:p w14:paraId="510A54F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AC3D4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3D01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E99E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C4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2C18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214-1</w:t>
            </w:r>
          </w:p>
        </w:tc>
        <w:tc>
          <w:tcPr>
            <w:tcW w:w="4732" w:type="dxa"/>
            <w:noWrap w:val="0"/>
            <w:vAlign w:val="center"/>
          </w:tcPr>
          <w:p w14:paraId="35C54E7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现浇混凝土桩</w:t>
            </w:r>
          </w:p>
        </w:tc>
        <w:tc>
          <w:tcPr>
            <w:tcW w:w="749" w:type="dxa"/>
            <w:noWrap w:val="0"/>
            <w:vAlign w:val="center"/>
          </w:tcPr>
          <w:p w14:paraId="337CBA1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2EB0C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83E0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20DE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7D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D783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A5BE46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3B3548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90A0F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F08E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56FA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33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8EAB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214-2</w:t>
            </w:r>
          </w:p>
        </w:tc>
        <w:tc>
          <w:tcPr>
            <w:tcW w:w="4732" w:type="dxa"/>
            <w:noWrap w:val="0"/>
            <w:vAlign w:val="center"/>
          </w:tcPr>
          <w:p w14:paraId="34AD3E1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桩板式抗滑挡墙</w:t>
            </w:r>
          </w:p>
        </w:tc>
        <w:tc>
          <w:tcPr>
            <w:tcW w:w="749" w:type="dxa"/>
            <w:noWrap w:val="0"/>
            <w:vAlign w:val="center"/>
          </w:tcPr>
          <w:p w14:paraId="73E5F99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418729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7349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E3E97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5F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1DE08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35CFC9E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挡土板</w:t>
            </w:r>
          </w:p>
        </w:tc>
        <w:tc>
          <w:tcPr>
            <w:tcW w:w="749" w:type="dxa"/>
            <w:noWrap w:val="0"/>
            <w:vAlign w:val="center"/>
          </w:tcPr>
          <w:p w14:paraId="38BA26C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23CEF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F855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1990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92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3FFB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214-3</w:t>
            </w:r>
          </w:p>
        </w:tc>
        <w:tc>
          <w:tcPr>
            <w:tcW w:w="4732" w:type="dxa"/>
            <w:noWrap w:val="0"/>
            <w:vAlign w:val="center"/>
          </w:tcPr>
          <w:p w14:paraId="6700408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7976E5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35ACE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B3EF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C9B2A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9A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9638D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215</w:t>
            </w:r>
          </w:p>
        </w:tc>
        <w:tc>
          <w:tcPr>
            <w:tcW w:w="4732" w:type="dxa"/>
            <w:noWrap w:val="0"/>
            <w:vAlign w:val="center"/>
          </w:tcPr>
          <w:p w14:paraId="7D65743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河道防护</w:t>
            </w:r>
          </w:p>
        </w:tc>
        <w:tc>
          <w:tcPr>
            <w:tcW w:w="749" w:type="dxa"/>
            <w:noWrap w:val="0"/>
            <w:vAlign w:val="center"/>
          </w:tcPr>
          <w:p w14:paraId="1E36591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36CA1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2669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B5ED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2A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210B1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215-1</w:t>
            </w:r>
          </w:p>
        </w:tc>
        <w:tc>
          <w:tcPr>
            <w:tcW w:w="4732" w:type="dxa"/>
            <w:noWrap w:val="0"/>
            <w:vAlign w:val="center"/>
          </w:tcPr>
          <w:p w14:paraId="57D6D68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河床铺砌</w:t>
            </w:r>
          </w:p>
        </w:tc>
        <w:tc>
          <w:tcPr>
            <w:tcW w:w="749" w:type="dxa"/>
            <w:noWrap w:val="0"/>
            <w:vAlign w:val="center"/>
          </w:tcPr>
          <w:p w14:paraId="458522E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562F2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9EBD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8634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F2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8E40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90EE3B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浆砌片石铺砌</w:t>
            </w:r>
          </w:p>
        </w:tc>
        <w:tc>
          <w:tcPr>
            <w:tcW w:w="749" w:type="dxa"/>
            <w:noWrap w:val="0"/>
            <w:vAlign w:val="center"/>
          </w:tcPr>
          <w:p w14:paraId="38CCC9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885FB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97FE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AC1F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9B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D2A9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9BBB97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混凝土铺砌</w:t>
            </w:r>
          </w:p>
        </w:tc>
        <w:tc>
          <w:tcPr>
            <w:tcW w:w="749" w:type="dxa"/>
            <w:noWrap w:val="0"/>
            <w:vAlign w:val="center"/>
          </w:tcPr>
          <w:p w14:paraId="77C5E5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05244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D120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2EDD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00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88E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215-2</w:t>
            </w:r>
          </w:p>
        </w:tc>
        <w:tc>
          <w:tcPr>
            <w:tcW w:w="4732" w:type="dxa"/>
            <w:noWrap w:val="0"/>
            <w:vAlign w:val="center"/>
          </w:tcPr>
          <w:p w14:paraId="3019EE8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导流设施（护岸墙、顺坝、丁坝、调水坝、锥坡）</w:t>
            </w:r>
          </w:p>
        </w:tc>
        <w:tc>
          <w:tcPr>
            <w:tcW w:w="749" w:type="dxa"/>
            <w:noWrap w:val="0"/>
            <w:vAlign w:val="center"/>
          </w:tcPr>
          <w:p w14:paraId="697FB96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p>
        </w:tc>
        <w:tc>
          <w:tcPr>
            <w:tcW w:w="837" w:type="dxa"/>
            <w:noWrap w:val="0"/>
            <w:vAlign w:val="center"/>
          </w:tcPr>
          <w:p w14:paraId="2A4E5E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31CD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3187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21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D0BA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A7BCEF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w:t>
            </w:r>
          </w:p>
        </w:tc>
        <w:tc>
          <w:tcPr>
            <w:tcW w:w="749" w:type="dxa"/>
            <w:noWrap w:val="0"/>
            <w:vAlign w:val="center"/>
          </w:tcPr>
          <w:p w14:paraId="466E94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61C14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E7E4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8F00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8E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CCCE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B6AE15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5D12AED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0EFF7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CB65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D88C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CE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5488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68842B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石笼</w:t>
            </w:r>
          </w:p>
        </w:tc>
        <w:tc>
          <w:tcPr>
            <w:tcW w:w="749" w:type="dxa"/>
            <w:noWrap w:val="0"/>
            <w:vAlign w:val="center"/>
          </w:tcPr>
          <w:p w14:paraId="24443D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965A2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613E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3971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4A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AAED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215-3</w:t>
            </w:r>
          </w:p>
        </w:tc>
        <w:tc>
          <w:tcPr>
            <w:tcW w:w="4732" w:type="dxa"/>
            <w:noWrap w:val="0"/>
            <w:vAlign w:val="center"/>
          </w:tcPr>
          <w:p w14:paraId="0986416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抛石防护</w:t>
            </w:r>
          </w:p>
        </w:tc>
        <w:tc>
          <w:tcPr>
            <w:tcW w:w="749" w:type="dxa"/>
            <w:noWrap w:val="0"/>
            <w:vAlign w:val="center"/>
          </w:tcPr>
          <w:p w14:paraId="2DE58D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6D9A0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8777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B8AD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F7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0B2ADBE8">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清单第200章合计  人民币</w:t>
            </w:r>
            <w:r>
              <w:rPr>
                <w:rFonts w:hint="default" w:ascii="Times New Roman" w:hAnsi="Times New Roman" w:cs="Times New Roman"/>
                <w:color w:val="auto"/>
                <w:szCs w:val="21"/>
                <w:highlight w:val="none"/>
                <w:u w:val="single"/>
              </w:rPr>
              <w:t xml:space="preserve">                    </w:t>
            </w:r>
          </w:p>
        </w:tc>
      </w:tr>
    </w:tbl>
    <w:p w14:paraId="5A0B93DC">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4989CD14">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0057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5A4646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第300章   路  面</w:t>
            </w:r>
          </w:p>
        </w:tc>
      </w:tr>
      <w:tr w14:paraId="0BD9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2A0892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1C6F988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6E59BFE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18433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8BC50A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E4DACB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7886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3404B6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55F3CCB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154F0848">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ECF24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925E1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5FE8E3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0C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5EBF33AF">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1A5F2949">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0D7F0F19">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19A4F9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7D9415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0AFC94B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C3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237B4D6A">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tcBorders>
              <w:top w:val="single" w:color="auto" w:sz="4" w:space="0"/>
              <w:left w:val="single" w:color="auto" w:sz="4" w:space="0"/>
              <w:right w:val="single" w:color="auto" w:sz="4" w:space="0"/>
            </w:tcBorders>
            <w:noWrap w:val="0"/>
            <w:vAlign w:val="top"/>
          </w:tcPr>
          <w:p w14:paraId="6611C0CD">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tcBorders>
              <w:top w:val="single" w:color="auto" w:sz="4" w:space="0"/>
              <w:left w:val="single" w:color="auto" w:sz="4" w:space="0"/>
              <w:right w:val="single" w:color="auto" w:sz="4" w:space="0"/>
            </w:tcBorders>
            <w:noWrap w:val="0"/>
            <w:vAlign w:val="top"/>
          </w:tcPr>
          <w:p w14:paraId="122FDC1D">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tcBorders>
              <w:top w:val="single" w:color="auto" w:sz="4" w:space="0"/>
              <w:left w:val="single" w:color="auto" w:sz="4" w:space="0"/>
              <w:right w:val="single" w:color="auto" w:sz="4" w:space="0"/>
            </w:tcBorders>
            <w:noWrap w:val="0"/>
            <w:vAlign w:val="center"/>
          </w:tcPr>
          <w:p w14:paraId="54DE17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1285A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4CFC53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1C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6BAC61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302-2</w:t>
            </w:r>
          </w:p>
        </w:tc>
        <w:tc>
          <w:tcPr>
            <w:tcW w:w="4732" w:type="dxa"/>
            <w:noWrap w:val="0"/>
            <w:vAlign w:val="top"/>
          </w:tcPr>
          <w:p w14:paraId="4A492933">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砂砾垫层</w:t>
            </w:r>
          </w:p>
        </w:tc>
        <w:tc>
          <w:tcPr>
            <w:tcW w:w="749" w:type="dxa"/>
            <w:noWrap w:val="0"/>
            <w:vAlign w:val="top"/>
          </w:tcPr>
          <w:p w14:paraId="3A383789">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4ADE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8D16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C0EC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2A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FC36C2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242F926">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231DEF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DEE2C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C910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CB7F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13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90F111">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302-3</w:t>
            </w:r>
          </w:p>
        </w:tc>
        <w:tc>
          <w:tcPr>
            <w:tcW w:w="4732" w:type="dxa"/>
            <w:noWrap w:val="0"/>
            <w:vAlign w:val="top"/>
          </w:tcPr>
          <w:p w14:paraId="29ED0299">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水泥稳定土垫层</w:t>
            </w:r>
          </w:p>
        </w:tc>
        <w:tc>
          <w:tcPr>
            <w:tcW w:w="749" w:type="dxa"/>
            <w:noWrap w:val="0"/>
            <w:vAlign w:val="top"/>
          </w:tcPr>
          <w:p w14:paraId="02BFA52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8A57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9B00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AA5E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04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3BAB69">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08ADF56">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AE39A48">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C0A6A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43D3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6980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9F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2FFDA8">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302-4</w:t>
            </w:r>
          </w:p>
        </w:tc>
        <w:tc>
          <w:tcPr>
            <w:tcW w:w="4732" w:type="dxa"/>
            <w:noWrap w:val="0"/>
            <w:vAlign w:val="top"/>
          </w:tcPr>
          <w:p w14:paraId="0A2CACED">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石灰稳定土垫层</w:t>
            </w:r>
          </w:p>
        </w:tc>
        <w:tc>
          <w:tcPr>
            <w:tcW w:w="749" w:type="dxa"/>
            <w:noWrap w:val="0"/>
            <w:vAlign w:val="top"/>
          </w:tcPr>
          <w:p w14:paraId="32F81CE5">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450D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324B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C196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26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7EBF25">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8E37635">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05AF70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64DB2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DB6F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1189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4E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8E6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303</w:t>
            </w:r>
          </w:p>
        </w:tc>
        <w:tc>
          <w:tcPr>
            <w:tcW w:w="4732" w:type="dxa"/>
            <w:noWrap w:val="0"/>
            <w:vAlign w:val="center"/>
          </w:tcPr>
          <w:p w14:paraId="5E32D4F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石灰稳定土底基层、基层</w:t>
            </w:r>
          </w:p>
        </w:tc>
        <w:tc>
          <w:tcPr>
            <w:tcW w:w="749" w:type="dxa"/>
            <w:noWrap w:val="0"/>
            <w:vAlign w:val="top"/>
          </w:tcPr>
          <w:p w14:paraId="412D483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E2249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228C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13A96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77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34BB3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303-1</w:t>
            </w:r>
          </w:p>
        </w:tc>
        <w:tc>
          <w:tcPr>
            <w:tcW w:w="4732" w:type="dxa"/>
            <w:noWrap w:val="0"/>
            <w:vAlign w:val="top"/>
          </w:tcPr>
          <w:p w14:paraId="12ACDDB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石灰稳定土底基层</w:t>
            </w:r>
          </w:p>
        </w:tc>
        <w:tc>
          <w:tcPr>
            <w:tcW w:w="749" w:type="dxa"/>
            <w:noWrap w:val="0"/>
            <w:vAlign w:val="top"/>
          </w:tcPr>
          <w:p w14:paraId="0A1528A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D5878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9A81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7D9E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3B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09F1F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997D2E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4F682C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97C5E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102E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B6D9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6E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4286EC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303-2</w:t>
            </w:r>
          </w:p>
        </w:tc>
        <w:tc>
          <w:tcPr>
            <w:tcW w:w="4732" w:type="dxa"/>
            <w:noWrap w:val="0"/>
            <w:vAlign w:val="top"/>
          </w:tcPr>
          <w:p w14:paraId="1588172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搭板、埋板下石灰稳定土底基层</w:t>
            </w:r>
          </w:p>
        </w:tc>
        <w:tc>
          <w:tcPr>
            <w:tcW w:w="749" w:type="dxa"/>
            <w:noWrap w:val="0"/>
            <w:vAlign w:val="top"/>
          </w:tcPr>
          <w:p w14:paraId="35F91A5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F9877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67BC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2F01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94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7D495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303-3</w:t>
            </w:r>
          </w:p>
        </w:tc>
        <w:tc>
          <w:tcPr>
            <w:tcW w:w="4732" w:type="dxa"/>
            <w:noWrap w:val="0"/>
            <w:vAlign w:val="top"/>
          </w:tcPr>
          <w:p w14:paraId="29F3B585">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石灰稳定土基层</w:t>
            </w:r>
          </w:p>
        </w:tc>
        <w:tc>
          <w:tcPr>
            <w:tcW w:w="749" w:type="dxa"/>
            <w:noWrap w:val="0"/>
            <w:vAlign w:val="top"/>
          </w:tcPr>
          <w:p w14:paraId="1E2BC1D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36900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D5B7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35416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DF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FE7EF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EF04635">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34FFB3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B2554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30F0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D881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7A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80EC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304</w:t>
            </w:r>
          </w:p>
        </w:tc>
        <w:tc>
          <w:tcPr>
            <w:tcW w:w="4732" w:type="dxa"/>
            <w:noWrap w:val="0"/>
            <w:vAlign w:val="center"/>
          </w:tcPr>
          <w:p w14:paraId="522DBCA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水泥稳定土底基层、基层</w:t>
            </w:r>
          </w:p>
        </w:tc>
        <w:tc>
          <w:tcPr>
            <w:tcW w:w="749" w:type="dxa"/>
            <w:noWrap w:val="0"/>
            <w:vAlign w:val="top"/>
          </w:tcPr>
          <w:p w14:paraId="73006CE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E6B6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DB8B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E646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86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C47957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304-1</w:t>
            </w:r>
          </w:p>
        </w:tc>
        <w:tc>
          <w:tcPr>
            <w:tcW w:w="4732" w:type="dxa"/>
            <w:noWrap w:val="0"/>
            <w:vAlign w:val="top"/>
          </w:tcPr>
          <w:p w14:paraId="1A7F7B5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水泥稳定土底基层</w:t>
            </w:r>
          </w:p>
        </w:tc>
        <w:tc>
          <w:tcPr>
            <w:tcW w:w="749" w:type="dxa"/>
            <w:noWrap w:val="0"/>
            <w:vAlign w:val="top"/>
          </w:tcPr>
          <w:p w14:paraId="7291081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D7F8F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7408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C24A0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57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607D3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814DD9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B828A4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D5F32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7C3B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C178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AC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3C641B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304-2</w:t>
            </w:r>
          </w:p>
        </w:tc>
        <w:tc>
          <w:tcPr>
            <w:tcW w:w="4732" w:type="dxa"/>
            <w:noWrap w:val="0"/>
            <w:vAlign w:val="top"/>
          </w:tcPr>
          <w:p w14:paraId="7033DD5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搭板、埋板下水泥稳定土底基层</w:t>
            </w:r>
          </w:p>
        </w:tc>
        <w:tc>
          <w:tcPr>
            <w:tcW w:w="749" w:type="dxa"/>
            <w:noWrap w:val="0"/>
            <w:vAlign w:val="top"/>
          </w:tcPr>
          <w:p w14:paraId="665A9D7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9B69D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76C9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AAD1C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1C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90342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304-3</w:t>
            </w:r>
          </w:p>
        </w:tc>
        <w:tc>
          <w:tcPr>
            <w:tcW w:w="4732" w:type="dxa"/>
            <w:noWrap w:val="0"/>
            <w:vAlign w:val="top"/>
          </w:tcPr>
          <w:p w14:paraId="12449E0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水泥稳定土基层</w:t>
            </w:r>
          </w:p>
        </w:tc>
        <w:tc>
          <w:tcPr>
            <w:tcW w:w="749" w:type="dxa"/>
            <w:noWrap w:val="0"/>
            <w:vAlign w:val="top"/>
          </w:tcPr>
          <w:p w14:paraId="446DDD5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279EC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D3AB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32D8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59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D7C2D1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814BF8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81FE5E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A921F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D85C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FFE1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A3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685F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w:t>
            </w:r>
          </w:p>
        </w:tc>
        <w:tc>
          <w:tcPr>
            <w:tcW w:w="4732" w:type="dxa"/>
            <w:noWrap w:val="0"/>
            <w:vAlign w:val="center"/>
          </w:tcPr>
          <w:p w14:paraId="30B969E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石灰粉煤灰稳定土底基层、基层</w:t>
            </w:r>
          </w:p>
        </w:tc>
        <w:tc>
          <w:tcPr>
            <w:tcW w:w="749" w:type="dxa"/>
            <w:noWrap w:val="0"/>
            <w:vAlign w:val="top"/>
          </w:tcPr>
          <w:p w14:paraId="730F3815">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CE58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EA4D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00C4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B4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8B5FF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305-1</w:t>
            </w:r>
          </w:p>
        </w:tc>
        <w:tc>
          <w:tcPr>
            <w:tcW w:w="4732" w:type="dxa"/>
            <w:noWrap w:val="0"/>
            <w:vAlign w:val="top"/>
          </w:tcPr>
          <w:p w14:paraId="22D5B61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石灰粉煤灰稳定土底基层</w:t>
            </w:r>
          </w:p>
        </w:tc>
        <w:tc>
          <w:tcPr>
            <w:tcW w:w="749" w:type="dxa"/>
            <w:noWrap w:val="0"/>
            <w:vAlign w:val="top"/>
          </w:tcPr>
          <w:p w14:paraId="6DD5CB4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B1CB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7D3C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2E49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EA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2B3E7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2FC28E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590C3C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28DF5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1BCD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D916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31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4C9A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305-2</w:t>
            </w:r>
          </w:p>
        </w:tc>
        <w:tc>
          <w:tcPr>
            <w:tcW w:w="4732" w:type="dxa"/>
            <w:noWrap w:val="0"/>
            <w:vAlign w:val="center"/>
          </w:tcPr>
          <w:p w14:paraId="3305576E">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搭板、埋板下石灰粉煤灰稳定土底基层</w:t>
            </w:r>
          </w:p>
        </w:tc>
        <w:tc>
          <w:tcPr>
            <w:tcW w:w="749" w:type="dxa"/>
            <w:noWrap w:val="0"/>
            <w:vAlign w:val="top"/>
          </w:tcPr>
          <w:p w14:paraId="210B310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8DB68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DDEC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9EA72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49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BF4D33">
            <w:pPr>
              <w:pageBreakBefore w:val="0"/>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305-3</w:t>
            </w:r>
          </w:p>
        </w:tc>
        <w:tc>
          <w:tcPr>
            <w:tcW w:w="4732" w:type="dxa"/>
            <w:noWrap w:val="0"/>
            <w:vAlign w:val="center"/>
          </w:tcPr>
          <w:p w14:paraId="3C2BB140">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石灰粉煤灰稳定土基层</w:t>
            </w:r>
          </w:p>
        </w:tc>
        <w:tc>
          <w:tcPr>
            <w:tcW w:w="749" w:type="dxa"/>
            <w:noWrap w:val="0"/>
            <w:vAlign w:val="top"/>
          </w:tcPr>
          <w:p w14:paraId="2C181CB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63E1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D94C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51B1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A7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F92EBC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08AD7A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3FAF93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5C930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966E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4B365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FD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734BA1">
            <w:pPr>
              <w:pageBreakBefore w:val="0"/>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305-4</w:t>
            </w:r>
          </w:p>
        </w:tc>
        <w:tc>
          <w:tcPr>
            <w:tcW w:w="4732" w:type="dxa"/>
            <w:noWrap w:val="0"/>
            <w:vAlign w:val="center"/>
          </w:tcPr>
          <w:p w14:paraId="6A92B978">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石灰煤渣稳定土基层</w:t>
            </w:r>
          </w:p>
        </w:tc>
        <w:tc>
          <w:tcPr>
            <w:tcW w:w="749" w:type="dxa"/>
            <w:noWrap w:val="0"/>
            <w:vAlign w:val="center"/>
          </w:tcPr>
          <w:p w14:paraId="68CA735A">
            <w:pPr>
              <w:pageBreakBefore w:val="0"/>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B539C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B5DA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9E37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FB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FA96C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EE80CB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37DCBE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D334C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66BE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990DD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59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A041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306</w:t>
            </w:r>
          </w:p>
        </w:tc>
        <w:tc>
          <w:tcPr>
            <w:tcW w:w="4732" w:type="dxa"/>
            <w:noWrap w:val="0"/>
            <w:vAlign w:val="center"/>
          </w:tcPr>
          <w:p w14:paraId="72AF62C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级配碎（砾）石底基层、基层</w:t>
            </w:r>
          </w:p>
        </w:tc>
        <w:tc>
          <w:tcPr>
            <w:tcW w:w="749" w:type="dxa"/>
            <w:noWrap w:val="0"/>
            <w:vAlign w:val="center"/>
          </w:tcPr>
          <w:p w14:paraId="2C292D3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BA557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6026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84E6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1E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DA6B8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306-1</w:t>
            </w:r>
          </w:p>
        </w:tc>
        <w:tc>
          <w:tcPr>
            <w:tcW w:w="4732" w:type="dxa"/>
            <w:noWrap w:val="0"/>
            <w:vAlign w:val="center"/>
          </w:tcPr>
          <w:p w14:paraId="1D74500B">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级配碎石底基层</w:t>
            </w:r>
          </w:p>
        </w:tc>
        <w:tc>
          <w:tcPr>
            <w:tcW w:w="749" w:type="dxa"/>
            <w:noWrap w:val="0"/>
            <w:vAlign w:val="center"/>
          </w:tcPr>
          <w:p w14:paraId="1643AB5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F18A8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799F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955C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FC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2F8A3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2B87CB5">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251CBD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278F3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1402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B291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11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EE32C61">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第300章   路  面</w:t>
            </w:r>
          </w:p>
        </w:tc>
      </w:tr>
      <w:tr w14:paraId="19CA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1C742E2A">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35655F8B">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2A5508E2">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17F31A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D059B4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DED3E4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1E9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ACE42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306-2</w:t>
            </w:r>
          </w:p>
        </w:tc>
        <w:tc>
          <w:tcPr>
            <w:tcW w:w="4732" w:type="dxa"/>
            <w:noWrap w:val="0"/>
            <w:vAlign w:val="top"/>
          </w:tcPr>
          <w:p w14:paraId="290C2494">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搭板、埋板下级配碎石底基层</w:t>
            </w:r>
          </w:p>
        </w:tc>
        <w:tc>
          <w:tcPr>
            <w:tcW w:w="749" w:type="dxa"/>
            <w:noWrap w:val="0"/>
            <w:vAlign w:val="top"/>
          </w:tcPr>
          <w:p w14:paraId="538C5CCD">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906B9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B29C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20F6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2D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03A82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306-3</w:t>
            </w:r>
          </w:p>
        </w:tc>
        <w:tc>
          <w:tcPr>
            <w:tcW w:w="4732" w:type="dxa"/>
            <w:noWrap w:val="0"/>
            <w:vAlign w:val="center"/>
          </w:tcPr>
          <w:p w14:paraId="45706C75">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级配碎石基层</w:t>
            </w:r>
          </w:p>
        </w:tc>
        <w:tc>
          <w:tcPr>
            <w:tcW w:w="749" w:type="dxa"/>
            <w:noWrap w:val="0"/>
            <w:vAlign w:val="center"/>
          </w:tcPr>
          <w:p w14:paraId="4D20A69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83527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35F0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480E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43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D8806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246FD99">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377EA9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D7E9D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3162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4F83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02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88D6D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306-4</w:t>
            </w:r>
          </w:p>
        </w:tc>
        <w:tc>
          <w:tcPr>
            <w:tcW w:w="4732" w:type="dxa"/>
            <w:noWrap w:val="0"/>
            <w:vAlign w:val="center"/>
          </w:tcPr>
          <w:p w14:paraId="4B21F88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级配砾石底基层</w:t>
            </w:r>
          </w:p>
        </w:tc>
        <w:tc>
          <w:tcPr>
            <w:tcW w:w="749" w:type="dxa"/>
            <w:noWrap w:val="0"/>
            <w:vAlign w:val="center"/>
          </w:tcPr>
          <w:p w14:paraId="72F72363">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430A9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C9E4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6977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E3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E0FADA">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2E16AF2">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890A69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662D6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2CC4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151B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A3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46FEFA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306-5</w:t>
            </w:r>
          </w:p>
        </w:tc>
        <w:tc>
          <w:tcPr>
            <w:tcW w:w="4732" w:type="dxa"/>
            <w:noWrap w:val="0"/>
            <w:vAlign w:val="center"/>
          </w:tcPr>
          <w:p w14:paraId="72A2D7C0">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搭板、埋板下级配砾石底基层</w:t>
            </w:r>
          </w:p>
        </w:tc>
        <w:tc>
          <w:tcPr>
            <w:tcW w:w="749" w:type="dxa"/>
            <w:noWrap w:val="0"/>
            <w:vAlign w:val="top"/>
          </w:tcPr>
          <w:p w14:paraId="2F04913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B85B8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0E1C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4523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91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9E09E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306-6</w:t>
            </w:r>
          </w:p>
        </w:tc>
        <w:tc>
          <w:tcPr>
            <w:tcW w:w="4732" w:type="dxa"/>
            <w:noWrap w:val="0"/>
            <w:vAlign w:val="center"/>
          </w:tcPr>
          <w:p w14:paraId="50250A40">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级配砾石基层</w:t>
            </w:r>
          </w:p>
        </w:tc>
        <w:tc>
          <w:tcPr>
            <w:tcW w:w="749" w:type="dxa"/>
            <w:noWrap w:val="0"/>
            <w:vAlign w:val="center"/>
          </w:tcPr>
          <w:p w14:paraId="03298C5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29D0C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6ABC0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55D1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A8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3BEC8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D62669E">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3E5587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848AA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DBAC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F919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2E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B796C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307</w:t>
            </w:r>
          </w:p>
        </w:tc>
        <w:tc>
          <w:tcPr>
            <w:tcW w:w="4732" w:type="dxa"/>
            <w:noWrap w:val="0"/>
            <w:vAlign w:val="center"/>
          </w:tcPr>
          <w:p w14:paraId="70B0ECF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沥青稳定碎石基层（ATB）</w:t>
            </w:r>
          </w:p>
        </w:tc>
        <w:tc>
          <w:tcPr>
            <w:tcW w:w="749" w:type="dxa"/>
            <w:noWrap w:val="0"/>
            <w:vAlign w:val="top"/>
          </w:tcPr>
          <w:p w14:paraId="2F91FEA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D3B1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2EE2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4005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BD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977E71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307-1</w:t>
            </w:r>
          </w:p>
        </w:tc>
        <w:tc>
          <w:tcPr>
            <w:tcW w:w="4732" w:type="dxa"/>
            <w:noWrap w:val="0"/>
            <w:vAlign w:val="top"/>
          </w:tcPr>
          <w:p w14:paraId="44DB5CE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沥青稳定碎石基层（ATB）</w:t>
            </w:r>
          </w:p>
        </w:tc>
        <w:tc>
          <w:tcPr>
            <w:tcW w:w="749" w:type="dxa"/>
            <w:noWrap w:val="0"/>
            <w:vAlign w:val="top"/>
          </w:tcPr>
          <w:p w14:paraId="6EE41AC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1432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163E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A8D8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45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9A770D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1673BF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F8DE20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A710F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4D45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EA8C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D4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0D072D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359C38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85EBC1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3252E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C672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FC0D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4E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690F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308</w:t>
            </w:r>
          </w:p>
        </w:tc>
        <w:tc>
          <w:tcPr>
            <w:tcW w:w="4732" w:type="dxa"/>
            <w:noWrap w:val="0"/>
            <w:vAlign w:val="center"/>
          </w:tcPr>
          <w:p w14:paraId="1349FA5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透层和黏层</w:t>
            </w:r>
          </w:p>
        </w:tc>
        <w:tc>
          <w:tcPr>
            <w:tcW w:w="749" w:type="dxa"/>
            <w:noWrap w:val="0"/>
            <w:vAlign w:val="top"/>
          </w:tcPr>
          <w:p w14:paraId="45F180F3">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8451F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4C8B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7FE7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50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CF47F2">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308</w:t>
            </w:r>
            <w:r>
              <w:rPr>
                <w:rFonts w:hint="default" w:ascii="Times New Roman" w:hAnsi="Times New Roman" w:cs="Times New Roman"/>
                <w:color w:val="auto"/>
                <w:szCs w:val="21"/>
                <w:highlight w:val="none"/>
              </w:rPr>
              <w:t>-1</w:t>
            </w:r>
          </w:p>
        </w:tc>
        <w:tc>
          <w:tcPr>
            <w:tcW w:w="4732" w:type="dxa"/>
            <w:noWrap w:val="0"/>
            <w:vAlign w:val="top"/>
          </w:tcPr>
          <w:p w14:paraId="38E291EB">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透层</w:t>
            </w:r>
          </w:p>
        </w:tc>
        <w:tc>
          <w:tcPr>
            <w:tcW w:w="749" w:type="dxa"/>
            <w:noWrap w:val="0"/>
            <w:vAlign w:val="top"/>
          </w:tcPr>
          <w:p w14:paraId="1AC47012">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B6ABA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2007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CD60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23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C0AD20">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308</w:t>
            </w:r>
            <w:r>
              <w:rPr>
                <w:rFonts w:hint="default" w:ascii="Times New Roman" w:hAnsi="Times New Roman" w:cs="Times New Roman"/>
                <w:color w:val="auto"/>
                <w:szCs w:val="21"/>
                <w:highlight w:val="none"/>
              </w:rPr>
              <w:t>-2</w:t>
            </w:r>
          </w:p>
        </w:tc>
        <w:tc>
          <w:tcPr>
            <w:tcW w:w="4732" w:type="dxa"/>
            <w:noWrap w:val="0"/>
            <w:vAlign w:val="top"/>
          </w:tcPr>
          <w:p w14:paraId="46EA719E">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黏层</w:t>
            </w:r>
          </w:p>
        </w:tc>
        <w:tc>
          <w:tcPr>
            <w:tcW w:w="749" w:type="dxa"/>
            <w:noWrap w:val="0"/>
            <w:vAlign w:val="top"/>
          </w:tcPr>
          <w:p w14:paraId="77E7C2DD">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59D31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DF4B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A36B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EA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7D1F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309</w:t>
            </w:r>
          </w:p>
        </w:tc>
        <w:tc>
          <w:tcPr>
            <w:tcW w:w="4732" w:type="dxa"/>
            <w:noWrap w:val="0"/>
            <w:vAlign w:val="center"/>
          </w:tcPr>
          <w:p w14:paraId="76AA574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热拌沥青混合料面层</w:t>
            </w:r>
          </w:p>
        </w:tc>
        <w:tc>
          <w:tcPr>
            <w:tcW w:w="749" w:type="dxa"/>
            <w:noWrap w:val="0"/>
            <w:vAlign w:val="top"/>
          </w:tcPr>
          <w:p w14:paraId="4395B57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3D7A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B447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2D7C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2A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C2D570">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309-1</w:t>
            </w:r>
          </w:p>
        </w:tc>
        <w:tc>
          <w:tcPr>
            <w:tcW w:w="4732" w:type="dxa"/>
            <w:noWrap w:val="0"/>
            <w:vAlign w:val="top"/>
          </w:tcPr>
          <w:p w14:paraId="32A9A9D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细粒式沥青混凝土</w:t>
            </w:r>
          </w:p>
        </w:tc>
        <w:tc>
          <w:tcPr>
            <w:tcW w:w="749" w:type="dxa"/>
            <w:noWrap w:val="0"/>
            <w:vAlign w:val="top"/>
          </w:tcPr>
          <w:p w14:paraId="7131A54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2241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31F9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7866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32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E796EC">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185DA2E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268E38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278D9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D817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5587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EE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CEBFD4">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769F14D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23EEE5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707EE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FF27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5860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9B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C08D05">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309-2</w:t>
            </w:r>
          </w:p>
        </w:tc>
        <w:tc>
          <w:tcPr>
            <w:tcW w:w="4732" w:type="dxa"/>
            <w:noWrap w:val="0"/>
            <w:vAlign w:val="top"/>
          </w:tcPr>
          <w:p w14:paraId="7F008DE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中粒式沥青混凝土</w:t>
            </w:r>
          </w:p>
        </w:tc>
        <w:tc>
          <w:tcPr>
            <w:tcW w:w="749" w:type="dxa"/>
            <w:noWrap w:val="0"/>
            <w:vAlign w:val="top"/>
          </w:tcPr>
          <w:p w14:paraId="1611E94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D466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7D94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62C1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EF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0E12FC">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6A9394B7">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6F3B4C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E0BB0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83E5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0362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CFF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75EBBF">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1FFE08ED">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A2589A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8891C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F8C6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ACBB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78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C1FDFCD">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309-3</w:t>
            </w:r>
          </w:p>
        </w:tc>
        <w:tc>
          <w:tcPr>
            <w:tcW w:w="4732" w:type="dxa"/>
            <w:noWrap w:val="0"/>
            <w:vAlign w:val="top"/>
          </w:tcPr>
          <w:p w14:paraId="2B8477D3">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粗粒式沥青混凝土</w:t>
            </w:r>
          </w:p>
        </w:tc>
        <w:tc>
          <w:tcPr>
            <w:tcW w:w="749" w:type="dxa"/>
            <w:noWrap w:val="0"/>
            <w:vAlign w:val="top"/>
          </w:tcPr>
          <w:p w14:paraId="34404A1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FB43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79B0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36AB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1C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0EE588">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7A9BF39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DFFF54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AFB14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B4C1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84808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5B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708925">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35EA2D0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87309D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1D699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A62F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3E68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57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89E1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310</w:t>
            </w:r>
          </w:p>
        </w:tc>
        <w:tc>
          <w:tcPr>
            <w:tcW w:w="4732" w:type="dxa"/>
            <w:noWrap w:val="0"/>
            <w:vAlign w:val="center"/>
          </w:tcPr>
          <w:p w14:paraId="2B0E609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沥青表面处置与封层</w:t>
            </w:r>
          </w:p>
        </w:tc>
        <w:tc>
          <w:tcPr>
            <w:tcW w:w="749" w:type="dxa"/>
            <w:noWrap w:val="0"/>
            <w:vAlign w:val="top"/>
          </w:tcPr>
          <w:p w14:paraId="0CB5C31C">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p>
        </w:tc>
        <w:tc>
          <w:tcPr>
            <w:tcW w:w="837" w:type="dxa"/>
            <w:noWrap w:val="0"/>
            <w:vAlign w:val="center"/>
          </w:tcPr>
          <w:p w14:paraId="411E29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DEAB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81C6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72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5FDD2D">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310</w:t>
            </w:r>
            <w:r>
              <w:rPr>
                <w:rFonts w:hint="default" w:ascii="Times New Roman" w:hAnsi="Times New Roman" w:cs="Times New Roman"/>
                <w:color w:val="auto"/>
                <w:szCs w:val="21"/>
                <w:highlight w:val="none"/>
              </w:rPr>
              <w:t>-1</w:t>
            </w:r>
          </w:p>
        </w:tc>
        <w:tc>
          <w:tcPr>
            <w:tcW w:w="4732" w:type="dxa"/>
            <w:noWrap w:val="0"/>
            <w:vAlign w:val="top"/>
          </w:tcPr>
          <w:p w14:paraId="64FD799E">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沥青表面处</w:t>
            </w:r>
            <w:r>
              <w:rPr>
                <w:rFonts w:hint="default" w:ascii="Times New Roman" w:hAnsi="Times New Roman" w:cs="Times New Roman"/>
                <w:color w:val="auto"/>
                <w:kern w:val="0"/>
                <w:szCs w:val="21"/>
                <w:highlight w:val="none"/>
              </w:rPr>
              <w:t>置</w:t>
            </w:r>
          </w:p>
        </w:tc>
        <w:tc>
          <w:tcPr>
            <w:tcW w:w="749" w:type="dxa"/>
            <w:noWrap w:val="0"/>
            <w:vAlign w:val="top"/>
          </w:tcPr>
          <w:p w14:paraId="3A08D3FA">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p>
        </w:tc>
        <w:tc>
          <w:tcPr>
            <w:tcW w:w="837" w:type="dxa"/>
            <w:noWrap w:val="0"/>
            <w:vAlign w:val="center"/>
          </w:tcPr>
          <w:p w14:paraId="61359E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3813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561E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7B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81AC98">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8453D50">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527FEA9">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318CC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138F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1DDD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C3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D59A42">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02D59658">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8CB7077">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2717D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E69C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8F35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37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C6E4600">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310</w:t>
            </w:r>
            <w:r>
              <w:rPr>
                <w:rFonts w:hint="default" w:ascii="Times New Roman" w:hAnsi="Times New Roman" w:cs="Times New Roman"/>
                <w:color w:val="auto"/>
                <w:szCs w:val="21"/>
                <w:highlight w:val="none"/>
              </w:rPr>
              <w:t>-2</w:t>
            </w:r>
          </w:p>
        </w:tc>
        <w:tc>
          <w:tcPr>
            <w:tcW w:w="4732" w:type="dxa"/>
            <w:noWrap w:val="0"/>
            <w:vAlign w:val="top"/>
          </w:tcPr>
          <w:p w14:paraId="0AAFE1D3">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封层</w:t>
            </w:r>
          </w:p>
        </w:tc>
        <w:tc>
          <w:tcPr>
            <w:tcW w:w="749" w:type="dxa"/>
            <w:noWrap w:val="0"/>
            <w:vAlign w:val="top"/>
          </w:tcPr>
          <w:p w14:paraId="39CD4971">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4755F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09C6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E965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BD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3AA9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311</w:t>
            </w:r>
          </w:p>
        </w:tc>
        <w:tc>
          <w:tcPr>
            <w:tcW w:w="4732" w:type="dxa"/>
            <w:noWrap w:val="0"/>
            <w:vAlign w:val="center"/>
          </w:tcPr>
          <w:p w14:paraId="5424CFA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0"/>
                <w:szCs w:val="20"/>
                <w:highlight w:val="none"/>
              </w:rPr>
              <w:t>改性沥青及改性沥青混合料</w:t>
            </w:r>
          </w:p>
        </w:tc>
        <w:tc>
          <w:tcPr>
            <w:tcW w:w="749" w:type="dxa"/>
            <w:noWrap w:val="0"/>
            <w:vAlign w:val="top"/>
          </w:tcPr>
          <w:p w14:paraId="3D01E9F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C311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2290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FFAF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37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04021B">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311-1</w:t>
            </w:r>
          </w:p>
        </w:tc>
        <w:tc>
          <w:tcPr>
            <w:tcW w:w="4732" w:type="dxa"/>
            <w:noWrap w:val="0"/>
            <w:vAlign w:val="top"/>
          </w:tcPr>
          <w:p w14:paraId="080F8E38">
            <w:pPr>
              <w:pageBreakBefore w:val="0"/>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细粒式改性沥青混合料路面</w:t>
            </w:r>
          </w:p>
        </w:tc>
        <w:tc>
          <w:tcPr>
            <w:tcW w:w="749" w:type="dxa"/>
            <w:noWrap w:val="0"/>
            <w:vAlign w:val="top"/>
          </w:tcPr>
          <w:p w14:paraId="0768191E">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0105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D0F2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B4D6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F3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592116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1179CA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8B41F0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AD618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37DF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9139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49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94F9EF">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16AE5E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992887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87E2D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AD77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A28B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DA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930C1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311-2</w:t>
            </w:r>
          </w:p>
        </w:tc>
        <w:tc>
          <w:tcPr>
            <w:tcW w:w="4732" w:type="dxa"/>
            <w:noWrap w:val="0"/>
            <w:vAlign w:val="top"/>
          </w:tcPr>
          <w:p w14:paraId="6C48A1E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中粒式改性沥青混合料路面</w:t>
            </w:r>
          </w:p>
        </w:tc>
        <w:tc>
          <w:tcPr>
            <w:tcW w:w="749" w:type="dxa"/>
            <w:noWrap w:val="0"/>
            <w:vAlign w:val="top"/>
          </w:tcPr>
          <w:p w14:paraId="46AC0ED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96A9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ECE9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1613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92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AF7167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44F15E0">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A3558C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0502B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CEE3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9C93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58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51EBEBD">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66CB23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5E16D6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DA759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ED4C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1C77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04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9B349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311-3</w:t>
            </w:r>
          </w:p>
        </w:tc>
        <w:tc>
          <w:tcPr>
            <w:tcW w:w="4732" w:type="dxa"/>
            <w:noWrap w:val="0"/>
            <w:vAlign w:val="top"/>
          </w:tcPr>
          <w:p w14:paraId="40855303">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SMA路面</w:t>
            </w:r>
          </w:p>
        </w:tc>
        <w:tc>
          <w:tcPr>
            <w:tcW w:w="749" w:type="dxa"/>
            <w:noWrap w:val="0"/>
            <w:vAlign w:val="top"/>
          </w:tcPr>
          <w:p w14:paraId="2C821A9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F8B1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ADBF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AF3C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96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CD3C507">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7DE1CB8">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E36BD3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B5935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1040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E989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37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FB3F7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B00454D">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70C235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4F424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913F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9E2A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9F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75C8F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312</w:t>
            </w:r>
          </w:p>
        </w:tc>
        <w:tc>
          <w:tcPr>
            <w:tcW w:w="4732" w:type="dxa"/>
            <w:noWrap w:val="0"/>
            <w:vAlign w:val="center"/>
          </w:tcPr>
          <w:p w14:paraId="1FEFF39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水泥混凝土面板</w:t>
            </w:r>
          </w:p>
        </w:tc>
        <w:tc>
          <w:tcPr>
            <w:tcW w:w="749" w:type="dxa"/>
            <w:noWrap w:val="0"/>
            <w:vAlign w:val="center"/>
          </w:tcPr>
          <w:p w14:paraId="2767436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6017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2923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B741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70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A799D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312-1</w:t>
            </w:r>
          </w:p>
        </w:tc>
        <w:tc>
          <w:tcPr>
            <w:tcW w:w="4732" w:type="dxa"/>
            <w:noWrap w:val="0"/>
            <w:vAlign w:val="center"/>
          </w:tcPr>
          <w:p w14:paraId="25CB436F">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水泥混凝土面板</w:t>
            </w:r>
          </w:p>
        </w:tc>
        <w:tc>
          <w:tcPr>
            <w:tcW w:w="749" w:type="dxa"/>
            <w:noWrap w:val="0"/>
            <w:vAlign w:val="center"/>
          </w:tcPr>
          <w:p w14:paraId="51DAA54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F19C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320F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2558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7F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DA3DB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384392A3">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 （混凝土弯拉强度…MPa）</w:t>
            </w:r>
          </w:p>
        </w:tc>
        <w:tc>
          <w:tcPr>
            <w:tcW w:w="749" w:type="dxa"/>
            <w:noWrap w:val="0"/>
            <w:vAlign w:val="center"/>
          </w:tcPr>
          <w:p w14:paraId="0863640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60D94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E695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B04D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DA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77468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5BFE9E74">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 （混凝土弯拉强度…MPa）</w:t>
            </w:r>
          </w:p>
        </w:tc>
        <w:tc>
          <w:tcPr>
            <w:tcW w:w="749" w:type="dxa"/>
            <w:noWrap w:val="0"/>
            <w:vAlign w:val="center"/>
          </w:tcPr>
          <w:p w14:paraId="0878CBE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9312E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8005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D889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2F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34184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312-2</w:t>
            </w:r>
          </w:p>
        </w:tc>
        <w:tc>
          <w:tcPr>
            <w:tcW w:w="4732" w:type="dxa"/>
            <w:noWrap w:val="0"/>
            <w:vAlign w:val="center"/>
          </w:tcPr>
          <w:p w14:paraId="2695D8D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w:t>
            </w:r>
          </w:p>
        </w:tc>
        <w:tc>
          <w:tcPr>
            <w:tcW w:w="749" w:type="dxa"/>
            <w:noWrap w:val="0"/>
            <w:vAlign w:val="center"/>
          </w:tcPr>
          <w:p w14:paraId="4B503C15">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F4AD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5EEA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74E8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2F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F6352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BFA0D0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center"/>
          </w:tcPr>
          <w:p w14:paraId="0378C35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099D8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8264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08E99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77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C08BE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792664D">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center"/>
          </w:tcPr>
          <w:p w14:paraId="5BAFF25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0371BC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0F5F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40DE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88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60A4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313</w:t>
            </w:r>
          </w:p>
        </w:tc>
        <w:tc>
          <w:tcPr>
            <w:tcW w:w="4732" w:type="dxa"/>
            <w:noWrap w:val="0"/>
            <w:vAlign w:val="center"/>
          </w:tcPr>
          <w:p w14:paraId="38F1E62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路肩培土、中央分隔带回填土、土路肩加固及路缘石</w:t>
            </w:r>
          </w:p>
        </w:tc>
        <w:tc>
          <w:tcPr>
            <w:tcW w:w="749" w:type="dxa"/>
            <w:noWrap w:val="0"/>
            <w:vAlign w:val="top"/>
          </w:tcPr>
          <w:p w14:paraId="69BB6C5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73373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2D8A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2F55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01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E90BE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313-1</w:t>
            </w:r>
          </w:p>
        </w:tc>
        <w:tc>
          <w:tcPr>
            <w:tcW w:w="4732" w:type="dxa"/>
            <w:noWrap w:val="0"/>
            <w:vAlign w:val="top"/>
          </w:tcPr>
          <w:p w14:paraId="18900AE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路肩培土</w:t>
            </w:r>
          </w:p>
        </w:tc>
        <w:tc>
          <w:tcPr>
            <w:tcW w:w="749" w:type="dxa"/>
            <w:noWrap w:val="0"/>
            <w:vAlign w:val="top"/>
          </w:tcPr>
          <w:p w14:paraId="0171219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CA30E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9330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E6E7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C1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E9B409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313-2</w:t>
            </w:r>
          </w:p>
        </w:tc>
        <w:tc>
          <w:tcPr>
            <w:tcW w:w="4732" w:type="dxa"/>
            <w:noWrap w:val="0"/>
            <w:vAlign w:val="top"/>
          </w:tcPr>
          <w:p w14:paraId="4ED896B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中央分隔带回填土</w:t>
            </w:r>
          </w:p>
        </w:tc>
        <w:tc>
          <w:tcPr>
            <w:tcW w:w="749" w:type="dxa"/>
            <w:noWrap w:val="0"/>
            <w:vAlign w:val="top"/>
          </w:tcPr>
          <w:p w14:paraId="331F144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7578A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F4DF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9D4FE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27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5EE8F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313-3</w:t>
            </w:r>
          </w:p>
        </w:tc>
        <w:tc>
          <w:tcPr>
            <w:tcW w:w="4732" w:type="dxa"/>
            <w:noWrap w:val="0"/>
            <w:vAlign w:val="top"/>
          </w:tcPr>
          <w:p w14:paraId="12E336F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现浇混凝土加固土路肩</w:t>
            </w:r>
          </w:p>
        </w:tc>
        <w:tc>
          <w:tcPr>
            <w:tcW w:w="749" w:type="dxa"/>
            <w:noWrap w:val="0"/>
            <w:vAlign w:val="top"/>
          </w:tcPr>
          <w:p w14:paraId="72AD3FE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7536B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05B7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3157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8A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40E70B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313-4</w:t>
            </w:r>
          </w:p>
        </w:tc>
        <w:tc>
          <w:tcPr>
            <w:tcW w:w="4732" w:type="dxa"/>
            <w:noWrap w:val="0"/>
            <w:vAlign w:val="top"/>
          </w:tcPr>
          <w:p w14:paraId="671B4FD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混凝土预制块加固土路肩</w:t>
            </w:r>
          </w:p>
        </w:tc>
        <w:tc>
          <w:tcPr>
            <w:tcW w:w="749" w:type="dxa"/>
            <w:noWrap w:val="0"/>
            <w:vAlign w:val="top"/>
          </w:tcPr>
          <w:p w14:paraId="5ABA7F1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D0787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8D84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AC98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07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1AA3B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313-5</w:t>
            </w:r>
          </w:p>
        </w:tc>
        <w:tc>
          <w:tcPr>
            <w:tcW w:w="4732" w:type="dxa"/>
            <w:noWrap w:val="0"/>
            <w:vAlign w:val="top"/>
          </w:tcPr>
          <w:p w14:paraId="1C99187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混凝土预制块路缘石</w:t>
            </w:r>
          </w:p>
        </w:tc>
        <w:tc>
          <w:tcPr>
            <w:tcW w:w="749" w:type="dxa"/>
            <w:noWrap w:val="0"/>
            <w:vAlign w:val="top"/>
          </w:tcPr>
          <w:p w14:paraId="55033B6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8A72C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89E4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EAB8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2A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76AF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314</w:t>
            </w:r>
          </w:p>
        </w:tc>
        <w:tc>
          <w:tcPr>
            <w:tcW w:w="4732" w:type="dxa"/>
            <w:noWrap w:val="0"/>
            <w:vAlign w:val="center"/>
          </w:tcPr>
          <w:p w14:paraId="1B02D7C1">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路面及中央分隔带排水</w:t>
            </w:r>
          </w:p>
        </w:tc>
        <w:tc>
          <w:tcPr>
            <w:tcW w:w="749" w:type="dxa"/>
            <w:noWrap w:val="0"/>
            <w:vAlign w:val="center"/>
          </w:tcPr>
          <w:p w14:paraId="07945EB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513CD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35AB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A466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48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7B82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314-1</w:t>
            </w:r>
          </w:p>
        </w:tc>
        <w:tc>
          <w:tcPr>
            <w:tcW w:w="4732" w:type="dxa"/>
            <w:noWrap w:val="0"/>
            <w:vAlign w:val="center"/>
          </w:tcPr>
          <w:p w14:paraId="6C02347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排水管</w:t>
            </w:r>
          </w:p>
        </w:tc>
        <w:tc>
          <w:tcPr>
            <w:tcW w:w="749" w:type="dxa"/>
            <w:noWrap w:val="0"/>
            <w:vAlign w:val="center"/>
          </w:tcPr>
          <w:p w14:paraId="7E56B1A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50F65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1346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F9F6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D2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E4F7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314-2</w:t>
            </w:r>
          </w:p>
        </w:tc>
        <w:tc>
          <w:tcPr>
            <w:tcW w:w="4732" w:type="dxa"/>
            <w:noWrap w:val="0"/>
            <w:vAlign w:val="center"/>
          </w:tcPr>
          <w:p w14:paraId="31D2EA8B">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纵向雨水沟（管）</w:t>
            </w:r>
          </w:p>
        </w:tc>
        <w:tc>
          <w:tcPr>
            <w:tcW w:w="749" w:type="dxa"/>
            <w:noWrap w:val="0"/>
            <w:vAlign w:val="center"/>
          </w:tcPr>
          <w:p w14:paraId="0256A67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B0255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DD41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F126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0B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72BA4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314-3</w:t>
            </w:r>
          </w:p>
        </w:tc>
        <w:tc>
          <w:tcPr>
            <w:tcW w:w="4732" w:type="dxa"/>
            <w:noWrap w:val="0"/>
            <w:vAlign w:val="center"/>
          </w:tcPr>
          <w:p w14:paraId="329F8B5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集水井 </w:t>
            </w:r>
          </w:p>
        </w:tc>
        <w:tc>
          <w:tcPr>
            <w:tcW w:w="749" w:type="dxa"/>
            <w:noWrap w:val="0"/>
            <w:vAlign w:val="center"/>
          </w:tcPr>
          <w:p w14:paraId="1234EC0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3981A9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B430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D27F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37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ECEEC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314-4</w:t>
            </w:r>
          </w:p>
        </w:tc>
        <w:tc>
          <w:tcPr>
            <w:tcW w:w="4732" w:type="dxa"/>
            <w:noWrap w:val="0"/>
            <w:vAlign w:val="center"/>
          </w:tcPr>
          <w:p w14:paraId="7E91141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中央分隔带渗沟</w:t>
            </w:r>
          </w:p>
        </w:tc>
        <w:tc>
          <w:tcPr>
            <w:tcW w:w="749" w:type="dxa"/>
            <w:noWrap w:val="0"/>
            <w:vAlign w:val="center"/>
          </w:tcPr>
          <w:p w14:paraId="162A239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1A350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9071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9AD9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79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9A41C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314-5</w:t>
            </w:r>
          </w:p>
        </w:tc>
        <w:tc>
          <w:tcPr>
            <w:tcW w:w="4732" w:type="dxa"/>
            <w:noWrap w:val="0"/>
            <w:vAlign w:val="center"/>
          </w:tcPr>
          <w:p w14:paraId="43B58FD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沥青油毡防水层</w:t>
            </w:r>
          </w:p>
        </w:tc>
        <w:tc>
          <w:tcPr>
            <w:tcW w:w="749" w:type="dxa"/>
            <w:noWrap w:val="0"/>
            <w:vAlign w:val="top"/>
          </w:tcPr>
          <w:p w14:paraId="53B04DF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BF11B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EA60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7246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54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E835B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314-6</w:t>
            </w:r>
          </w:p>
        </w:tc>
        <w:tc>
          <w:tcPr>
            <w:tcW w:w="4732" w:type="dxa"/>
            <w:noWrap w:val="0"/>
            <w:vAlign w:val="center"/>
          </w:tcPr>
          <w:p w14:paraId="46574F8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路肩排水沟</w:t>
            </w:r>
          </w:p>
        </w:tc>
        <w:tc>
          <w:tcPr>
            <w:tcW w:w="749" w:type="dxa"/>
            <w:noWrap w:val="0"/>
            <w:vAlign w:val="center"/>
          </w:tcPr>
          <w:p w14:paraId="591915A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D9371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A94D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BE2F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6C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F943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314-7</w:t>
            </w:r>
          </w:p>
        </w:tc>
        <w:tc>
          <w:tcPr>
            <w:tcW w:w="4732" w:type="dxa"/>
            <w:noWrap w:val="0"/>
            <w:vAlign w:val="center"/>
          </w:tcPr>
          <w:p w14:paraId="75EA70A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拦水带</w:t>
            </w:r>
          </w:p>
        </w:tc>
        <w:tc>
          <w:tcPr>
            <w:tcW w:w="749" w:type="dxa"/>
            <w:noWrap w:val="0"/>
            <w:vAlign w:val="center"/>
          </w:tcPr>
          <w:p w14:paraId="20BF7D1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1238F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7529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AAFE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7D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F520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29FEB61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沥青混凝土拦水带</w:t>
            </w:r>
          </w:p>
        </w:tc>
        <w:tc>
          <w:tcPr>
            <w:tcW w:w="749" w:type="dxa"/>
            <w:noWrap w:val="0"/>
            <w:vAlign w:val="center"/>
          </w:tcPr>
          <w:p w14:paraId="3F3597C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596EEB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469F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0640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50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D76FF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5CCD956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水泥混凝土拦水带</w:t>
            </w:r>
          </w:p>
        </w:tc>
        <w:tc>
          <w:tcPr>
            <w:tcW w:w="749" w:type="dxa"/>
            <w:noWrap w:val="0"/>
            <w:vAlign w:val="center"/>
          </w:tcPr>
          <w:p w14:paraId="4754822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E16FB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0FA0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ABFA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7D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DCCF6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EAD695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0DBBA3E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0DAB9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36CF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7949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AE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71896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7FE5387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1997BD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EEDEA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3790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5814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F2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7E1F135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清单第300章合计  人民币</w:t>
            </w:r>
            <w:r>
              <w:rPr>
                <w:rFonts w:hint="default" w:ascii="Times New Roman" w:hAnsi="Times New Roman" w:cs="Times New Roman"/>
                <w:bCs/>
                <w:color w:val="auto"/>
                <w:kern w:val="0"/>
                <w:szCs w:val="21"/>
                <w:highlight w:val="none"/>
                <w:u w:val="single"/>
              </w:rPr>
              <w:t xml:space="preserve">                    </w:t>
            </w:r>
          </w:p>
        </w:tc>
      </w:tr>
    </w:tbl>
    <w:p w14:paraId="0B370D37">
      <w:pPr>
        <w:pageBreakBefore w:val="0"/>
        <w:widowControl/>
        <w:kinsoku/>
        <w:wordWrap w:val="0"/>
        <w:bidi w:val="0"/>
        <w:spacing w:line="360" w:lineRule="atLeast"/>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0EB0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1C8CCD5">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第400章   桥梁、涵洞</w:t>
            </w:r>
          </w:p>
        </w:tc>
      </w:tr>
      <w:tr w14:paraId="2023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490594F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4ED792B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094A672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6B6D5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3C019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2DA2C6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2E9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2B8189D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401</w:t>
            </w:r>
          </w:p>
        </w:tc>
        <w:tc>
          <w:tcPr>
            <w:tcW w:w="4732" w:type="dxa"/>
            <w:tcBorders>
              <w:top w:val="single" w:color="auto" w:sz="4" w:space="0"/>
              <w:left w:val="single" w:color="auto" w:sz="4" w:space="0"/>
              <w:right w:val="single" w:color="auto" w:sz="4" w:space="0"/>
            </w:tcBorders>
            <w:noWrap w:val="0"/>
            <w:vAlign w:val="center"/>
          </w:tcPr>
          <w:p w14:paraId="2EB6A21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通则</w:t>
            </w:r>
          </w:p>
        </w:tc>
        <w:tc>
          <w:tcPr>
            <w:tcW w:w="749" w:type="dxa"/>
            <w:tcBorders>
              <w:top w:val="single" w:color="auto" w:sz="4" w:space="0"/>
              <w:left w:val="single" w:color="auto" w:sz="4" w:space="0"/>
              <w:right w:val="single" w:color="auto" w:sz="4" w:space="0"/>
            </w:tcBorders>
            <w:noWrap w:val="0"/>
            <w:vAlign w:val="top"/>
          </w:tcPr>
          <w:p w14:paraId="1D22C55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28479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4B9C3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E1C6E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EF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3CFC059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40</w:t>
            </w:r>
            <w:r>
              <w:rPr>
                <w:rFonts w:hint="default" w:ascii="Times New Roman" w:hAnsi="Times New Roman" w:cs="Times New Roman"/>
                <w:color w:val="auto"/>
                <w:szCs w:val="21"/>
                <w:highlight w:val="none"/>
              </w:rPr>
              <w:t>1-1</w:t>
            </w:r>
          </w:p>
        </w:tc>
        <w:tc>
          <w:tcPr>
            <w:tcW w:w="4732" w:type="dxa"/>
            <w:tcBorders>
              <w:top w:val="single" w:color="auto" w:sz="4" w:space="0"/>
              <w:left w:val="single" w:color="auto" w:sz="4" w:space="0"/>
              <w:right w:val="single" w:color="auto" w:sz="4" w:space="0"/>
            </w:tcBorders>
            <w:noWrap w:val="0"/>
            <w:vAlign w:val="top"/>
          </w:tcPr>
          <w:p w14:paraId="3A1018A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桥梁荷载试验（暂估价）</w:t>
            </w:r>
          </w:p>
        </w:tc>
        <w:tc>
          <w:tcPr>
            <w:tcW w:w="749" w:type="dxa"/>
            <w:tcBorders>
              <w:top w:val="single" w:color="auto" w:sz="4" w:space="0"/>
              <w:left w:val="single" w:color="auto" w:sz="4" w:space="0"/>
              <w:right w:val="single" w:color="auto" w:sz="4" w:space="0"/>
            </w:tcBorders>
            <w:noWrap w:val="0"/>
            <w:vAlign w:val="top"/>
          </w:tcPr>
          <w:p w14:paraId="593E877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7865BA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4F4C9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FADEC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F1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406AB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401-2</w:t>
            </w:r>
          </w:p>
        </w:tc>
        <w:tc>
          <w:tcPr>
            <w:tcW w:w="4732" w:type="dxa"/>
            <w:noWrap w:val="0"/>
            <w:vAlign w:val="center"/>
          </w:tcPr>
          <w:p w14:paraId="2838D57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桥梁施工监控（</w:t>
            </w:r>
            <w:r>
              <w:rPr>
                <w:rFonts w:hint="default" w:ascii="Times New Roman" w:hAnsi="Times New Roman" w:cs="Times New Roman"/>
                <w:color w:val="auto"/>
                <w:kern w:val="0"/>
                <w:szCs w:val="21"/>
                <w:highlight w:val="none"/>
              </w:rPr>
              <w:t>暂估价</w:t>
            </w:r>
            <w:r>
              <w:rPr>
                <w:rFonts w:hint="default" w:ascii="Times New Roman" w:hAnsi="Times New Roman" w:cs="Times New Roman"/>
                <w:color w:val="auto"/>
                <w:szCs w:val="21"/>
                <w:highlight w:val="none"/>
              </w:rPr>
              <w:t>）</w:t>
            </w:r>
          </w:p>
        </w:tc>
        <w:tc>
          <w:tcPr>
            <w:tcW w:w="749" w:type="dxa"/>
            <w:noWrap w:val="0"/>
            <w:vAlign w:val="center"/>
          </w:tcPr>
          <w:p w14:paraId="052D5DE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FD0F0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F6A5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73B3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E2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1D0C61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40</w:t>
            </w:r>
            <w:r>
              <w:rPr>
                <w:rFonts w:hint="default" w:ascii="Times New Roman" w:hAnsi="Times New Roman" w:cs="Times New Roman"/>
                <w:color w:val="auto"/>
                <w:szCs w:val="21"/>
                <w:highlight w:val="none"/>
              </w:rPr>
              <w:t>1-3</w:t>
            </w:r>
          </w:p>
        </w:tc>
        <w:tc>
          <w:tcPr>
            <w:tcW w:w="4732" w:type="dxa"/>
            <w:noWrap w:val="0"/>
            <w:vAlign w:val="top"/>
          </w:tcPr>
          <w:p w14:paraId="36F8A23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地质钻探及取样试验（暂定工程量）</w:t>
            </w:r>
          </w:p>
        </w:tc>
        <w:tc>
          <w:tcPr>
            <w:tcW w:w="749" w:type="dxa"/>
            <w:noWrap w:val="0"/>
            <w:vAlign w:val="top"/>
          </w:tcPr>
          <w:p w14:paraId="1A86B6B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35AD8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33D0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4194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CC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71951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C040F8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Ф70mm</w:t>
            </w:r>
          </w:p>
        </w:tc>
        <w:tc>
          <w:tcPr>
            <w:tcW w:w="749" w:type="dxa"/>
            <w:noWrap w:val="0"/>
            <w:vAlign w:val="top"/>
          </w:tcPr>
          <w:p w14:paraId="719F378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F2CDF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236B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2C084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4D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F421F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EEC1F7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Ф110mm</w:t>
            </w:r>
          </w:p>
        </w:tc>
        <w:tc>
          <w:tcPr>
            <w:tcW w:w="749" w:type="dxa"/>
            <w:noWrap w:val="0"/>
            <w:vAlign w:val="top"/>
          </w:tcPr>
          <w:p w14:paraId="528ACA6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5C0A1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1C88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09F72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56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57C5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403</w:t>
            </w:r>
          </w:p>
        </w:tc>
        <w:tc>
          <w:tcPr>
            <w:tcW w:w="4732" w:type="dxa"/>
            <w:noWrap w:val="0"/>
            <w:vAlign w:val="center"/>
          </w:tcPr>
          <w:p w14:paraId="5411A27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top"/>
          </w:tcPr>
          <w:p w14:paraId="65D38059">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0C03B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A277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CA83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67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5C669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403-1</w:t>
            </w:r>
          </w:p>
        </w:tc>
        <w:tc>
          <w:tcPr>
            <w:tcW w:w="4732" w:type="dxa"/>
            <w:noWrap w:val="0"/>
            <w:vAlign w:val="center"/>
          </w:tcPr>
          <w:p w14:paraId="301390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基础钢筋（含灌注桩、承台、桩系梁、沉桩、沉井等）</w:t>
            </w:r>
          </w:p>
        </w:tc>
        <w:tc>
          <w:tcPr>
            <w:tcW w:w="749" w:type="dxa"/>
            <w:noWrap w:val="0"/>
            <w:vAlign w:val="top"/>
          </w:tcPr>
          <w:p w14:paraId="61A6C86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9DAA6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72A4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C8BD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9F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9DEE07">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F7EDCA4">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059325B4">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791F81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76CA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353E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2D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FE85D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1AF78B1">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4886D52C">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11F760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E2EF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28A4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35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D1DFA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403-2</w:t>
            </w:r>
          </w:p>
        </w:tc>
        <w:tc>
          <w:tcPr>
            <w:tcW w:w="4732" w:type="dxa"/>
            <w:noWrap w:val="0"/>
            <w:vAlign w:val="top"/>
          </w:tcPr>
          <w:p w14:paraId="4E8C07DC">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下部结构钢筋</w:t>
            </w:r>
          </w:p>
        </w:tc>
        <w:tc>
          <w:tcPr>
            <w:tcW w:w="749" w:type="dxa"/>
            <w:noWrap w:val="0"/>
            <w:vAlign w:val="top"/>
          </w:tcPr>
          <w:p w14:paraId="7037B99C">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BE9CA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D201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F72E0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A9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36EF00">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8A0ACAB">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5A8F74D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11F0F5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C152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AAAA5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68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F55C4">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89C7B0D">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336FC2C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7799ED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A8EE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8F2A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A3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B47879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403-3</w:t>
            </w:r>
          </w:p>
        </w:tc>
        <w:tc>
          <w:tcPr>
            <w:tcW w:w="4732" w:type="dxa"/>
            <w:noWrap w:val="0"/>
            <w:vAlign w:val="top"/>
          </w:tcPr>
          <w:p w14:paraId="0855D60C">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上部结构钢筋</w:t>
            </w:r>
          </w:p>
        </w:tc>
        <w:tc>
          <w:tcPr>
            <w:tcW w:w="749" w:type="dxa"/>
            <w:noWrap w:val="0"/>
            <w:vAlign w:val="top"/>
          </w:tcPr>
          <w:p w14:paraId="3C414617">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31761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3DDE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9C66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ED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A60F0F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FCB3477">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16E2E98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522E8D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B1E0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C5AD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87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63ABA0A">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04F6A82">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7671922A">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484AB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2771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B4A3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47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6F26D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403-4</w:t>
            </w:r>
          </w:p>
        </w:tc>
        <w:tc>
          <w:tcPr>
            <w:tcW w:w="4732" w:type="dxa"/>
            <w:noWrap w:val="0"/>
            <w:vAlign w:val="top"/>
          </w:tcPr>
          <w:p w14:paraId="69BEE710">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附属结构钢筋</w:t>
            </w:r>
          </w:p>
        </w:tc>
        <w:tc>
          <w:tcPr>
            <w:tcW w:w="749" w:type="dxa"/>
            <w:noWrap w:val="0"/>
            <w:vAlign w:val="top"/>
          </w:tcPr>
          <w:p w14:paraId="1B833F7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22A48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900E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BA53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4B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729AB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B516BCE">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5B36E23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FB94A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706E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046A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59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0AC341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D33819B">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5E19A6F5">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7C176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426D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E125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5E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E08E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404</w:t>
            </w:r>
          </w:p>
        </w:tc>
        <w:tc>
          <w:tcPr>
            <w:tcW w:w="4732" w:type="dxa"/>
            <w:noWrap w:val="0"/>
            <w:vAlign w:val="center"/>
          </w:tcPr>
          <w:p w14:paraId="13A93B3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基坑开挖及回填</w:t>
            </w:r>
          </w:p>
        </w:tc>
        <w:tc>
          <w:tcPr>
            <w:tcW w:w="749" w:type="dxa"/>
            <w:noWrap w:val="0"/>
            <w:vAlign w:val="top"/>
          </w:tcPr>
          <w:p w14:paraId="2D79032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16663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3371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D7F9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29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AEA52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404-1</w:t>
            </w:r>
          </w:p>
        </w:tc>
        <w:tc>
          <w:tcPr>
            <w:tcW w:w="4732" w:type="dxa"/>
            <w:noWrap w:val="0"/>
            <w:vAlign w:val="top"/>
          </w:tcPr>
          <w:p w14:paraId="1BFE3CA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干处挖土方</w:t>
            </w:r>
          </w:p>
        </w:tc>
        <w:tc>
          <w:tcPr>
            <w:tcW w:w="749" w:type="dxa"/>
            <w:noWrap w:val="0"/>
            <w:vAlign w:val="top"/>
          </w:tcPr>
          <w:p w14:paraId="3FFAD3B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DE848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2DC7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9DE1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1A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50152A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404-2</w:t>
            </w:r>
          </w:p>
        </w:tc>
        <w:tc>
          <w:tcPr>
            <w:tcW w:w="4732" w:type="dxa"/>
            <w:noWrap w:val="0"/>
            <w:vAlign w:val="top"/>
          </w:tcPr>
          <w:p w14:paraId="0E02181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水下挖土方</w:t>
            </w:r>
          </w:p>
        </w:tc>
        <w:tc>
          <w:tcPr>
            <w:tcW w:w="749" w:type="dxa"/>
            <w:noWrap w:val="0"/>
            <w:vAlign w:val="top"/>
          </w:tcPr>
          <w:p w14:paraId="6FD9A3B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25BD0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5C6D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C4C7F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2D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97C2DE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404-3</w:t>
            </w:r>
          </w:p>
        </w:tc>
        <w:tc>
          <w:tcPr>
            <w:tcW w:w="4732" w:type="dxa"/>
            <w:noWrap w:val="0"/>
            <w:vAlign w:val="top"/>
          </w:tcPr>
          <w:p w14:paraId="6EDE7A1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干处挖石方</w:t>
            </w:r>
          </w:p>
        </w:tc>
        <w:tc>
          <w:tcPr>
            <w:tcW w:w="749" w:type="dxa"/>
            <w:noWrap w:val="0"/>
            <w:vAlign w:val="top"/>
          </w:tcPr>
          <w:p w14:paraId="1EDC444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E33BE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CB0E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3CB3D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48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A4019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404-4</w:t>
            </w:r>
          </w:p>
        </w:tc>
        <w:tc>
          <w:tcPr>
            <w:tcW w:w="4732" w:type="dxa"/>
            <w:noWrap w:val="0"/>
            <w:vAlign w:val="top"/>
          </w:tcPr>
          <w:p w14:paraId="0716126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水下挖石方</w:t>
            </w:r>
          </w:p>
        </w:tc>
        <w:tc>
          <w:tcPr>
            <w:tcW w:w="749" w:type="dxa"/>
            <w:noWrap w:val="0"/>
            <w:vAlign w:val="top"/>
          </w:tcPr>
          <w:p w14:paraId="438004D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FD989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CDAB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43F4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41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36188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405</w:t>
            </w:r>
          </w:p>
        </w:tc>
        <w:tc>
          <w:tcPr>
            <w:tcW w:w="4732" w:type="dxa"/>
            <w:noWrap w:val="0"/>
            <w:vAlign w:val="center"/>
          </w:tcPr>
          <w:p w14:paraId="4DFC144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钻孔灌注桩</w:t>
            </w:r>
          </w:p>
        </w:tc>
        <w:tc>
          <w:tcPr>
            <w:tcW w:w="749" w:type="dxa"/>
            <w:noWrap w:val="0"/>
            <w:vAlign w:val="top"/>
          </w:tcPr>
          <w:p w14:paraId="307C919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6C596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1A50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88221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FE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C7D4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405-1</w:t>
            </w:r>
          </w:p>
        </w:tc>
        <w:tc>
          <w:tcPr>
            <w:tcW w:w="4732" w:type="dxa"/>
            <w:noWrap w:val="0"/>
            <w:vAlign w:val="center"/>
          </w:tcPr>
          <w:p w14:paraId="7ABC809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钻孔灌注桩</w:t>
            </w:r>
          </w:p>
        </w:tc>
        <w:tc>
          <w:tcPr>
            <w:tcW w:w="749" w:type="dxa"/>
            <w:noWrap w:val="0"/>
            <w:vAlign w:val="center"/>
          </w:tcPr>
          <w:p w14:paraId="6CC0F31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DC7CC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7F18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949D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6D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15B0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987DE1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陆上钻孔灌注桩</w:t>
            </w:r>
          </w:p>
        </w:tc>
        <w:tc>
          <w:tcPr>
            <w:tcW w:w="749" w:type="dxa"/>
            <w:noWrap w:val="0"/>
            <w:vAlign w:val="center"/>
          </w:tcPr>
          <w:p w14:paraId="7A4E2DD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BC6F6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2F71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702B5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45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BC372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85A890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水中钻孔灌注桩</w:t>
            </w:r>
          </w:p>
        </w:tc>
        <w:tc>
          <w:tcPr>
            <w:tcW w:w="749" w:type="dxa"/>
            <w:noWrap w:val="0"/>
            <w:vAlign w:val="center"/>
          </w:tcPr>
          <w:p w14:paraId="1AA198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32061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72E9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B867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85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67C1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405-2</w:t>
            </w:r>
          </w:p>
        </w:tc>
        <w:tc>
          <w:tcPr>
            <w:tcW w:w="4732" w:type="dxa"/>
            <w:noWrap w:val="0"/>
            <w:vAlign w:val="center"/>
          </w:tcPr>
          <w:p w14:paraId="584FC05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钻取混凝土芯样检测（暂定工程量）</w:t>
            </w:r>
          </w:p>
        </w:tc>
        <w:tc>
          <w:tcPr>
            <w:tcW w:w="749" w:type="dxa"/>
            <w:noWrap w:val="0"/>
            <w:vAlign w:val="center"/>
          </w:tcPr>
          <w:p w14:paraId="25D157C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94DBE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05F4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3D97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6D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26C6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405-3</w:t>
            </w:r>
          </w:p>
        </w:tc>
        <w:tc>
          <w:tcPr>
            <w:tcW w:w="4732" w:type="dxa"/>
            <w:noWrap w:val="0"/>
            <w:vAlign w:val="center"/>
          </w:tcPr>
          <w:p w14:paraId="02046FE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破坏荷载试验用桩（暂定工程量）</w:t>
            </w:r>
          </w:p>
        </w:tc>
        <w:tc>
          <w:tcPr>
            <w:tcW w:w="749" w:type="dxa"/>
            <w:noWrap w:val="0"/>
            <w:vAlign w:val="center"/>
          </w:tcPr>
          <w:p w14:paraId="7E8F5F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EDC480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2F0A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4CAE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8C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45244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406</w:t>
            </w:r>
          </w:p>
        </w:tc>
        <w:tc>
          <w:tcPr>
            <w:tcW w:w="4732" w:type="dxa"/>
            <w:noWrap w:val="0"/>
            <w:vAlign w:val="center"/>
          </w:tcPr>
          <w:p w14:paraId="0F027AF4">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沉桩</w:t>
            </w:r>
          </w:p>
        </w:tc>
        <w:tc>
          <w:tcPr>
            <w:tcW w:w="749" w:type="dxa"/>
            <w:noWrap w:val="0"/>
            <w:vAlign w:val="center"/>
          </w:tcPr>
          <w:p w14:paraId="7748F59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1BC1F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42B1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385E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B9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6A08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406-1</w:t>
            </w:r>
          </w:p>
        </w:tc>
        <w:tc>
          <w:tcPr>
            <w:tcW w:w="4732" w:type="dxa"/>
            <w:noWrap w:val="0"/>
            <w:vAlign w:val="center"/>
          </w:tcPr>
          <w:p w14:paraId="39FF693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钢筋混凝土沉桩</w:t>
            </w:r>
          </w:p>
        </w:tc>
        <w:tc>
          <w:tcPr>
            <w:tcW w:w="749" w:type="dxa"/>
            <w:noWrap w:val="0"/>
            <w:vAlign w:val="center"/>
          </w:tcPr>
          <w:p w14:paraId="5A028E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49634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EE13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D004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8F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00E29E9C">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第400章   桥梁、涵洞</w:t>
            </w:r>
          </w:p>
        </w:tc>
      </w:tr>
      <w:tr w14:paraId="2F60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7EC4B2DF">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10C559B0">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1C916697">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217EF7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B30609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33514E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0D02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C468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406-2</w:t>
            </w:r>
          </w:p>
        </w:tc>
        <w:tc>
          <w:tcPr>
            <w:tcW w:w="4732" w:type="dxa"/>
            <w:noWrap w:val="0"/>
            <w:vAlign w:val="center"/>
          </w:tcPr>
          <w:p w14:paraId="064E514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预应力混凝土沉桩</w:t>
            </w:r>
          </w:p>
        </w:tc>
        <w:tc>
          <w:tcPr>
            <w:tcW w:w="749" w:type="dxa"/>
            <w:noWrap w:val="0"/>
            <w:vAlign w:val="center"/>
          </w:tcPr>
          <w:p w14:paraId="030CA2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D54AC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9D60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A14E4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DC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98E0C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406-3</w:t>
            </w:r>
          </w:p>
        </w:tc>
        <w:tc>
          <w:tcPr>
            <w:tcW w:w="4732" w:type="dxa"/>
            <w:noWrap w:val="0"/>
            <w:vAlign w:val="center"/>
          </w:tcPr>
          <w:p w14:paraId="42284FD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试桩（暂定工程量）</w:t>
            </w:r>
          </w:p>
        </w:tc>
        <w:tc>
          <w:tcPr>
            <w:tcW w:w="749" w:type="dxa"/>
            <w:noWrap w:val="0"/>
            <w:vAlign w:val="center"/>
          </w:tcPr>
          <w:p w14:paraId="1533FE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D11B6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80A3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6665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E4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AFAED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407</w:t>
            </w:r>
          </w:p>
        </w:tc>
        <w:tc>
          <w:tcPr>
            <w:tcW w:w="4732" w:type="dxa"/>
            <w:noWrap w:val="0"/>
            <w:vAlign w:val="center"/>
          </w:tcPr>
          <w:p w14:paraId="6574BF4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挖孔灌注桩</w:t>
            </w:r>
          </w:p>
        </w:tc>
        <w:tc>
          <w:tcPr>
            <w:tcW w:w="749" w:type="dxa"/>
            <w:noWrap w:val="0"/>
            <w:vAlign w:val="top"/>
          </w:tcPr>
          <w:p w14:paraId="682AB49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B4781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DB66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8EF2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19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741A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407-1</w:t>
            </w:r>
          </w:p>
        </w:tc>
        <w:tc>
          <w:tcPr>
            <w:tcW w:w="4732" w:type="dxa"/>
            <w:noWrap w:val="0"/>
            <w:vAlign w:val="center"/>
          </w:tcPr>
          <w:p w14:paraId="106826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挖孔灌注桩</w:t>
            </w:r>
          </w:p>
        </w:tc>
        <w:tc>
          <w:tcPr>
            <w:tcW w:w="749" w:type="dxa"/>
            <w:noWrap w:val="0"/>
            <w:vAlign w:val="center"/>
          </w:tcPr>
          <w:p w14:paraId="0B5A48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A1422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1A09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BCE6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77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64DB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407-2</w:t>
            </w:r>
          </w:p>
        </w:tc>
        <w:tc>
          <w:tcPr>
            <w:tcW w:w="4732" w:type="dxa"/>
            <w:noWrap w:val="0"/>
            <w:vAlign w:val="center"/>
          </w:tcPr>
          <w:p w14:paraId="626B117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钻取混凝土芯样检测（暂定工程量）</w:t>
            </w:r>
          </w:p>
        </w:tc>
        <w:tc>
          <w:tcPr>
            <w:tcW w:w="749" w:type="dxa"/>
            <w:noWrap w:val="0"/>
            <w:vAlign w:val="center"/>
          </w:tcPr>
          <w:p w14:paraId="4504FF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7A043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61E6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7E302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F8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DB63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407-3</w:t>
            </w:r>
          </w:p>
        </w:tc>
        <w:tc>
          <w:tcPr>
            <w:tcW w:w="4732" w:type="dxa"/>
            <w:noWrap w:val="0"/>
            <w:vAlign w:val="center"/>
          </w:tcPr>
          <w:p w14:paraId="65BB044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破坏荷载试验用桩（暂定工程量）</w:t>
            </w:r>
          </w:p>
        </w:tc>
        <w:tc>
          <w:tcPr>
            <w:tcW w:w="749" w:type="dxa"/>
            <w:noWrap w:val="0"/>
            <w:vAlign w:val="center"/>
          </w:tcPr>
          <w:p w14:paraId="7704DF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F0197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BD1E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5A4E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52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E2D4B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408</w:t>
            </w:r>
          </w:p>
        </w:tc>
        <w:tc>
          <w:tcPr>
            <w:tcW w:w="4732" w:type="dxa"/>
            <w:noWrap w:val="0"/>
            <w:vAlign w:val="center"/>
          </w:tcPr>
          <w:p w14:paraId="34A4018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桩的垂直静荷载试验</w:t>
            </w:r>
          </w:p>
        </w:tc>
        <w:tc>
          <w:tcPr>
            <w:tcW w:w="749" w:type="dxa"/>
            <w:noWrap w:val="0"/>
            <w:vAlign w:val="top"/>
          </w:tcPr>
          <w:p w14:paraId="783E483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12A8F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EC5C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0BB6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F3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45A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408-1</w:t>
            </w:r>
          </w:p>
        </w:tc>
        <w:tc>
          <w:tcPr>
            <w:tcW w:w="4732" w:type="dxa"/>
            <w:noWrap w:val="0"/>
            <w:vAlign w:val="center"/>
          </w:tcPr>
          <w:p w14:paraId="6F8094C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桩的检验荷载试验</w:t>
            </w:r>
            <w:r>
              <w:rPr>
                <w:rFonts w:hint="default" w:ascii="Times New Roman" w:hAnsi="Times New Roman" w:cs="Times New Roman"/>
                <w:color w:val="auto"/>
                <w:kern w:val="0"/>
                <w:szCs w:val="21"/>
                <w:highlight w:val="none"/>
              </w:rPr>
              <w:t>（暂定工程量）</w:t>
            </w:r>
          </w:p>
        </w:tc>
        <w:tc>
          <w:tcPr>
            <w:tcW w:w="749" w:type="dxa"/>
            <w:noWrap w:val="0"/>
            <w:vAlign w:val="center"/>
          </w:tcPr>
          <w:p w14:paraId="0CE863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每一试桩</w:t>
            </w:r>
          </w:p>
        </w:tc>
        <w:tc>
          <w:tcPr>
            <w:tcW w:w="837" w:type="dxa"/>
            <w:noWrap w:val="0"/>
            <w:vAlign w:val="center"/>
          </w:tcPr>
          <w:p w14:paraId="3D969F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5A15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EE084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04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E900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408-2</w:t>
            </w:r>
          </w:p>
        </w:tc>
        <w:tc>
          <w:tcPr>
            <w:tcW w:w="4732" w:type="dxa"/>
            <w:noWrap w:val="0"/>
            <w:vAlign w:val="center"/>
          </w:tcPr>
          <w:p w14:paraId="1C5EDBA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桩的破坏荷载试验</w:t>
            </w:r>
            <w:r>
              <w:rPr>
                <w:rFonts w:hint="default" w:ascii="Times New Roman" w:hAnsi="Times New Roman" w:cs="Times New Roman"/>
                <w:color w:val="auto"/>
                <w:kern w:val="0"/>
                <w:szCs w:val="21"/>
                <w:highlight w:val="none"/>
              </w:rPr>
              <w:t>（暂定工程量）</w:t>
            </w:r>
          </w:p>
        </w:tc>
        <w:tc>
          <w:tcPr>
            <w:tcW w:w="749" w:type="dxa"/>
            <w:noWrap w:val="0"/>
            <w:vAlign w:val="center"/>
          </w:tcPr>
          <w:p w14:paraId="6987F1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每一试桩</w:t>
            </w:r>
          </w:p>
        </w:tc>
        <w:tc>
          <w:tcPr>
            <w:tcW w:w="837" w:type="dxa"/>
            <w:noWrap w:val="0"/>
            <w:vAlign w:val="center"/>
          </w:tcPr>
          <w:p w14:paraId="0A3090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58F4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CD7B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C2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BB7C2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409</w:t>
            </w:r>
          </w:p>
        </w:tc>
        <w:tc>
          <w:tcPr>
            <w:tcW w:w="4732" w:type="dxa"/>
            <w:noWrap w:val="0"/>
            <w:vAlign w:val="center"/>
          </w:tcPr>
          <w:p w14:paraId="071DED5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沉井</w:t>
            </w:r>
          </w:p>
        </w:tc>
        <w:tc>
          <w:tcPr>
            <w:tcW w:w="749" w:type="dxa"/>
            <w:noWrap w:val="0"/>
            <w:vAlign w:val="top"/>
          </w:tcPr>
          <w:p w14:paraId="5307A53A">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C5D78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A247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5B9A0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79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339F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409-1</w:t>
            </w:r>
          </w:p>
        </w:tc>
        <w:tc>
          <w:tcPr>
            <w:tcW w:w="4732" w:type="dxa"/>
            <w:noWrap w:val="0"/>
            <w:vAlign w:val="center"/>
          </w:tcPr>
          <w:p w14:paraId="4D049F3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钢筋混凝土沉井</w:t>
            </w:r>
          </w:p>
        </w:tc>
        <w:tc>
          <w:tcPr>
            <w:tcW w:w="749" w:type="dxa"/>
            <w:noWrap w:val="0"/>
            <w:vAlign w:val="center"/>
          </w:tcPr>
          <w:p w14:paraId="6A5284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A5E9D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4E06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9266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6F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BF6D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338B27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井壁混凝土</w:t>
            </w:r>
          </w:p>
        </w:tc>
        <w:tc>
          <w:tcPr>
            <w:tcW w:w="749" w:type="dxa"/>
            <w:noWrap w:val="0"/>
            <w:vAlign w:val="center"/>
          </w:tcPr>
          <w:p w14:paraId="1D0525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0A185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3ACE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5880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49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DBCEC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8C4B04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封底混凝土</w:t>
            </w:r>
          </w:p>
        </w:tc>
        <w:tc>
          <w:tcPr>
            <w:tcW w:w="749" w:type="dxa"/>
            <w:noWrap w:val="0"/>
            <w:vAlign w:val="center"/>
          </w:tcPr>
          <w:p w14:paraId="55CF51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660BF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5769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D34F4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2C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796E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033FFA4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填芯混凝土</w:t>
            </w:r>
          </w:p>
        </w:tc>
        <w:tc>
          <w:tcPr>
            <w:tcW w:w="749" w:type="dxa"/>
            <w:noWrap w:val="0"/>
            <w:vAlign w:val="center"/>
          </w:tcPr>
          <w:p w14:paraId="566868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5710F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C04A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AA41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78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9617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80D1E1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顶板混凝土</w:t>
            </w:r>
          </w:p>
        </w:tc>
        <w:tc>
          <w:tcPr>
            <w:tcW w:w="749" w:type="dxa"/>
            <w:noWrap w:val="0"/>
            <w:vAlign w:val="center"/>
          </w:tcPr>
          <w:p w14:paraId="46CECED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44E8D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FE9C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AAEB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4F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15C49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410</w:t>
            </w:r>
          </w:p>
        </w:tc>
        <w:tc>
          <w:tcPr>
            <w:tcW w:w="4732" w:type="dxa"/>
            <w:noWrap w:val="0"/>
            <w:vAlign w:val="center"/>
          </w:tcPr>
          <w:p w14:paraId="1941C96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结构混凝土工程</w:t>
            </w:r>
          </w:p>
        </w:tc>
        <w:tc>
          <w:tcPr>
            <w:tcW w:w="749" w:type="dxa"/>
            <w:noWrap w:val="0"/>
            <w:vAlign w:val="center"/>
          </w:tcPr>
          <w:p w14:paraId="4382279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D89B4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04E5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214C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B4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DF7D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410-1</w:t>
            </w:r>
          </w:p>
        </w:tc>
        <w:tc>
          <w:tcPr>
            <w:tcW w:w="4732" w:type="dxa"/>
            <w:noWrap w:val="0"/>
            <w:vAlign w:val="center"/>
          </w:tcPr>
          <w:p w14:paraId="3EA2698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混凝土基础（包括支撑梁、桩基承台、桩系梁，但不包括桩基）</w:t>
            </w:r>
          </w:p>
        </w:tc>
        <w:tc>
          <w:tcPr>
            <w:tcW w:w="749" w:type="dxa"/>
            <w:noWrap w:val="0"/>
            <w:vAlign w:val="center"/>
          </w:tcPr>
          <w:p w14:paraId="4CA253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0"/>
                <w:szCs w:val="20"/>
                <w:highlight w:val="none"/>
              </w:rPr>
              <w:t>m³</w:t>
            </w:r>
          </w:p>
        </w:tc>
        <w:tc>
          <w:tcPr>
            <w:tcW w:w="837" w:type="dxa"/>
            <w:noWrap w:val="0"/>
            <w:vAlign w:val="center"/>
          </w:tcPr>
          <w:p w14:paraId="333DFE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9B73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DC9C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59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1561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410-2</w:t>
            </w:r>
          </w:p>
        </w:tc>
        <w:tc>
          <w:tcPr>
            <w:tcW w:w="4732" w:type="dxa"/>
            <w:noWrap w:val="0"/>
            <w:vAlign w:val="center"/>
          </w:tcPr>
          <w:p w14:paraId="5DDE630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混凝土下部结构</w:t>
            </w:r>
          </w:p>
        </w:tc>
        <w:tc>
          <w:tcPr>
            <w:tcW w:w="749" w:type="dxa"/>
            <w:noWrap w:val="0"/>
            <w:vAlign w:val="center"/>
          </w:tcPr>
          <w:p w14:paraId="721BBF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C3470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2B2C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BB58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70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F279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89983E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桥台混凝土</w:t>
            </w:r>
          </w:p>
        </w:tc>
        <w:tc>
          <w:tcPr>
            <w:tcW w:w="749" w:type="dxa"/>
            <w:noWrap w:val="0"/>
            <w:vAlign w:val="center"/>
          </w:tcPr>
          <w:p w14:paraId="79E124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78A26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9467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4800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CC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B52A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2C2B3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桥墩混凝土</w:t>
            </w:r>
          </w:p>
        </w:tc>
        <w:tc>
          <w:tcPr>
            <w:tcW w:w="749" w:type="dxa"/>
            <w:noWrap w:val="0"/>
            <w:vAlign w:val="center"/>
          </w:tcPr>
          <w:p w14:paraId="61EC003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E0219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66FF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DF87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D5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75D5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C34BDD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盖梁混凝土</w:t>
            </w:r>
          </w:p>
        </w:tc>
        <w:tc>
          <w:tcPr>
            <w:tcW w:w="749" w:type="dxa"/>
            <w:noWrap w:val="0"/>
            <w:vAlign w:val="center"/>
          </w:tcPr>
          <w:p w14:paraId="0A9309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235CC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F5A3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33E3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8A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6557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00833D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台帽混凝土</w:t>
            </w:r>
          </w:p>
        </w:tc>
        <w:tc>
          <w:tcPr>
            <w:tcW w:w="749" w:type="dxa"/>
            <w:noWrap w:val="0"/>
            <w:vAlign w:val="center"/>
          </w:tcPr>
          <w:p w14:paraId="4847397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3E4E3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3873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CDD9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BC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1C781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410-3</w:t>
            </w:r>
          </w:p>
        </w:tc>
        <w:tc>
          <w:tcPr>
            <w:tcW w:w="4732" w:type="dxa"/>
            <w:noWrap w:val="0"/>
            <w:vAlign w:val="center"/>
          </w:tcPr>
          <w:p w14:paraId="0FE4F3A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现浇混凝土上部结构</w:t>
            </w:r>
          </w:p>
        </w:tc>
        <w:tc>
          <w:tcPr>
            <w:tcW w:w="749" w:type="dxa"/>
            <w:noWrap w:val="0"/>
            <w:vAlign w:val="center"/>
          </w:tcPr>
          <w:p w14:paraId="55A3A9C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83158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F3EA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4189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18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6169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410-4</w:t>
            </w:r>
          </w:p>
        </w:tc>
        <w:tc>
          <w:tcPr>
            <w:tcW w:w="4732" w:type="dxa"/>
            <w:noWrap w:val="0"/>
            <w:vAlign w:val="center"/>
          </w:tcPr>
          <w:p w14:paraId="5F8F4FC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预制混凝土上部结构</w:t>
            </w:r>
          </w:p>
        </w:tc>
        <w:tc>
          <w:tcPr>
            <w:tcW w:w="749" w:type="dxa"/>
            <w:noWrap w:val="0"/>
            <w:vAlign w:val="center"/>
          </w:tcPr>
          <w:p w14:paraId="581A07E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8600C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F918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5004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F4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162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410-5</w:t>
            </w:r>
          </w:p>
        </w:tc>
        <w:tc>
          <w:tcPr>
            <w:tcW w:w="4732" w:type="dxa"/>
            <w:noWrap w:val="0"/>
            <w:vAlign w:val="center"/>
          </w:tcPr>
          <w:p w14:paraId="1A90E73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桥梁上部结构现浇整体化混凝土</w:t>
            </w:r>
          </w:p>
        </w:tc>
        <w:tc>
          <w:tcPr>
            <w:tcW w:w="749" w:type="dxa"/>
            <w:noWrap w:val="0"/>
            <w:vAlign w:val="center"/>
          </w:tcPr>
          <w:p w14:paraId="26C73C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　</w:t>
            </w:r>
          </w:p>
        </w:tc>
        <w:tc>
          <w:tcPr>
            <w:tcW w:w="837" w:type="dxa"/>
            <w:noWrap w:val="0"/>
            <w:vAlign w:val="center"/>
          </w:tcPr>
          <w:p w14:paraId="4CD205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E8E2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3BB3B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93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F1687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410-6</w:t>
            </w:r>
          </w:p>
        </w:tc>
        <w:tc>
          <w:tcPr>
            <w:tcW w:w="4732" w:type="dxa"/>
            <w:noWrap w:val="0"/>
            <w:vAlign w:val="center"/>
          </w:tcPr>
          <w:p w14:paraId="3A2706F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现浇混凝土附属结构</w:t>
            </w:r>
          </w:p>
        </w:tc>
        <w:tc>
          <w:tcPr>
            <w:tcW w:w="749" w:type="dxa"/>
            <w:noWrap w:val="0"/>
            <w:vAlign w:val="center"/>
          </w:tcPr>
          <w:p w14:paraId="577D44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2CCD5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9006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F314F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B4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0980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410-7</w:t>
            </w:r>
          </w:p>
        </w:tc>
        <w:tc>
          <w:tcPr>
            <w:tcW w:w="4732" w:type="dxa"/>
            <w:noWrap w:val="0"/>
            <w:vAlign w:val="center"/>
          </w:tcPr>
          <w:p w14:paraId="2B1D389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预制混凝土附属结构</w:t>
            </w:r>
          </w:p>
        </w:tc>
        <w:tc>
          <w:tcPr>
            <w:tcW w:w="749" w:type="dxa"/>
            <w:noWrap w:val="0"/>
            <w:vAlign w:val="center"/>
          </w:tcPr>
          <w:p w14:paraId="3D00E1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2E9E4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5352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A41C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94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62AC1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411</w:t>
            </w:r>
          </w:p>
        </w:tc>
        <w:tc>
          <w:tcPr>
            <w:tcW w:w="4732" w:type="dxa"/>
            <w:noWrap w:val="0"/>
            <w:vAlign w:val="center"/>
          </w:tcPr>
          <w:p w14:paraId="5D96D49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预应力混凝土工程</w:t>
            </w:r>
          </w:p>
        </w:tc>
        <w:tc>
          <w:tcPr>
            <w:tcW w:w="749" w:type="dxa"/>
            <w:noWrap w:val="0"/>
            <w:vAlign w:val="top"/>
          </w:tcPr>
          <w:p w14:paraId="1694AED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77E05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7175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F35D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A1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1C1C2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411-1</w:t>
            </w:r>
          </w:p>
        </w:tc>
        <w:tc>
          <w:tcPr>
            <w:tcW w:w="4732" w:type="dxa"/>
            <w:noWrap w:val="0"/>
            <w:vAlign w:val="center"/>
          </w:tcPr>
          <w:p w14:paraId="4C9FEEF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钢丝</w:t>
            </w:r>
          </w:p>
        </w:tc>
        <w:tc>
          <w:tcPr>
            <w:tcW w:w="749" w:type="dxa"/>
            <w:noWrap w:val="0"/>
            <w:vAlign w:val="center"/>
          </w:tcPr>
          <w:p w14:paraId="2CD576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3C36E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2A61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F04D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4A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C4C5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411-2</w:t>
            </w:r>
          </w:p>
        </w:tc>
        <w:tc>
          <w:tcPr>
            <w:tcW w:w="4732" w:type="dxa"/>
            <w:noWrap w:val="0"/>
            <w:vAlign w:val="center"/>
          </w:tcPr>
          <w:p w14:paraId="54AD880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钢绞线</w:t>
            </w:r>
          </w:p>
        </w:tc>
        <w:tc>
          <w:tcPr>
            <w:tcW w:w="749" w:type="dxa"/>
            <w:noWrap w:val="0"/>
            <w:vAlign w:val="center"/>
          </w:tcPr>
          <w:p w14:paraId="45DE70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F1AE9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7C82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0695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9F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7A8DC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411-3</w:t>
            </w:r>
          </w:p>
        </w:tc>
        <w:tc>
          <w:tcPr>
            <w:tcW w:w="4732" w:type="dxa"/>
            <w:noWrap w:val="0"/>
            <w:vAlign w:val="center"/>
          </w:tcPr>
          <w:p w14:paraId="4B3A3E0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钢筋</w:t>
            </w:r>
          </w:p>
        </w:tc>
        <w:tc>
          <w:tcPr>
            <w:tcW w:w="749" w:type="dxa"/>
            <w:noWrap w:val="0"/>
            <w:vAlign w:val="center"/>
          </w:tcPr>
          <w:p w14:paraId="5BC226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2D8D3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551F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EE01C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1F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3EC1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411-4</w:t>
            </w:r>
          </w:p>
        </w:tc>
        <w:tc>
          <w:tcPr>
            <w:tcW w:w="4732" w:type="dxa"/>
            <w:noWrap w:val="0"/>
            <w:vAlign w:val="center"/>
          </w:tcPr>
          <w:p w14:paraId="0B29A6E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钢丝</w:t>
            </w:r>
          </w:p>
        </w:tc>
        <w:tc>
          <w:tcPr>
            <w:tcW w:w="749" w:type="dxa"/>
            <w:noWrap w:val="0"/>
            <w:vAlign w:val="center"/>
          </w:tcPr>
          <w:p w14:paraId="7D1922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46A35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AB28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79C7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FB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BEAD9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411-5</w:t>
            </w:r>
          </w:p>
        </w:tc>
        <w:tc>
          <w:tcPr>
            <w:tcW w:w="4732" w:type="dxa"/>
            <w:noWrap w:val="0"/>
            <w:vAlign w:val="center"/>
          </w:tcPr>
          <w:p w14:paraId="77BF8BE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钢绞线</w:t>
            </w:r>
          </w:p>
        </w:tc>
        <w:tc>
          <w:tcPr>
            <w:tcW w:w="749" w:type="dxa"/>
            <w:noWrap w:val="0"/>
            <w:vAlign w:val="center"/>
          </w:tcPr>
          <w:p w14:paraId="105955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68AC3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2468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04C9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A6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AFAD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411-6</w:t>
            </w:r>
          </w:p>
        </w:tc>
        <w:tc>
          <w:tcPr>
            <w:tcW w:w="4732" w:type="dxa"/>
            <w:noWrap w:val="0"/>
            <w:vAlign w:val="center"/>
          </w:tcPr>
          <w:p w14:paraId="1B741BB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钢筋</w:t>
            </w:r>
          </w:p>
        </w:tc>
        <w:tc>
          <w:tcPr>
            <w:tcW w:w="749" w:type="dxa"/>
            <w:noWrap w:val="0"/>
            <w:vAlign w:val="center"/>
          </w:tcPr>
          <w:p w14:paraId="71BB5A3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0A247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5112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C42D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21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2895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411-7</w:t>
            </w:r>
          </w:p>
        </w:tc>
        <w:tc>
          <w:tcPr>
            <w:tcW w:w="4732" w:type="dxa"/>
            <w:noWrap w:val="0"/>
            <w:vAlign w:val="center"/>
          </w:tcPr>
          <w:p w14:paraId="7354273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现浇预应力混凝土上部结构</w:t>
            </w:r>
          </w:p>
        </w:tc>
        <w:tc>
          <w:tcPr>
            <w:tcW w:w="749" w:type="dxa"/>
            <w:noWrap w:val="0"/>
            <w:vAlign w:val="center"/>
          </w:tcPr>
          <w:p w14:paraId="49E880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4DE15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82A5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341C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C0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5A8C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411-8</w:t>
            </w:r>
          </w:p>
        </w:tc>
        <w:tc>
          <w:tcPr>
            <w:tcW w:w="4732" w:type="dxa"/>
            <w:noWrap w:val="0"/>
            <w:vAlign w:val="center"/>
          </w:tcPr>
          <w:p w14:paraId="619090A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预制预应力混凝土上部结构</w:t>
            </w:r>
          </w:p>
        </w:tc>
        <w:tc>
          <w:tcPr>
            <w:tcW w:w="749" w:type="dxa"/>
            <w:noWrap w:val="0"/>
            <w:vAlign w:val="center"/>
          </w:tcPr>
          <w:p w14:paraId="00B658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831A0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8860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A4BF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0E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54770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413</w:t>
            </w:r>
          </w:p>
        </w:tc>
        <w:tc>
          <w:tcPr>
            <w:tcW w:w="4732" w:type="dxa"/>
            <w:noWrap w:val="0"/>
            <w:vAlign w:val="center"/>
          </w:tcPr>
          <w:p w14:paraId="624C040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砌石工程</w:t>
            </w:r>
          </w:p>
        </w:tc>
        <w:tc>
          <w:tcPr>
            <w:tcW w:w="749" w:type="dxa"/>
            <w:noWrap w:val="0"/>
            <w:vAlign w:val="top"/>
          </w:tcPr>
          <w:p w14:paraId="6A19B1C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E3F2B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7E5C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49A9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D1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C5804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413-1</w:t>
            </w:r>
          </w:p>
        </w:tc>
        <w:tc>
          <w:tcPr>
            <w:tcW w:w="4732" w:type="dxa"/>
            <w:noWrap w:val="0"/>
            <w:vAlign w:val="center"/>
          </w:tcPr>
          <w:p w14:paraId="3D116A3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top"/>
          </w:tcPr>
          <w:p w14:paraId="1868577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E9B22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440B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821E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F8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F7AC7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65DEE5D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2F8B925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C3EC3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BC35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8D8E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DC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2FC23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413-2</w:t>
            </w:r>
          </w:p>
        </w:tc>
        <w:tc>
          <w:tcPr>
            <w:tcW w:w="4732" w:type="dxa"/>
            <w:noWrap w:val="0"/>
            <w:vAlign w:val="center"/>
          </w:tcPr>
          <w:p w14:paraId="7E23809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浆砌块石</w:t>
            </w:r>
          </w:p>
        </w:tc>
        <w:tc>
          <w:tcPr>
            <w:tcW w:w="749" w:type="dxa"/>
            <w:noWrap w:val="0"/>
            <w:vAlign w:val="top"/>
          </w:tcPr>
          <w:p w14:paraId="7225700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2703C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FE49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684F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53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BBB1DC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3BCABEA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7A869FB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63FFB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4223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0309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3C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8B5A3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413-3</w:t>
            </w:r>
          </w:p>
        </w:tc>
        <w:tc>
          <w:tcPr>
            <w:tcW w:w="4732" w:type="dxa"/>
            <w:noWrap w:val="0"/>
            <w:vAlign w:val="center"/>
          </w:tcPr>
          <w:p w14:paraId="05880CD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浆砌料石</w:t>
            </w:r>
          </w:p>
        </w:tc>
        <w:tc>
          <w:tcPr>
            <w:tcW w:w="749" w:type="dxa"/>
            <w:noWrap w:val="0"/>
            <w:vAlign w:val="top"/>
          </w:tcPr>
          <w:p w14:paraId="2629DDB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56E07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43A5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6B81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5C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6DB53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11D1902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17CA128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2A049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BD6A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F5B7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7F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80606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413-4</w:t>
            </w:r>
          </w:p>
        </w:tc>
        <w:tc>
          <w:tcPr>
            <w:tcW w:w="4732" w:type="dxa"/>
            <w:noWrap w:val="0"/>
            <w:vAlign w:val="center"/>
          </w:tcPr>
          <w:p w14:paraId="433CD27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浆砌预制混凝土块</w:t>
            </w:r>
          </w:p>
        </w:tc>
        <w:tc>
          <w:tcPr>
            <w:tcW w:w="749" w:type="dxa"/>
            <w:noWrap w:val="0"/>
            <w:vAlign w:val="top"/>
          </w:tcPr>
          <w:p w14:paraId="7DC6178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1EAF0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5B14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2DDC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82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2AC13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2691CF4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74B544C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71A5C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37C2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8B6F7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59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2068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w:t>
            </w:r>
          </w:p>
        </w:tc>
        <w:tc>
          <w:tcPr>
            <w:tcW w:w="4732" w:type="dxa"/>
            <w:noWrap w:val="0"/>
            <w:vAlign w:val="center"/>
          </w:tcPr>
          <w:p w14:paraId="16AF3DF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桥面铺装</w:t>
            </w:r>
          </w:p>
        </w:tc>
        <w:tc>
          <w:tcPr>
            <w:tcW w:w="749" w:type="dxa"/>
            <w:noWrap w:val="0"/>
            <w:vAlign w:val="top"/>
          </w:tcPr>
          <w:p w14:paraId="17E6CD8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0256C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A22B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3AB2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70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806F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415-1</w:t>
            </w:r>
          </w:p>
        </w:tc>
        <w:tc>
          <w:tcPr>
            <w:tcW w:w="4732" w:type="dxa"/>
            <w:noWrap w:val="0"/>
            <w:vAlign w:val="center"/>
          </w:tcPr>
          <w:p w14:paraId="19F93BA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沥青混凝土桥面铺装</w:t>
            </w:r>
          </w:p>
        </w:tc>
        <w:tc>
          <w:tcPr>
            <w:tcW w:w="749" w:type="dxa"/>
            <w:noWrap w:val="0"/>
            <w:vAlign w:val="center"/>
          </w:tcPr>
          <w:p w14:paraId="6653B9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3879A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501C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6A7A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E9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02C9E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415-2</w:t>
            </w:r>
          </w:p>
        </w:tc>
        <w:tc>
          <w:tcPr>
            <w:tcW w:w="4732" w:type="dxa"/>
            <w:noWrap w:val="0"/>
            <w:vAlign w:val="center"/>
          </w:tcPr>
          <w:p w14:paraId="6BAB524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水泥混凝土桥面铺装</w:t>
            </w:r>
          </w:p>
        </w:tc>
        <w:tc>
          <w:tcPr>
            <w:tcW w:w="749" w:type="dxa"/>
            <w:noWrap w:val="0"/>
            <w:vAlign w:val="center"/>
          </w:tcPr>
          <w:p w14:paraId="250A9C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F4466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7B72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048E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09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FF31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415-3</w:t>
            </w:r>
          </w:p>
        </w:tc>
        <w:tc>
          <w:tcPr>
            <w:tcW w:w="4732" w:type="dxa"/>
            <w:noWrap w:val="0"/>
            <w:vAlign w:val="center"/>
          </w:tcPr>
          <w:p w14:paraId="633373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防水层</w:t>
            </w:r>
          </w:p>
        </w:tc>
        <w:tc>
          <w:tcPr>
            <w:tcW w:w="749" w:type="dxa"/>
            <w:noWrap w:val="0"/>
            <w:vAlign w:val="center"/>
          </w:tcPr>
          <w:p w14:paraId="0322B9D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35517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44B1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4A9B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5D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4488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A1C979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桥面混凝土表面处理</w:t>
            </w:r>
          </w:p>
        </w:tc>
        <w:tc>
          <w:tcPr>
            <w:tcW w:w="749" w:type="dxa"/>
            <w:noWrap w:val="0"/>
            <w:vAlign w:val="center"/>
          </w:tcPr>
          <w:p w14:paraId="151574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56FD4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01F9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5DE6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6C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6E80D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148DDA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铺设防水层</w:t>
            </w:r>
          </w:p>
        </w:tc>
        <w:tc>
          <w:tcPr>
            <w:tcW w:w="749" w:type="dxa"/>
            <w:noWrap w:val="0"/>
            <w:vAlign w:val="center"/>
          </w:tcPr>
          <w:p w14:paraId="1D7BE0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4D5348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4593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8D31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0F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D026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415-4</w:t>
            </w:r>
          </w:p>
        </w:tc>
        <w:tc>
          <w:tcPr>
            <w:tcW w:w="4732" w:type="dxa"/>
            <w:noWrap w:val="0"/>
            <w:vAlign w:val="center"/>
          </w:tcPr>
          <w:p w14:paraId="1883AAC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桥面排水</w:t>
            </w:r>
          </w:p>
        </w:tc>
        <w:tc>
          <w:tcPr>
            <w:tcW w:w="749" w:type="dxa"/>
            <w:noWrap w:val="0"/>
            <w:vAlign w:val="center"/>
          </w:tcPr>
          <w:p w14:paraId="3946551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00FFB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1753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36EC7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70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8349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B94DA7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竖、横向集中排水管</w:t>
            </w:r>
          </w:p>
        </w:tc>
        <w:tc>
          <w:tcPr>
            <w:tcW w:w="749" w:type="dxa"/>
            <w:noWrap w:val="0"/>
            <w:vAlign w:val="center"/>
          </w:tcPr>
          <w:p w14:paraId="6E4C24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15C46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A458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B614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A9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55D6A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-a-1</w:t>
            </w:r>
          </w:p>
        </w:tc>
        <w:tc>
          <w:tcPr>
            <w:tcW w:w="4732" w:type="dxa"/>
            <w:noWrap w:val="0"/>
            <w:vAlign w:val="center"/>
          </w:tcPr>
          <w:p w14:paraId="6F4942B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铸铁管</w:t>
            </w:r>
          </w:p>
        </w:tc>
        <w:tc>
          <w:tcPr>
            <w:tcW w:w="749" w:type="dxa"/>
            <w:noWrap w:val="0"/>
            <w:vAlign w:val="top"/>
          </w:tcPr>
          <w:p w14:paraId="2DB54CD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62CF2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29E1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C9B5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DC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856A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-a-2</w:t>
            </w:r>
          </w:p>
        </w:tc>
        <w:tc>
          <w:tcPr>
            <w:tcW w:w="4732" w:type="dxa"/>
            <w:noWrap w:val="0"/>
            <w:vAlign w:val="center"/>
          </w:tcPr>
          <w:p w14:paraId="15449B0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钢管</w:t>
            </w:r>
          </w:p>
        </w:tc>
        <w:tc>
          <w:tcPr>
            <w:tcW w:w="749" w:type="dxa"/>
            <w:noWrap w:val="0"/>
            <w:vAlign w:val="center"/>
          </w:tcPr>
          <w:p w14:paraId="441004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10834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A78B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9EFD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5F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54CB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732" w:type="dxa"/>
            <w:noWrap w:val="0"/>
            <w:vAlign w:val="center"/>
          </w:tcPr>
          <w:p w14:paraId="123491B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PVC管</w:t>
            </w:r>
          </w:p>
        </w:tc>
        <w:tc>
          <w:tcPr>
            <w:tcW w:w="749" w:type="dxa"/>
            <w:noWrap w:val="0"/>
            <w:vAlign w:val="center"/>
          </w:tcPr>
          <w:p w14:paraId="4F682AB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85C5A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74DB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5DBD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A5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1E6F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2A9853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桥面边部碎石盲沟</w:t>
            </w:r>
          </w:p>
        </w:tc>
        <w:tc>
          <w:tcPr>
            <w:tcW w:w="749" w:type="dxa"/>
            <w:noWrap w:val="0"/>
            <w:vAlign w:val="center"/>
          </w:tcPr>
          <w:p w14:paraId="778DC58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FC79E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5A75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5FEE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45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8981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w:t>
            </w:r>
          </w:p>
        </w:tc>
        <w:tc>
          <w:tcPr>
            <w:tcW w:w="4732" w:type="dxa"/>
            <w:noWrap w:val="0"/>
            <w:vAlign w:val="center"/>
          </w:tcPr>
          <w:p w14:paraId="6F94CD4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桥梁支座</w:t>
            </w:r>
          </w:p>
        </w:tc>
        <w:tc>
          <w:tcPr>
            <w:tcW w:w="749" w:type="dxa"/>
            <w:noWrap w:val="0"/>
            <w:vAlign w:val="top"/>
          </w:tcPr>
          <w:p w14:paraId="6BB6A0A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EB0B6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A2A9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A515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60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42A1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416-1</w:t>
            </w:r>
          </w:p>
        </w:tc>
        <w:tc>
          <w:tcPr>
            <w:tcW w:w="4732" w:type="dxa"/>
            <w:noWrap w:val="0"/>
            <w:vAlign w:val="center"/>
          </w:tcPr>
          <w:p w14:paraId="103F55E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板式橡胶支座</w:t>
            </w:r>
          </w:p>
        </w:tc>
        <w:tc>
          <w:tcPr>
            <w:tcW w:w="749" w:type="dxa"/>
            <w:noWrap w:val="0"/>
            <w:vAlign w:val="center"/>
          </w:tcPr>
          <w:p w14:paraId="4F4EBA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dm³</w:t>
            </w:r>
          </w:p>
        </w:tc>
        <w:tc>
          <w:tcPr>
            <w:tcW w:w="837" w:type="dxa"/>
            <w:noWrap w:val="0"/>
            <w:vAlign w:val="center"/>
          </w:tcPr>
          <w:p w14:paraId="411B10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C6AC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4009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1A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C034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416-2</w:t>
            </w:r>
          </w:p>
        </w:tc>
        <w:tc>
          <w:tcPr>
            <w:tcW w:w="4732" w:type="dxa"/>
            <w:noWrap w:val="0"/>
            <w:vAlign w:val="center"/>
          </w:tcPr>
          <w:p w14:paraId="6BE561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盆式支座</w:t>
            </w:r>
          </w:p>
        </w:tc>
        <w:tc>
          <w:tcPr>
            <w:tcW w:w="749" w:type="dxa"/>
            <w:noWrap w:val="0"/>
            <w:vAlign w:val="center"/>
          </w:tcPr>
          <w:p w14:paraId="7D5641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8A007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1306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94CD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57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5EEC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416-3</w:t>
            </w:r>
          </w:p>
        </w:tc>
        <w:tc>
          <w:tcPr>
            <w:tcW w:w="4732" w:type="dxa"/>
            <w:noWrap w:val="0"/>
            <w:vAlign w:val="center"/>
          </w:tcPr>
          <w:p w14:paraId="18D5989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隔震橡胶支座</w:t>
            </w:r>
          </w:p>
        </w:tc>
        <w:tc>
          <w:tcPr>
            <w:tcW w:w="749" w:type="dxa"/>
            <w:noWrap w:val="0"/>
            <w:vAlign w:val="center"/>
          </w:tcPr>
          <w:p w14:paraId="7DB265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FB628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4F11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CCC6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3E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B293B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416-4</w:t>
            </w:r>
          </w:p>
        </w:tc>
        <w:tc>
          <w:tcPr>
            <w:tcW w:w="4732" w:type="dxa"/>
            <w:noWrap w:val="0"/>
            <w:vAlign w:val="center"/>
          </w:tcPr>
          <w:p w14:paraId="46152D1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球形支座</w:t>
            </w:r>
          </w:p>
        </w:tc>
        <w:tc>
          <w:tcPr>
            <w:tcW w:w="749" w:type="dxa"/>
            <w:noWrap w:val="0"/>
            <w:vAlign w:val="center"/>
          </w:tcPr>
          <w:p w14:paraId="38356A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0600A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2C4D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435E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FE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3414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w:t>
            </w:r>
          </w:p>
        </w:tc>
        <w:tc>
          <w:tcPr>
            <w:tcW w:w="4732" w:type="dxa"/>
            <w:noWrap w:val="0"/>
            <w:vAlign w:val="center"/>
          </w:tcPr>
          <w:p w14:paraId="0524664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桥梁接缝和伸缩装置</w:t>
            </w:r>
          </w:p>
        </w:tc>
        <w:tc>
          <w:tcPr>
            <w:tcW w:w="749" w:type="dxa"/>
            <w:noWrap w:val="0"/>
            <w:vAlign w:val="top"/>
          </w:tcPr>
          <w:p w14:paraId="1A11B1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35DA3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8BDB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2610B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9B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A273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417-1</w:t>
            </w:r>
          </w:p>
        </w:tc>
        <w:tc>
          <w:tcPr>
            <w:tcW w:w="4732" w:type="dxa"/>
            <w:noWrap w:val="0"/>
            <w:vAlign w:val="center"/>
          </w:tcPr>
          <w:p w14:paraId="6E00270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橡胶伸缩装置</w:t>
            </w:r>
          </w:p>
        </w:tc>
        <w:tc>
          <w:tcPr>
            <w:tcW w:w="749" w:type="dxa"/>
            <w:noWrap w:val="0"/>
            <w:vAlign w:val="center"/>
          </w:tcPr>
          <w:p w14:paraId="31964A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C4977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64A4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A480C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7C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4720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417-2</w:t>
            </w:r>
          </w:p>
        </w:tc>
        <w:tc>
          <w:tcPr>
            <w:tcW w:w="4732" w:type="dxa"/>
            <w:noWrap w:val="0"/>
            <w:vAlign w:val="center"/>
          </w:tcPr>
          <w:p w14:paraId="5A7B94F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模数式伸缩装置</w:t>
            </w:r>
          </w:p>
        </w:tc>
        <w:tc>
          <w:tcPr>
            <w:tcW w:w="749" w:type="dxa"/>
            <w:noWrap w:val="0"/>
            <w:vAlign w:val="center"/>
          </w:tcPr>
          <w:p w14:paraId="1AA711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261AF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47B1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6B575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6C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E932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417-3</w:t>
            </w:r>
          </w:p>
        </w:tc>
        <w:tc>
          <w:tcPr>
            <w:tcW w:w="4732" w:type="dxa"/>
            <w:noWrap w:val="0"/>
            <w:vAlign w:val="center"/>
          </w:tcPr>
          <w:p w14:paraId="6FBC1C3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梳齿板式伸缩装置</w:t>
            </w:r>
          </w:p>
        </w:tc>
        <w:tc>
          <w:tcPr>
            <w:tcW w:w="749" w:type="dxa"/>
            <w:noWrap w:val="0"/>
            <w:vAlign w:val="center"/>
          </w:tcPr>
          <w:p w14:paraId="2BADE3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A6587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722C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4D6D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30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665D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417-4</w:t>
            </w:r>
          </w:p>
        </w:tc>
        <w:tc>
          <w:tcPr>
            <w:tcW w:w="4732" w:type="dxa"/>
            <w:noWrap w:val="0"/>
            <w:vAlign w:val="center"/>
          </w:tcPr>
          <w:p w14:paraId="1825F3E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填充式材料伸缩装置</w:t>
            </w:r>
          </w:p>
        </w:tc>
        <w:tc>
          <w:tcPr>
            <w:tcW w:w="749" w:type="dxa"/>
            <w:noWrap w:val="0"/>
            <w:vAlign w:val="center"/>
          </w:tcPr>
          <w:p w14:paraId="448E6A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5934F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0993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CED7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A1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D9839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w:t>
            </w:r>
          </w:p>
        </w:tc>
        <w:tc>
          <w:tcPr>
            <w:tcW w:w="4732" w:type="dxa"/>
            <w:noWrap w:val="0"/>
            <w:vAlign w:val="center"/>
          </w:tcPr>
          <w:p w14:paraId="6F8496B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圆管涵及倒虹吸管涵</w:t>
            </w:r>
          </w:p>
        </w:tc>
        <w:tc>
          <w:tcPr>
            <w:tcW w:w="749" w:type="dxa"/>
            <w:noWrap w:val="0"/>
            <w:vAlign w:val="top"/>
          </w:tcPr>
          <w:p w14:paraId="3047086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A2CBC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1742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9CFF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88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94A4B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419-1</w:t>
            </w:r>
          </w:p>
        </w:tc>
        <w:tc>
          <w:tcPr>
            <w:tcW w:w="4732" w:type="dxa"/>
            <w:noWrap w:val="0"/>
            <w:vAlign w:val="center"/>
          </w:tcPr>
          <w:p w14:paraId="4024FF2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单孔钢筋混凝土圆管涵</w:t>
            </w:r>
          </w:p>
        </w:tc>
        <w:tc>
          <w:tcPr>
            <w:tcW w:w="749" w:type="dxa"/>
            <w:noWrap w:val="0"/>
            <w:vAlign w:val="center"/>
          </w:tcPr>
          <w:p w14:paraId="1721C9A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278EDE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C376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9C15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69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DCA6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419-2</w:t>
            </w:r>
          </w:p>
        </w:tc>
        <w:tc>
          <w:tcPr>
            <w:tcW w:w="4732" w:type="dxa"/>
            <w:noWrap w:val="0"/>
            <w:vAlign w:val="center"/>
          </w:tcPr>
          <w:p w14:paraId="5C481904">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双孔钢筋混凝土圆管涵</w:t>
            </w:r>
          </w:p>
        </w:tc>
        <w:tc>
          <w:tcPr>
            <w:tcW w:w="749" w:type="dxa"/>
            <w:noWrap w:val="0"/>
            <w:vAlign w:val="center"/>
          </w:tcPr>
          <w:p w14:paraId="2EB583C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784BA8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BC88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7A90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35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542D2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419-3</w:t>
            </w:r>
          </w:p>
        </w:tc>
        <w:tc>
          <w:tcPr>
            <w:tcW w:w="4732" w:type="dxa"/>
            <w:noWrap w:val="0"/>
            <w:vAlign w:val="center"/>
          </w:tcPr>
          <w:p w14:paraId="4613172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钢筋混凝土圆管倒虹吸管涵</w:t>
            </w:r>
          </w:p>
        </w:tc>
        <w:tc>
          <w:tcPr>
            <w:tcW w:w="749" w:type="dxa"/>
            <w:noWrap w:val="0"/>
            <w:vAlign w:val="center"/>
          </w:tcPr>
          <w:p w14:paraId="6C0E971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79A59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8B9A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05A3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E7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7A152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w:t>
            </w:r>
          </w:p>
        </w:tc>
        <w:tc>
          <w:tcPr>
            <w:tcW w:w="4732" w:type="dxa"/>
            <w:noWrap w:val="0"/>
            <w:vAlign w:val="center"/>
          </w:tcPr>
          <w:p w14:paraId="05016CD5">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盖板涵、箱涵</w:t>
            </w:r>
          </w:p>
        </w:tc>
        <w:tc>
          <w:tcPr>
            <w:tcW w:w="749" w:type="dxa"/>
            <w:noWrap w:val="0"/>
            <w:vAlign w:val="center"/>
          </w:tcPr>
          <w:p w14:paraId="3C5DAFDA">
            <w:pPr>
              <w:pageBreakBefore w:val="0"/>
              <w:kinsoku/>
              <w:wordWrap w:val="0"/>
              <w:autoSpaceDE w:val="0"/>
              <w:autoSpaceDN w:val="0"/>
              <w:bidi w:val="0"/>
              <w:spacing w:line="360" w:lineRule="atLeast"/>
              <w:ind w:firstLine="30"/>
              <w:jc w:val="center"/>
              <w:textAlignment w:val="bottom"/>
              <w:rPr>
                <w:rFonts w:hint="default" w:ascii="Times New Roman" w:hAnsi="Times New Roman" w:cs="Times New Roman"/>
                <w:color w:val="auto"/>
                <w:szCs w:val="21"/>
                <w:highlight w:val="none"/>
              </w:rPr>
            </w:pPr>
          </w:p>
        </w:tc>
        <w:tc>
          <w:tcPr>
            <w:tcW w:w="837" w:type="dxa"/>
            <w:noWrap w:val="0"/>
            <w:vAlign w:val="center"/>
          </w:tcPr>
          <w:p w14:paraId="133C8E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9D92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EC13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2F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04406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420-1</w:t>
            </w:r>
          </w:p>
        </w:tc>
        <w:tc>
          <w:tcPr>
            <w:tcW w:w="4732" w:type="dxa"/>
            <w:noWrap w:val="0"/>
            <w:vAlign w:val="center"/>
          </w:tcPr>
          <w:p w14:paraId="2106403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钢筋混凝土盖板涵</w:t>
            </w:r>
          </w:p>
        </w:tc>
        <w:tc>
          <w:tcPr>
            <w:tcW w:w="749" w:type="dxa"/>
            <w:noWrap w:val="0"/>
            <w:vAlign w:val="center"/>
          </w:tcPr>
          <w:p w14:paraId="18E7F26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9B674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A2A3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5ACD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2A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F8D74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420-2</w:t>
            </w:r>
          </w:p>
        </w:tc>
        <w:tc>
          <w:tcPr>
            <w:tcW w:w="4732" w:type="dxa"/>
            <w:noWrap w:val="0"/>
            <w:vAlign w:val="center"/>
          </w:tcPr>
          <w:p w14:paraId="7C5A828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钢筋混凝土箱涵</w:t>
            </w:r>
          </w:p>
        </w:tc>
        <w:tc>
          <w:tcPr>
            <w:tcW w:w="749" w:type="dxa"/>
            <w:noWrap w:val="0"/>
            <w:vAlign w:val="center"/>
          </w:tcPr>
          <w:p w14:paraId="7B4AB66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7D6E1F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2BC6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8F73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E7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74E57D">
            <w:pPr>
              <w:pageBreakBefore w:val="0"/>
              <w:widowControl/>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Cs/>
                <w:color w:val="auto"/>
                <w:kern w:val="0"/>
                <w:szCs w:val="21"/>
                <w:highlight w:val="none"/>
              </w:rPr>
              <w:t>420-3</w:t>
            </w:r>
          </w:p>
        </w:tc>
        <w:tc>
          <w:tcPr>
            <w:tcW w:w="4732" w:type="dxa"/>
            <w:noWrap w:val="0"/>
            <w:vAlign w:val="center"/>
          </w:tcPr>
          <w:p w14:paraId="5C04ED0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钢筋混凝土盖板通道涵</w:t>
            </w:r>
          </w:p>
        </w:tc>
        <w:tc>
          <w:tcPr>
            <w:tcW w:w="749" w:type="dxa"/>
            <w:noWrap w:val="0"/>
            <w:vAlign w:val="center"/>
          </w:tcPr>
          <w:p w14:paraId="76FF37D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56A11A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59FD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1333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52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40A44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420-4</w:t>
            </w:r>
          </w:p>
        </w:tc>
        <w:tc>
          <w:tcPr>
            <w:tcW w:w="4732" w:type="dxa"/>
            <w:noWrap w:val="0"/>
            <w:vAlign w:val="center"/>
          </w:tcPr>
          <w:p w14:paraId="16FCF70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钢筋混凝土箱形通道涵</w:t>
            </w:r>
          </w:p>
        </w:tc>
        <w:tc>
          <w:tcPr>
            <w:tcW w:w="749" w:type="dxa"/>
            <w:noWrap w:val="0"/>
            <w:vAlign w:val="center"/>
          </w:tcPr>
          <w:p w14:paraId="17C2AA2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17185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B260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B088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85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883B4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w:t>
            </w:r>
          </w:p>
        </w:tc>
        <w:tc>
          <w:tcPr>
            <w:tcW w:w="4732" w:type="dxa"/>
            <w:noWrap w:val="0"/>
            <w:vAlign w:val="center"/>
          </w:tcPr>
          <w:p w14:paraId="669DC435">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拱涵</w:t>
            </w:r>
          </w:p>
        </w:tc>
        <w:tc>
          <w:tcPr>
            <w:tcW w:w="749" w:type="dxa"/>
            <w:noWrap w:val="0"/>
            <w:vAlign w:val="top"/>
          </w:tcPr>
          <w:p w14:paraId="79CE8509">
            <w:pPr>
              <w:pageBreakBefore w:val="0"/>
              <w:kinsoku/>
              <w:wordWrap w:val="0"/>
              <w:autoSpaceDE w:val="0"/>
              <w:autoSpaceDN w:val="0"/>
              <w:bidi w:val="0"/>
              <w:spacing w:line="360" w:lineRule="atLeast"/>
              <w:ind w:right="57" w:firstLine="23"/>
              <w:jc w:val="center"/>
              <w:textAlignment w:val="bottom"/>
              <w:rPr>
                <w:rFonts w:hint="default" w:ascii="Times New Roman" w:hAnsi="Times New Roman" w:cs="Times New Roman"/>
                <w:color w:val="auto"/>
                <w:szCs w:val="21"/>
                <w:highlight w:val="none"/>
              </w:rPr>
            </w:pPr>
          </w:p>
        </w:tc>
        <w:tc>
          <w:tcPr>
            <w:tcW w:w="837" w:type="dxa"/>
            <w:noWrap w:val="0"/>
            <w:vAlign w:val="center"/>
          </w:tcPr>
          <w:p w14:paraId="590DAF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8E77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C2BC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FE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54730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421-1</w:t>
            </w:r>
          </w:p>
        </w:tc>
        <w:tc>
          <w:tcPr>
            <w:tcW w:w="4732" w:type="dxa"/>
            <w:noWrap w:val="0"/>
            <w:vAlign w:val="center"/>
          </w:tcPr>
          <w:p w14:paraId="2D2E157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拱涵</w:t>
            </w:r>
          </w:p>
        </w:tc>
        <w:tc>
          <w:tcPr>
            <w:tcW w:w="749" w:type="dxa"/>
            <w:noWrap w:val="0"/>
            <w:vAlign w:val="center"/>
          </w:tcPr>
          <w:p w14:paraId="60E7EF3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FF7AA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F847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6C8F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48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DC3EF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7BA1AE7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石拱涵</w:t>
            </w:r>
          </w:p>
        </w:tc>
        <w:tc>
          <w:tcPr>
            <w:tcW w:w="749" w:type="dxa"/>
            <w:noWrap w:val="0"/>
            <w:vAlign w:val="center"/>
          </w:tcPr>
          <w:p w14:paraId="3A3B10C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2DF84F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D17B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D09D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9D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C75B6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311011E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混凝土拱涵</w:t>
            </w:r>
          </w:p>
        </w:tc>
        <w:tc>
          <w:tcPr>
            <w:tcW w:w="749" w:type="dxa"/>
            <w:noWrap w:val="0"/>
            <w:vAlign w:val="center"/>
          </w:tcPr>
          <w:p w14:paraId="75622AF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5C00EE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ACE0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7C34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9A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AE984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421-2</w:t>
            </w:r>
          </w:p>
        </w:tc>
        <w:tc>
          <w:tcPr>
            <w:tcW w:w="4732" w:type="dxa"/>
            <w:noWrap w:val="0"/>
            <w:vAlign w:val="center"/>
          </w:tcPr>
          <w:p w14:paraId="4E6CFD0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拱形通道涵</w:t>
            </w:r>
          </w:p>
        </w:tc>
        <w:tc>
          <w:tcPr>
            <w:tcW w:w="749" w:type="dxa"/>
            <w:noWrap w:val="0"/>
            <w:vAlign w:val="center"/>
          </w:tcPr>
          <w:p w14:paraId="157D6E3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6275B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BD28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8B0C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AE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E9509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19B12B5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石拱通道涵</w:t>
            </w:r>
          </w:p>
        </w:tc>
        <w:tc>
          <w:tcPr>
            <w:tcW w:w="749" w:type="dxa"/>
            <w:noWrap w:val="0"/>
            <w:vAlign w:val="center"/>
          </w:tcPr>
          <w:p w14:paraId="75379C3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3893C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ECAC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EDBD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8A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405BA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5E92BBAB">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混凝土拱</w:t>
            </w:r>
            <w:r>
              <w:rPr>
                <w:rFonts w:hint="default" w:ascii="Times New Roman" w:hAnsi="Times New Roman" w:cs="Times New Roman"/>
                <w:color w:val="auto"/>
                <w:szCs w:val="21"/>
                <w:highlight w:val="none"/>
              </w:rPr>
              <w:t>通道涵</w:t>
            </w:r>
          </w:p>
        </w:tc>
        <w:tc>
          <w:tcPr>
            <w:tcW w:w="749" w:type="dxa"/>
            <w:noWrap w:val="0"/>
            <w:vAlign w:val="center"/>
          </w:tcPr>
          <w:p w14:paraId="147F424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527D0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F41E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3002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83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B6FF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18BA60F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84A0FB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887CC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2175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5EB0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93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0941E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F27D7D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7850DAB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FC47E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3BF1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D6AD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CB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69166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378EE4A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4D9F21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ED7CC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B130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760A3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B1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460DC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3894273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1BDDA9A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6E4B3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7EB8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F0F02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5F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0BD57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349614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0400B42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3F901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1186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B70D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E6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CCDAE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6EBAF1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A7E690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0C9FB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639D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4974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99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917B1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D92768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FDEC36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1F4D3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EBE8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F80E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04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B6A1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831858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4EDED90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DCAF0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344D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264C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35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52535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4DAC5E9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1D6ADE4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FB138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9687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D56F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90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12AE4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7E7478F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B0E27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A133D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0757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718F6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DA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53617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265A8FF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B5CF93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1073B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EA30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7FEE6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E8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117CA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7BCDFC9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3EF44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2EBF2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6C99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34DA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E7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CA504CA">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清单第400章合计  人民币</w:t>
            </w:r>
            <w:r>
              <w:rPr>
                <w:rFonts w:hint="default" w:ascii="Times New Roman" w:hAnsi="Times New Roman" w:cs="Times New Roman"/>
                <w:bCs/>
                <w:color w:val="auto"/>
                <w:kern w:val="0"/>
                <w:szCs w:val="21"/>
                <w:highlight w:val="none"/>
                <w:u w:val="single"/>
              </w:rPr>
              <w:t xml:space="preserve">                    </w:t>
            </w:r>
          </w:p>
        </w:tc>
      </w:tr>
    </w:tbl>
    <w:p w14:paraId="57FCC680">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061326AA">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6F9F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8C0E2F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第500章   隧  道</w:t>
            </w:r>
          </w:p>
        </w:tc>
      </w:tr>
      <w:tr w14:paraId="0FC9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6B2BA7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289FADC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24D01F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AFDEB9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4D8BAB2">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1EE5F6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576D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136F81E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502</w:t>
            </w:r>
          </w:p>
        </w:tc>
        <w:tc>
          <w:tcPr>
            <w:tcW w:w="4644" w:type="dxa"/>
            <w:tcBorders>
              <w:top w:val="single" w:color="auto" w:sz="4" w:space="0"/>
              <w:left w:val="single" w:color="auto" w:sz="4" w:space="0"/>
              <w:bottom w:val="single" w:color="auto" w:sz="4" w:space="0"/>
              <w:right w:val="single" w:color="auto" w:sz="4" w:space="0"/>
            </w:tcBorders>
            <w:noWrap w:val="0"/>
            <w:vAlign w:val="center"/>
          </w:tcPr>
          <w:p w14:paraId="5CA7A8D6">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洞口与明洞工程</w:t>
            </w:r>
          </w:p>
        </w:tc>
        <w:tc>
          <w:tcPr>
            <w:tcW w:w="837" w:type="dxa"/>
            <w:tcBorders>
              <w:top w:val="single" w:color="auto" w:sz="4" w:space="0"/>
              <w:left w:val="single" w:color="auto" w:sz="4" w:space="0"/>
              <w:bottom w:val="single" w:color="auto" w:sz="4" w:space="0"/>
              <w:right w:val="single" w:color="auto" w:sz="4" w:space="0"/>
            </w:tcBorders>
            <w:noWrap w:val="0"/>
            <w:vAlign w:val="top"/>
          </w:tcPr>
          <w:p w14:paraId="1875638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F2A1B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D6E99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39F0176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F5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20C8888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502-1</w:t>
            </w:r>
          </w:p>
        </w:tc>
        <w:tc>
          <w:tcPr>
            <w:tcW w:w="4644" w:type="dxa"/>
            <w:tcBorders>
              <w:top w:val="single" w:color="auto" w:sz="4" w:space="0"/>
              <w:left w:val="single" w:color="auto" w:sz="4" w:space="0"/>
              <w:bottom w:val="single" w:color="auto" w:sz="4" w:space="0"/>
              <w:right w:val="single" w:color="auto" w:sz="4" w:space="0"/>
            </w:tcBorders>
            <w:noWrap w:val="0"/>
            <w:vAlign w:val="top"/>
          </w:tcPr>
          <w:p w14:paraId="65EDBE7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洞口、明洞开挖</w:t>
            </w:r>
          </w:p>
        </w:tc>
        <w:tc>
          <w:tcPr>
            <w:tcW w:w="837" w:type="dxa"/>
            <w:tcBorders>
              <w:top w:val="single" w:color="auto" w:sz="4" w:space="0"/>
              <w:left w:val="single" w:color="auto" w:sz="4" w:space="0"/>
              <w:bottom w:val="single" w:color="auto" w:sz="4" w:space="0"/>
              <w:right w:val="single" w:color="auto" w:sz="4" w:space="0"/>
            </w:tcBorders>
            <w:noWrap w:val="0"/>
            <w:vAlign w:val="top"/>
          </w:tcPr>
          <w:p w14:paraId="01ACBDD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C78B3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38FB4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61AD4C5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B2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4163814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644" w:type="dxa"/>
            <w:tcBorders>
              <w:top w:val="single" w:color="auto" w:sz="4" w:space="0"/>
              <w:left w:val="single" w:color="auto" w:sz="4" w:space="0"/>
              <w:right w:val="single" w:color="auto" w:sz="4" w:space="0"/>
            </w:tcBorders>
            <w:noWrap w:val="0"/>
            <w:vAlign w:val="top"/>
          </w:tcPr>
          <w:p w14:paraId="768305C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土方</w:t>
            </w:r>
          </w:p>
        </w:tc>
        <w:tc>
          <w:tcPr>
            <w:tcW w:w="837" w:type="dxa"/>
            <w:tcBorders>
              <w:top w:val="single" w:color="auto" w:sz="4" w:space="0"/>
              <w:left w:val="single" w:color="auto" w:sz="4" w:space="0"/>
              <w:right w:val="single" w:color="auto" w:sz="4" w:space="0"/>
            </w:tcBorders>
            <w:noWrap w:val="0"/>
            <w:vAlign w:val="center"/>
          </w:tcPr>
          <w:p w14:paraId="497B87D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tcBorders>
              <w:top w:val="single" w:color="auto" w:sz="4" w:space="0"/>
              <w:left w:val="single" w:color="auto" w:sz="4" w:space="0"/>
              <w:right w:val="single" w:color="auto" w:sz="4" w:space="0"/>
            </w:tcBorders>
            <w:noWrap w:val="0"/>
            <w:vAlign w:val="center"/>
          </w:tcPr>
          <w:p w14:paraId="07304F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834F3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5F47F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26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B5285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644" w:type="dxa"/>
            <w:noWrap w:val="0"/>
            <w:vAlign w:val="top"/>
          </w:tcPr>
          <w:p w14:paraId="20960A4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石方</w:t>
            </w:r>
          </w:p>
        </w:tc>
        <w:tc>
          <w:tcPr>
            <w:tcW w:w="837" w:type="dxa"/>
            <w:noWrap w:val="0"/>
            <w:vAlign w:val="center"/>
          </w:tcPr>
          <w:p w14:paraId="6FB775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FD8D4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29A2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9B56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F9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EF2B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502-2</w:t>
            </w:r>
          </w:p>
        </w:tc>
        <w:tc>
          <w:tcPr>
            <w:tcW w:w="4644" w:type="dxa"/>
            <w:noWrap w:val="0"/>
            <w:vAlign w:val="center"/>
          </w:tcPr>
          <w:p w14:paraId="3097E98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588265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6D0B1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FD8F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60C9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98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A121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FB097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石砌截水沟、排水沟</w:t>
            </w:r>
          </w:p>
        </w:tc>
        <w:tc>
          <w:tcPr>
            <w:tcW w:w="837" w:type="dxa"/>
            <w:noWrap w:val="0"/>
            <w:vAlign w:val="center"/>
          </w:tcPr>
          <w:p w14:paraId="0B093C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88686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588E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4E2BC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FA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34B6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218E6AF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现浇混凝土沟槽</w:t>
            </w:r>
          </w:p>
        </w:tc>
        <w:tc>
          <w:tcPr>
            <w:tcW w:w="837" w:type="dxa"/>
            <w:noWrap w:val="0"/>
            <w:vAlign w:val="center"/>
          </w:tcPr>
          <w:p w14:paraId="74253F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17825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3239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1F1A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6F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2AF2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097DC90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w:t>
            </w:r>
          </w:p>
        </w:tc>
        <w:tc>
          <w:tcPr>
            <w:tcW w:w="837" w:type="dxa"/>
            <w:noWrap w:val="0"/>
            <w:vAlign w:val="center"/>
          </w:tcPr>
          <w:p w14:paraId="330FB3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43379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7F15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E0263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D7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A9B0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2D0A039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预制安装混凝土沟槽盖板</w:t>
            </w:r>
          </w:p>
        </w:tc>
        <w:tc>
          <w:tcPr>
            <w:tcW w:w="837" w:type="dxa"/>
            <w:noWrap w:val="0"/>
            <w:vAlign w:val="center"/>
          </w:tcPr>
          <w:p w14:paraId="55C2AB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049BF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1D61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C6E4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23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85AF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30F538D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837" w:type="dxa"/>
            <w:noWrap w:val="0"/>
            <w:vAlign w:val="center"/>
          </w:tcPr>
          <w:p w14:paraId="4BB4C6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1D619A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DCE7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31E5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FD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A351D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17A4B25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渗沟</w:t>
            </w:r>
          </w:p>
        </w:tc>
        <w:tc>
          <w:tcPr>
            <w:tcW w:w="837" w:type="dxa"/>
            <w:noWrap w:val="0"/>
            <w:vAlign w:val="center"/>
          </w:tcPr>
          <w:p w14:paraId="6E37D4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DA031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9731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69BE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D93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7E78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02B1BD2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67F575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CDFA8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F07B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0F6C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2B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3B0A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502-3</w:t>
            </w:r>
          </w:p>
        </w:tc>
        <w:tc>
          <w:tcPr>
            <w:tcW w:w="4644" w:type="dxa"/>
            <w:noWrap w:val="0"/>
            <w:vAlign w:val="center"/>
          </w:tcPr>
          <w:p w14:paraId="652D94B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洞口坡面防护</w:t>
            </w:r>
          </w:p>
        </w:tc>
        <w:tc>
          <w:tcPr>
            <w:tcW w:w="837" w:type="dxa"/>
            <w:noWrap w:val="0"/>
            <w:vAlign w:val="center"/>
          </w:tcPr>
          <w:p w14:paraId="4EB3E8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F7F52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5D20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1152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4D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9544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486895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浆砌片石护坡</w:t>
            </w:r>
          </w:p>
        </w:tc>
        <w:tc>
          <w:tcPr>
            <w:tcW w:w="837" w:type="dxa"/>
            <w:noWrap w:val="0"/>
            <w:vAlign w:val="center"/>
          </w:tcPr>
          <w:p w14:paraId="573CDA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1738D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5CFD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F884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21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9464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6FDAF27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现浇混凝土护坡</w:t>
            </w:r>
          </w:p>
        </w:tc>
        <w:tc>
          <w:tcPr>
            <w:tcW w:w="837" w:type="dxa"/>
            <w:noWrap w:val="0"/>
            <w:vAlign w:val="center"/>
          </w:tcPr>
          <w:p w14:paraId="75C606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ED25A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A5DD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B232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93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E96C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2655A6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预制安装混凝土护坡</w:t>
            </w:r>
          </w:p>
        </w:tc>
        <w:tc>
          <w:tcPr>
            <w:tcW w:w="837" w:type="dxa"/>
            <w:noWrap w:val="0"/>
            <w:vAlign w:val="center"/>
          </w:tcPr>
          <w:p w14:paraId="08AFB7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44A14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5554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B78B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9C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C6F4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0D244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喷射混凝土护坡</w:t>
            </w:r>
          </w:p>
        </w:tc>
        <w:tc>
          <w:tcPr>
            <w:tcW w:w="837" w:type="dxa"/>
            <w:noWrap w:val="0"/>
            <w:vAlign w:val="center"/>
          </w:tcPr>
          <w:p w14:paraId="4B20CDB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688B6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CA99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C29D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63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41BEF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364C254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浆砌护面墙</w:t>
            </w:r>
          </w:p>
        </w:tc>
        <w:tc>
          <w:tcPr>
            <w:tcW w:w="837" w:type="dxa"/>
            <w:noWrap w:val="0"/>
            <w:vAlign w:val="center"/>
          </w:tcPr>
          <w:p w14:paraId="0FF7A0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5C0F9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778B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41B5C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9F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55C8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14E9622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现浇混凝土护面墙</w:t>
            </w:r>
          </w:p>
        </w:tc>
        <w:tc>
          <w:tcPr>
            <w:tcW w:w="837" w:type="dxa"/>
            <w:noWrap w:val="0"/>
            <w:vAlign w:val="center"/>
          </w:tcPr>
          <w:p w14:paraId="2D1713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7BD1E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F5B3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43EB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80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3ADF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4811749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混凝土挡土墙</w:t>
            </w:r>
          </w:p>
        </w:tc>
        <w:tc>
          <w:tcPr>
            <w:tcW w:w="837" w:type="dxa"/>
            <w:noWrap w:val="0"/>
            <w:vAlign w:val="center"/>
          </w:tcPr>
          <w:p w14:paraId="31142B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4896D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1A32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279B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18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BD9C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w:t>
            </w:r>
          </w:p>
        </w:tc>
        <w:tc>
          <w:tcPr>
            <w:tcW w:w="4644" w:type="dxa"/>
            <w:noWrap w:val="0"/>
            <w:vAlign w:val="center"/>
          </w:tcPr>
          <w:p w14:paraId="608A1C9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地表注浆</w:t>
            </w:r>
          </w:p>
        </w:tc>
        <w:tc>
          <w:tcPr>
            <w:tcW w:w="837" w:type="dxa"/>
            <w:noWrap w:val="0"/>
            <w:vAlign w:val="center"/>
          </w:tcPr>
          <w:p w14:paraId="7D72D3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FA51E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4E3C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47D2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0A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0972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w:t>
            </w:r>
          </w:p>
        </w:tc>
        <w:tc>
          <w:tcPr>
            <w:tcW w:w="4644" w:type="dxa"/>
            <w:noWrap w:val="0"/>
            <w:vAlign w:val="center"/>
          </w:tcPr>
          <w:p w14:paraId="53B62A6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49E331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C822E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8BED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F4913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97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3D06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-j</w:t>
            </w:r>
          </w:p>
        </w:tc>
        <w:tc>
          <w:tcPr>
            <w:tcW w:w="4644" w:type="dxa"/>
            <w:noWrap w:val="0"/>
            <w:vAlign w:val="center"/>
          </w:tcPr>
          <w:p w14:paraId="44B9E28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837" w:type="dxa"/>
            <w:noWrap w:val="0"/>
            <w:vAlign w:val="center"/>
          </w:tcPr>
          <w:p w14:paraId="2E466F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75C29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CB3D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2D2F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7C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C392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w:t>
            </w:r>
          </w:p>
        </w:tc>
        <w:tc>
          <w:tcPr>
            <w:tcW w:w="4644" w:type="dxa"/>
            <w:noWrap w:val="0"/>
            <w:vAlign w:val="center"/>
          </w:tcPr>
          <w:p w14:paraId="19F794E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主动防护系统</w:t>
            </w:r>
          </w:p>
        </w:tc>
        <w:tc>
          <w:tcPr>
            <w:tcW w:w="837" w:type="dxa"/>
            <w:noWrap w:val="0"/>
            <w:vAlign w:val="center"/>
          </w:tcPr>
          <w:p w14:paraId="48C117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1924D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9F29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C4F1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92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A687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-l</w:t>
            </w:r>
          </w:p>
        </w:tc>
        <w:tc>
          <w:tcPr>
            <w:tcW w:w="4644" w:type="dxa"/>
            <w:noWrap w:val="0"/>
            <w:vAlign w:val="center"/>
          </w:tcPr>
          <w:p w14:paraId="58F0ECE6">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被动防护系统</w:t>
            </w:r>
          </w:p>
        </w:tc>
        <w:tc>
          <w:tcPr>
            <w:tcW w:w="837" w:type="dxa"/>
            <w:noWrap w:val="0"/>
            <w:vAlign w:val="center"/>
          </w:tcPr>
          <w:p w14:paraId="1FE7861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A91A3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39DF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F763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15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3C27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502-4</w:t>
            </w:r>
          </w:p>
        </w:tc>
        <w:tc>
          <w:tcPr>
            <w:tcW w:w="4644" w:type="dxa"/>
            <w:noWrap w:val="0"/>
            <w:vAlign w:val="center"/>
          </w:tcPr>
          <w:p w14:paraId="05CF13E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洞门建筑</w:t>
            </w:r>
          </w:p>
        </w:tc>
        <w:tc>
          <w:tcPr>
            <w:tcW w:w="837" w:type="dxa"/>
            <w:noWrap w:val="0"/>
            <w:vAlign w:val="center"/>
          </w:tcPr>
          <w:p w14:paraId="693F221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05804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8F6E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28FC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1E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C623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7B25489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288570C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CD3B5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6818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329FF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A9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BA21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82E9C9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预制安装混凝土块</w:t>
            </w:r>
          </w:p>
        </w:tc>
        <w:tc>
          <w:tcPr>
            <w:tcW w:w="837" w:type="dxa"/>
            <w:noWrap w:val="0"/>
            <w:vAlign w:val="center"/>
          </w:tcPr>
          <w:p w14:paraId="2366411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17CB9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5E16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1A69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F8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EA05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2845AC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浆砌片粗料石（块石）</w:t>
            </w:r>
          </w:p>
        </w:tc>
        <w:tc>
          <w:tcPr>
            <w:tcW w:w="837" w:type="dxa"/>
            <w:noWrap w:val="0"/>
            <w:vAlign w:val="center"/>
          </w:tcPr>
          <w:p w14:paraId="69B300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0F7B1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37D9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D38A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B5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E34A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7DF558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洞门墙装修</w:t>
            </w:r>
          </w:p>
        </w:tc>
        <w:tc>
          <w:tcPr>
            <w:tcW w:w="837" w:type="dxa"/>
            <w:noWrap w:val="0"/>
            <w:vAlign w:val="center"/>
          </w:tcPr>
          <w:p w14:paraId="2D970C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639E27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9ECD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FE4B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0B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204F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3817F3B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1F93DB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9284E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5E2C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12AA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8E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BC63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2CE5B18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隧道铭牌</w:t>
            </w:r>
          </w:p>
        </w:tc>
        <w:tc>
          <w:tcPr>
            <w:tcW w:w="837" w:type="dxa"/>
            <w:noWrap w:val="0"/>
            <w:vAlign w:val="center"/>
          </w:tcPr>
          <w:p w14:paraId="409FF7C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w:t>
            </w:r>
          </w:p>
        </w:tc>
        <w:tc>
          <w:tcPr>
            <w:tcW w:w="837" w:type="dxa"/>
            <w:noWrap w:val="0"/>
            <w:vAlign w:val="center"/>
          </w:tcPr>
          <w:p w14:paraId="698EDD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B1B0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345F81">
            <w:pPr>
              <w:pageBreakBefore w:val="0"/>
              <w:kinsoku/>
              <w:wordWrap w:val="0"/>
              <w:bidi w:val="0"/>
              <w:spacing w:line="360" w:lineRule="atLeast"/>
              <w:jc w:val="center"/>
              <w:rPr>
                <w:rFonts w:hint="default" w:ascii="Times New Roman" w:hAnsi="Times New Roman" w:cs="Times New Roman"/>
                <w:color w:val="auto"/>
                <w:szCs w:val="21"/>
                <w:highlight w:val="none"/>
              </w:rPr>
            </w:pPr>
          </w:p>
        </w:tc>
      </w:tr>
    </w:tbl>
    <w:p w14:paraId="647867E6">
      <w:pPr>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1FA0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400556A">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第500章   隧  道</w:t>
            </w:r>
          </w:p>
        </w:tc>
      </w:tr>
      <w:tr w14:paraId="75B5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0E3580B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136C5A2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C8FAFC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71B9EC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536A32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9E9729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E57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D048B8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502-5</w:t>
            </w:r>
          </w:p>
        </w:tc>
        <w:tc>
          <w:tcPr>
            <w:tcW w:w="4644" w:type="dxa"/>
            <w:tcBorders>
              <w:top w:val="single" w:color="auto" w:sz="4" w:space="0"/>
              <w:left w:val="single" w:color="auto" w:sz="4" w:space="0"/>
              <w:right w:val="single" w:color="auto" w:sz="4" w:space="0"/>
            </w:tcBorders>
            <w:noWrap w:val="0"/>
            <w:vAlign w:val="center"/>
          </w:tcPr>
          <w:p w14:paraId="56ABEC8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明洞衬砌</w:t>
            </w:r>
          </w:p>
        </w:tc>
        <w:tc>
          <w:tcPr>
            <w:tcW w:w="837" w:type="dxa"/>
            <w:tcBorders>
              <w:top w:val="single" w:color="auto" w:sz="4" w:space="0"/>
              <w:left w:val="single" w:color="auto" w:sz="4" w:space="0"/>
              <w:right w:val="single" w:color="auto" w:sz="4" w:space="0"/>
            </w:tcBorders>
            <w:noWrap w:val="0"/>
            <w:vAlign w:val="center"/>
          </w:tcPr>
          <w:p w14:paraId="4284C48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5A3BF3C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AB7364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1B77D8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AD6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B97DF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5B47DDF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tcBorders>
              <w:top w:val="single" w:color="auto" w:sz="4" w:space="0"/>
              <w:left w:val="single" w:color="auto" w:sz="4" w:space="0"/>
              <w:right w:val="single" w:color="auto" w:sz="4" w:space="0"/>
            </w:tcBorders>
            <w:noWrap w:val="0"/>
            <w:vAlign w:val="center"/>
          </w:tcPr>
          <w:p w14:paraId="6724578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3C6BBA6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7B01FB5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BE8EE6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B8F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38C7DDD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194A32B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tcBorders>
              <w:top w:val="single" w:color="auto" w:sz="4" w:space="0"/>
              <w:left w:val="single" w:color="auto" w:sz="4" w:space="0"/>
              <w:right w:val="single" w:color="auto" w:sz="4" w:space="0"/>
            </w:tcBorders>
            <w:noWrap w:val="0"/>
            <w:vAlign w:val="center"/>
          </w:tcPr>
          <w:p w14:paraId="02DEE12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tcBorders>
              <w:top w:val="single" w:color="auto" w:sz="4" w:space="0"/>
              <w:left w:val="single" w:color="auto" w:sz="4" w:space="0"/>
              <w:right w:val="single" w:color="auto" w:sz="4" w:space="0"/>
            </w:tcBorders>
            <w:noWrap w:val="0"/>
            <w:vAlign w:val="center"/>
          </w:tcPr>
          <w:p w14:paraId="3A5E43E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ADDD7C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4D9C8E5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70B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DC5C59E">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502-6</w:t>
            </w:r>
          </w:p>
        </w:tc>
        <w:tc>
          <w:tcPr>
            <w:tcW w:w="4644" w:type="dxa"/>
            <w:tcBorders>
              <w:top w:val="single" w:color="auto" w:sz="4" w:space="0"/>
              <w:left w:val="single" w:color="auto" w:sz="4" w:space="0"/>
              <w:right w:val="single" w:color="auto" w:sz="4" w:space="0"/>
            </w:tcBorders>
            <w:noWrap w:val="0"/>
            <w:vAlign w:val="center"/>
          </w:tcPr>
          <w:p w14:paraId="41AB6B0C">
            <w:pPr>
              <w:pageBreakBefore w:val="0"/>
              <w:widowControl/>
              <w:kinsoku/>
              <w:wordWrap w:val="0"/>
              <w:bidi w:val="0"/>
              <w:spacing w:line="34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遮光棚（板）</w:t>
            </w:r>
          </w:p>
        </w:tc>
        <w:tc>
          <w:tcPr>
            <w:tcW w:w="837" w:type="dxa"/>
            <w:tcBorders>
              <w:top w:val="single" w:color="auto" w:sz="4" w:space="0"/>
              <w:left w:val="single" w:color="auto" w:sz="4" w:space="0"/>
              <w:right w:val="single" w:color="auto" w:sz="4" w:space="0"/>
            </w:tcBorders>
            <w:noWrap w:val="0"/>
            <w:vAlign w:val="center"/>
          </w:tcPr>
          <w:p w14:paraId="3E9EDD6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68583D1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66F049F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3CB9DF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850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ED1103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502-7</w:t>
            </w:r>
          </w:p>
        </w:tc>
        <w:tc>
          <w:tcPr>
            <w:tcW w:w="4644" w:type="dxa"/>
            <w:tcBorders>
              <w:top w:val="single" w:color="auto" w:sz="4" w:space="0"/>
              <w:left w:val="single" w:color="auto" w:sz="4" w:space="0"/>
              <w:right w:val="single" w:color="auto" w:sz="4" w:space="0"/>
            </w:tcBorders>
            <w:noWrap w:val="0"/>
            <w:vAlign w:val="center"/>
          </w:tcPr>
          <w:p w14:paraId="2FD15BB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洞顶回填</w:t>
            </w:r>
          </w:p>
        </w:tc>
        <w:tc>
          <w:tcPr>
            <w:tcW w:w="837" w:type="dxa"/>
            <w:tcBorders>
              <w:top w:val="single" w:color="auto" w:sz="4" w:space="0"/>
              <w:left w:val="single" w:color="auto" w:sz="4" w:space="0"/>
              <w:right w:val="single" w:color="auto" w:sz="4" w:space="0"/>
            </w:tcBorders>
            <w:noWrap w:val="0"/>
            <w:vAlign w:val="center"/>
          </w:tcPr>
          <w:p w14:paraId="7C4C4A7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tcBorders>
              <w:top w:val="single" w:color="auto" w:sz="4" w:space="0"/>
              <w:left w:val="single" w:color="auto" w:sz="4" w:space="0"/>
              <w:right w:val="single" w:color="auto" w:sz="4" w:space="0"/>
            </w:tcBorders>
            <w:noWrap w:val="0"/>
            <w:vAlign w:val="center"/>
          </w:tcPr>
          <w:p w14:paraId="2BAC004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77ABB49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89F710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0CD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C5B137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2C43B35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防水层</w:t>
            </w:r>
          </w:p>
        </w:tc>
        <w:tc>
          <w:tcPr>
            <w:tcW w:w="837" w:type="dxa"/>
            <w:tcBorders>
              <w:top w:val="single" w:color="auto" w:sz="4" w:space="0"/>
              <w:left w:val="single" w:color="auto" w:sz="4" w:space="0"/>
              <w:right w:val="single" w:color="auto" w:sz="4" w:space="0"/>
            </w:tcBorders>
            <w:noWrap w:val="0"/>
            <w:vAlign w:val="center"/>
          </w:tcPr>
          <w:p w14:paraId="2613E69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2EA2260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A618F4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44891CA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DE9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799E3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644" w:type="dxa"/>
            <w:tcBorders>
              <w:top w:val="single" w:color="auto" w:sz="4" w:space="0"/>
              <w:left w:val="single" w:color="auto" w:sz="4" w:space="0"/>
              <w:right w:val="single" w:color="auto" w:sz="4" w:space="0"/>
            </w:tcBorders>
            <w:noWrap w:val="0"/>
            <w:vAlign w:val="center"/>
          </w:tcPr>
          <w:p w14:paraId="4C9879B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黏土防水层</w:t>
            </w:r>
          </w:p>
        </w:tc>
        <w:tc>
          <w:tcPr>
            <w:tcW w:w="837" w:type="dxa"/>
            <w:tcBorders>
              <w:top w:val="single" w:color="auto" w:sz="4" w:space="0"/>
              <w:left w:val="single" w:color="auto" w:sz="4" w:space="0"/>
              <w:right w:val="single" w:color="auto" w:sz="4" w:space="0"/>
            </w:tcBorders>
            <w:noWrap w:val="0"/>
            <w:vAlign w:val="center"/>
          </w:tcPr>
          <w:p w14:paraId="68A2585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5735566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71500B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4FB9FE0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C6C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177B41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644" w:type="dxa"/>
            <w:tcBorders>
              <w:top w:val="single" w:color="auto" w:sz="4" w:space="0"/>
              <w:left w:val="single" w:color="auto" w:sz="4" w:space="0"/>
              <w:right w:val="single" w:color="auto" w:sz="4" w:space="0"/>
            </w:tcBorders>
            <w:noWrap w:val="0"/>
            <w:vAlign w:val="center"/>
          </w:tcPr>
          <w:p w14:paraId="3CA4862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837" w:type="dxa"/>
            <w:tcBorders>
              <w:top w:val="single" w:color="auto" w:sz="4" w:space="0"/>
              <w:left w:val="single" w:color="auto" w:sz="4" w:space="0"/>
              <w:right w:val="single" w:color="auto" w:sz="4" w:space="0"/>
            </w:tcBorders>
            <w:noWrap w:val="0"/>
            <w:vAlign w:val="center"/>
          </w:tcPr>
          <w:p w14:paraId="0B6413F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3C76012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2879D5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135702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F0D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3A567F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292B745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回填</w:t>
            </w:r>
          </w:p>
        </w:tc>
        <w:tc>
          <w:tcPr>
            <w:tcW w:w="837" w:type="dxa"/>
            <w:tcBorders>
              <w:top w:val="single" w:color="auto" w:sz="4" w:space="0"/>
              <w:left w:val="single" w:color="auto" w:sz="4" w:space="0"/>
              <w:right w:val="single" w:color="auto" w:sz="4" w:space="0"/>
            </w:tcBorders>
            <w:noWrap w:val="0"/>
            <w:vAlign w:val="center"/>
          </w:tcPr>
          <w:p w14:paraId="1807E54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0BB1FAC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68918D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222FED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9F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85BF52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503</w:t>
            </w:r>
          </w:p>
        </w:tc>
        <w:tc>
          <w:tcPr>
            <w:tcW w:w="4644" w:type="dxa"/>
            <w:tcBorders>
              <w:top w:val="single" w:color="auto" w:sz="4" w:space="0"/>
              <w:left w:val="single" w:color="auto" w:sz="4" w:space="0"/>
              <w:right w:val="single" w:color="auto" w:sz="4" w:space="0"/>
            </w:tcBorders>
            <w:noWrap w:val="0"/>
            <w:vAlign w:val="center"/>
          </w:tcPr>
          <w:p w14:paraId="33F3D59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洞身开挖</w:t>
            </w:r>
          </w:p>
        </w:tc>
        <w:tc>
          <w:tcPr>
            <w:tcW w:w="837" w:type="dxa"/>
            <w:tcBorders>
              <w:top w:val="single" w:color="auto" w:sz="4" w:space="0"/>
              <w:left w:val="single" w:color="auto" w:sz="4" w:space="0"/>
              <w:right w:val="single" w:color="auto" w:sz="4" w:space="0"/>
            </w:tcBorders>
            <w:noWrap w:val="0"/>
            <w:vAlign w:val="center"/>
          </w:tcPr>
          <w:p w14:paraId="683E2812">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908762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60C466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BD7BC9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7E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6FE97B">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503-1</w:t>
            </w:r>
          </w:p>
        </w:tc>
        <w:tc>
          <w:tcPr>
            <w:tcW w:w="4644" w:type="dxa"/>
            <w:noWrap w:val="0"/>
            <w:vAlign w:val="center"/>
          </w:tcPr>
          <w:p w14:paraId="6DC6E3B4">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洞身开挖</w:t>
            </w:r>
          </w:p>
        </w:tc>
        <w:tc>
          <w:tcPr>
            <w:tcW w:w="837" w:type="dxa"/>
            <w:noWrap w:val="0"/>
            <w:vAlign w:val="center"/>
          </w:tcPr>
          <w:p w14:paraId="6140212D">
            <w:pPr>
              <w:pageBreakBefore w:val="0"/>
              <w:kinsoku/>
              <w:wordWrap w:val="0"/>
              <w:bidi w:val="0"/>
              <w:spacing w:line="340" w:lineRule="atLeast"/>
              <w:rPr>
                <w:rFonts w:hint="default" w:ascii="Times New Roman" w:hAnsi="Times New Roman" w:cs="Times New Roman"/>
                <w:color w:val="auto"/>
                <w:szCs w:val="21"/>
                <w:highlight w:val="none"/>
              </w:rPr>
            </w:pPr>
          </w:p>
        </w:tc>
        <w:tc>
          <w:tcPr>
            <w:tcW w:w="837" w:type="dxa"/>
            <w:noWrap w:val="0"/>
            <w:vAlign w:val="center"/>
          </w:tcPr>
          <w:p w14:paraId="6CBC016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701030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F81C6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5E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30F1A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1C2ECD4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洞身开挖（不含竖井、斜井）</w:t>
            </w:r>
          </w:p>
        </w:tc>
        <w:tc>
          <w:tcPr>
            <w:tcW w:w="837" w:type="dxa"/>
            <w:noWrap w:val="0"/>
            <w:vAlign w:val="center"/>
          </w:tcPr>
          <w:p w14:paraId="0D8DDC2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6C1B2C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DCD8C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15D21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37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78D08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D7C48F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竖井洞身开挖</w:t>
            </w:r>
          </w:p>
        </w:tc>
        <w:tc>
          <w:tcPr>
            <w:tcW w:w="837" w:type="dxa"/>
            <w:noWrap w:val="0"/>
            <w:vAlign w:val="center"/>
          </w:tcPr>
          <w:p w14:paraId="5E91360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E1C16F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BC1E98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0F168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429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9BBC3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4EC4CDE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斜井洞身开挖</w:t>
            </w:r>
          </w:p>
        </w:tc>
        <w:tc>
          <w:tcPr>
            <w:tcW w:w="837" w:type="dxa"/>
            <w:noWrap w:val="0"/>
            <w:vAlign w:val="center"/>
          </w:tcPr>
          <w:p w14:paraId="2C7BFFA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8720AA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0D3C7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10755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55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46A57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503-2</w:t>
            </w:r>
          </w:p>
        </w:tc>
        <w:tc>
          <w:tcPr>
            <w:tcW w:w="4644" w:type="dxa"/>
            <w:noWrap w:val="0"/>
            <w:vAlign w:val="center"/>
          </w:tcPr>
          <w:p w14:paraId="538479E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洞身支护</w:t>
            </w:r>
          </w:p>
        </w:tc>
        <w:tc>
          <w:tcPr>
            <w:tcW w:w="837" w:type="dxa"/>
            <w:noWrap w:val="0"/>
            <w:vAlign w:val="center"/>
          </w:tcPr>
          <w:p w14:paraId="22A6E4E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DA2CB2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018598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68880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7C5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1D5D4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3DF91B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管棚支护</w:t>
            </w:r>
          </w:p>
        </w:tc>
        <w:tc>
          <w:tcPr>
            <w:tcW w:w="837" w:type="dxa"/>
            <w:noWrap w:val="0"/>
            <w:vAlign w:val="center"/>
          </w:tcPr>
          <w:p w14:paraId="2C7B3DA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42BBF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AA71C2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7810A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8FB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FBD1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644" w:type="dxa"/>
            <w:noWrap w:val="0"/>
            <w:vAlign w:val="center"/>
          </w:tcPr>
          <w:p w14:paraId="3DF665C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基础钢管桩</w:t>
            </w:r>
          </w:p>
        </w:tc>
        <w:tc>
          <w:tcPr>
            <w:tcW w:w="837" w:type="dxa"/>
            <w:noWrap w:val="0"/>
            <w:vAlign w:val="center"/>
          </w:tcPr>
          <w:p w14:paraId="29E363D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BC40C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6D1969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D4426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04A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552D2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644" w:type="dxa"/>
            <w:noWrap w:val="0"/>
            <w:vAlign w:val="center"/>
          </w:tcPr>
          <w:p w14:paraId="13933DB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套拱混凝土</w:t>
            </w:r>
          </w:p>
        </w:tc>
        <w:tc>
          <w:tcPr>
            <w:tcW w:w="837" w:type="dxa"/>
            <w:noWrap w:val="0"/>
            <w:vAlign w:val="center"/>
          </w:tcPr>
          <w:p w14:paraId="20668ED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9EB962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038E3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56B43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B46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1DD2F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644" w:type="dxa"/>
            <w:noWrap w:val="0"/>
            <w:vAlign w:val="center"/>
          </w:tcPr>
          <w:p w14:paraId="6D7DB24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孔口管</w:t>
            </w:r>
          </w:p>
        </w:tc>
        <w:tc>
          <w:tcPr>
            <w:tcW w:w="837" w:type="dxa"/>
            <w:noWrap w:val="0"/>
            <w:vAlign w:val="center"/>
          </w:tcPr>
          <w:p w14:paraId="6238ABE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9E415C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820DF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96EE5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B56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205D6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-a-4</w:t>
            </w:r>
          </w:p>
        </w:tc>
        <w:tc>
          <w:tcPr>
            <w:tcW w:w="4644" w:type="dxa"/>
            <w:noWrap w:val="0"/>
            <w:vAlign w:val="center"/>
          </w:tcPr>
          <w:p w14:paraId="110FFA0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套拱钢架</w:t>
            </w:r>
          </w:p>
        </w:tc>
        <w:tc>
          <w:tcPr>
            <w:tcW w:w="837" w:type="dxa"/>
            <w:noWrap w:val="0"/>
            <w:vAlign w:val="center"/>
          </w:tcPr>
          <w:p w14:paraId="42BD00E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82EAA6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150C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8EA18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8D7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ED6A5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-a-5</w:t>
            </w:r>
          </w:p>
        </w:tc>
        <w:tc>
          <w:tcPr>
            <w:tcW w:w="4644" w:type="dxa"/>
            <w:noWrap w:val="0"/>
            <w:vAlign w:val="center"/>
          </w:tcPr>
          <w:p w14:paraId="2CF5B4E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451A79F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A68E9B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5BEE0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4CD98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1E5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69680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-a-6</w:t>
            </w:r>
          </w:p>
        </w:tc>
        <w:tc>
          <w:tcPr>
            <w:tcW w:w="4644" w:type="dxa"/>
            <w:noWrap w:val="0"/>
            <w:vAlign w:val="center"/>
          </w:tcPr>
          <w:p w14:paraId="6BD13B6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管棚</w:t>
            </w:r>
          </w:p>
        </w:tc>
        <w:tc>
          <w:tcPr>
            <w:tcW w:w="837" w:type="dxa"/>
            <w:noWrap w:val="0"/>
            <w:vAlign w:val="center"/>
          </w:tcPr>
          <w:p w14:paraId="5F5B4B3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ED1105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3D694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31A8A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4B1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16085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B1B181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注浆小导管</w:t>
            </w:r>
          </w:p>
        </w:tc>
        <w:tc>
          <w:tcPr>
            <w:tcW w:w="837" w:type="dxa"/>
            <w:noWrap w:val="0"/>
            <w:vAlign w:val="center"/>
          </w:tcPr>
          <w:p w14:paraId="32509D4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210872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B45371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631BC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B3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DBD3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057AB6E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锚杆支护</w:t>
            </w:r>
          </w:p>
        </w:tc>
        <w:tc>
          <w:tcPr>
            <w:tcW w:w="837" w:type="dxa"/>
            <w:noWrap w:val="0"/>
            <w:vAlign w:val="center"/>
          </w:tcPr>
          <w:p w14:paraId="72AD645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D733A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D9F115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4A6ED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4F7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F61B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-c-1</w:t>
            </w:r>
          </w:p>
        </w:tc>
        <w:tc>
          <w:tcPr>
            <w:tcW w:w="4644" w:type="dxa"/>
            <w:noWrap w:val="0"/>
            <w:vAlign w:val="center"/>
          </w:tcPr>
          <w:p w14:paraId="76A4F19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砂浆锚杆</w:t>
            </w:r>
          </w:p>
        </w:tc>
        <w:tc>
          <w:tcPr>
            <w:tcW w:w="837" w:type="dxa"/>
            <w:noWrap w:val="0"/>
            <w:vAlign w:val="center"/>
          </w:tcPr>
          <w:p w14:paraId="364D36C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757860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E0DB28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F9950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8A4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DB32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-c-2</w:t>
            </w:r>
          </w:p>
        </w:tc>
        <w:tc>
          <w:tcPr>
            <w:tcW w:w="4644" w:type="dxa"/>
            <w:noWrap w:val="0"/>
            <w:vAlign w:val="center"/>
          </w:tcPr>
          <w:p w14:paraId="076C086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药包锚杆</w:t>
            </w:r>
          </w:p>
        </w:tc>
        <w:tc>
          <w:tcPr>
            <w:tcW w:w="837" w:type="dxa"/>
            <w:noWrap w:val="0"/>
            <w:vAlign w:val="center"/>
          </w:tcPr>
          <w:p w14:paraId="6D0D5E7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A46E75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37E63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1809B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771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D6FCE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-c-3</w:t>
            </w:r>
          </w:p>
        </w:tc>
        <w:tc>
          <w:tcPr>
            <w:tcW w:w="4644" w:type="dxa"/>
            <w:noWrap w:val="0"/>
            <w:vAlign w:val="center"/>
          </w:tcPr>
          <w:p w14:paraId="06F3EBF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中空注浆锚杆</w:t>
            </w:r>
          </w:p>
        </w:tc>
        <w:tc>
          <w:tcPr>
            <w:tcW w:w="837" w:type="dxa"/>
            <w:noWrap w:val="0"/>
            <w:vAlign w:val="center"/>
          </w:tcPr>
          <w:p w14:paraId="44BFA2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A5BE8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8E5C7F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3A639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590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EF9D3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-c-4</w:t>
            </w:r>
          </w:p>
        </w:tc>
        <w:tc>
          <w:tcPr>
            <w:tcW w:w="4644" w:type="dxa"/>
            <w:noWrap w:val="0"/>
            <w:vAlign w:val="center"/>
          </w:tcPr>
          <w:p w14:paraId="0CC0790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自进式锚杆</w:t>
            </w:r>
          </w:p>
        </w:tc>
        <w:tc>
          <w:tcPr>
            <w:tcW w:w="837" w:type="dxa"/>
            <w:noWrap w:val="0"/>
            <w:vAlign w:val="center"/>
          </w:tcPr>
          <w:p w14:paraId="1D9E6B0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5AA2E7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C829A2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5CA89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07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BFB027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-c-5</w:t>
            </w:r>
          </w:p>
        </w:tc>
        <w:tc>
          <w:tcPr>
            <w:tcW w:w="4644" w:type="dxa"/>
            <w:noWrap w:val="0"/>
            <w:vAlign w:val="center"/>
          </w:tcPr>
          <w:p w14:paraId="261EFFA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预应力锚杆</w:t>
            </w:r>
          </w:p>
        </w:tc>
        <w:tc>
          <w:tcPr>
            <w:tcW w:w="837" w:type="dxa"/>
            <w:noWrap w:val="0"/>
            <w:vAlign w:val="center"/>
          </w:tcPr>
          <w:p w14:paraId="0D89D7B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EEEE0C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8CAD0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2C8F5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CEA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BEBC5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338AC8A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喷射混凝土支护</w:t>
            </w:r>
          </w:p>
        </w:tc>
        <w:tc>
          <w:tcPr>
            <w:tcW w:w="837" w:type="dxa"/>
            <w:noWrap w:val="0"/>
            <w:vAlign w:val="center"/>
          </w:tcPr>
          <w:p w14:paraId="5E39A40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28B3A3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2E0AC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66A43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CCD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00070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4644" w:type="dxa"/>
            <w:noWrap w:val="0"/>
            <w:vAlign w:val="center"/>
          </w:tcPr>
          <w:p w14:paraId="4356A84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837" w:type="dxa"/>
            <w:noWrap w:val="0"/>
            <w:vAlign w:val="center"/>
          </w:tcPr>
          <w:p w14:paraId="10E1DCF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9DE75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6856F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AFFEB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616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6B9E9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-d-2</w:t>
            </w:r>
          </w:p>
        </w:tc>
        <w:tc>
          <w:tcPr>
            <w:tcW w:w="4644" w:type="dxa"/>
            <w:noWrap w:val="0"/>
            <w:vAlign w:val="center"/>
          </w:tcPr>
          <w:p w14:paraId="73E4734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w:t>
            </w:r>
          </w:p>
        </w:tc>
        <w:tc>
          <w:tcPr>
            <w:tcW w:w="837" w:type="dxa"/>
            <w:noWrap w:val="0"/>
            <w:vAlign w:val="center"/>
          </w:tcPr>
          <w:p w14:paraId="541699B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5F9C6C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6586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9C2BA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23D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D44A1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23F2D82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钢支架支护</w:t>
            </w:r>
          </w:p>
        </w:tc>
        <w:tc>
          <w:tcPr>
            <w:tcW w:w="837" w:type="dxa"/>
            <w:noWrap w:val="0"/>
            <w:vAlign w:val="center"/>
          </w:tcPr>
          <w:p w14:paraId="04C326D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C17E36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B3AA8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75AE0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B6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B5064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-e-1</w:t>
            </w:r>
          </w:p>
        </w:tc>
        <w:tc>
          <w:tcPr>
            <w:tcW w:w="4644" w:type="dxa"/>
            <w:noWrap w:val="0"/>
            <w:vAlign w:val="center"/>
          </w:tcPr>
          <w:p w14:paraId="3F2F70F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型钢支架</w:t>
            </w:r>
          </w:p>
        </w:tc>
        <w:tc>
          <w:tcPr>
            <w:tcW w:w="837" w:type="dxa"/>
            <w:noWrap w:val="0"/>
            <w:vAlign w:val="center"/>
          </w:tcPr>
          <w:p w14:paraId="5EBBFCC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FD312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C203E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9AFC2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416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024A0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-e-2</w:t>
            </w:r>
          </w:p>
        </w:tc>
        <w:tc>
          <w:tcPr>
            <w:tcW w:w="4644" w:type="dxa"/>
            <w:noWrap w:val="0"/>
            <w:vAlign w:val="center"/>
          </w:tcPr>
          <w:p w14:paraId="7B8A922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钢筋格栅</w:t>
            </w:r>
          </w:p>
        </w:tc>
        <w:tc>
          <w:tcPr>
            <w:tcW w:w="837" w:type="dxa"/>
            <w:noWrap w:val="0"/>
            <w:vAlign w:val="center"/>
          </w:tcPr>
          <w:p w14:paraId="1F5EB95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2B95DE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9E93A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EB44E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36E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D9C79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w:t>
            </w:r>
          </w:p>
        </w:tc>
        <w:tc>
          <w:tcPr>
            <w:tcW w:w="4644" w:type="dxa"/>
            <w:noWrap w:val="0"/>
            <w:vAlign w:val="center"/>
          </w:tcPr>
          <w:p w14:paraId="7DE9875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洞身衬砌</w:t>
            </w:r>
          </w:p>
        </w:tc>
        <w:tc>
          <w:tcPr>
            <w:tcW w:w="837" w:type="dxa"/>
            <w:noWrap w:val="0"/>
            <w:vAlign w:val="center"/>
          </w:tcPr>
          <w:p w14:paraId="493331E4">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4DF7B6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02C747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F40A2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546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DB2F6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504-1</w:t>
            </w:r>
          </w:p>
        </w:tc>
        <w:tc>
          <w:tcPr>
            <w:tcW w:w="4644" w:type="dxa"/>
            <w:noWrap w:val="0"/>
            <w:vAlign w:val="center"/>
          </w:tcPr>
          <w:p w14:paraId="480DFC2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洞身衬砌</w:t>
            </w:r>
          </w:p>
        </w:tc>
        <w:tc>
          <w:tcPr>
            <w:tcW w:w="837" w:type="dxa"/>
            <w:noWrap w:val="0"/>
            <w:vAlign w:val="center"/>
          </w:tcPr>
          <w:p w14:paraId="6AFD8C9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B1E6CD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28A20B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78792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FF5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CA41A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6881DF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09BF9E1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6C5A2A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1D61AD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ED78F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3B9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9874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1BDB17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1BEFC0F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C8ED84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4C112F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71B3F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891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91635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504-2</w:t>
            </w:r>
          </w:p>
        </w:tc>
        <w:tc>
          <w:tcPr>
            <w:tcW w:w="4644" w:type="dxa"/>
            <w:noWrap w:val="0"/>
            <w:vAlign w:val="center"/>
          </w:tcPr>
          <w:p w14:paraId="5F1AB57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仰拱、铺底混凝土</w:t>
            </w:r>
          </w:p>
        </w:tc>
        <w:tc>
          <w:tcPr>
            <w:tcW w:w="837" w:type="dxa"/>
            <w:noWrap w:val="0"/>
            <w:vAlign w:val="center"/>
          </w:tcPr>
          <w:p w14:paraId="6E343B75">
            <w:pPr>
              <w:pageBreakBefore w:val="0"/>
              <w:widowControl/>
              <w:kinsoku/>
              <w:wordWrap w:val="0"/>
              <w:bidi w:val="0"/>
              <w:spacing w:line="340" w:lineRule="atLeast"/>
              <w:rPr>
                <w:rFonts w:hint="default" w:ascii="Times New Roman" w:hAnsi="Times New Roman" w:cs="Times New Roman"/>
                <w:color w:val="auto"/>
                <w:kern w:val="0"/>
                <w:szCs w:val="21"/>
                <w:highlight w:val="none"/>
              </w:rPr>
            </w:pPr>
          </w:p>
        </w:tc>
        <w:tc>
          <w:tcPr>
            <w:tcW w:w="837" w:type="dxa"/>
            <w:noWrap w:val="0"/>
            <w:vAlign w:val="center"/>
          </w:tcPr>
          <w:p w14:paraId="57E646B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FAE6F6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2DCA0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AA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0D4C7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EC9F86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现浇混凝土仰拱</w:t>
            </w:r>
          </w:p>
        </w:tc>
        <w:tc>
          <w:tcPr>
            <w:tcW w:w="837" w:type="dxa"/>
            <w:noWrap w:val="0"/>
            <w:vAlign w:val="center"/>
          </w:tcPr>
          <w:p w14:paraId="6BB2707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772C2E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9CA6D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430C3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5DC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384FC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6F79608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现浇混凝土仰拱回填</w:t>
            </w:r>
          </w:p>
        </w:tc>
        <w:tc>
          <w:tcPr>
            <w:tcW w:w="837" w:type="dxa"/>
            <w:noWrap w:val="0"/>
            <w:vAlign w:val="center"/>
          </w:tcPr>
          <w:p w14:paraId="7EA79BE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7804B8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2F83AD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CFF53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536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40DB9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504-3</w:t>
            </w:r>
          </w:p>
        </w:tc>
        <w:tc>
          <w:tcPr>
            <w:tcW w:w="4644" w:type="dxa"/>
            <w:noWrap w:val="0"/>
            <w:vAlign w:val="center"/>
          </w:tcPr>
          <w:p w14:paraId="04A0B8F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边沟、电缆沟混凝土</w:t>
            </w:r>
          </w:p>
        </w:tc>
        <w:tc>
          <w:tcPr>
            <w:tcW w:w="837" w:type="dxa"/>
            <w:noWrap w:val="0"/>
            <w:vAlign w:val="center"/>
          </w:tcPr>
          <w:p w14:paraId="34EB2AD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DD2D4D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565621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F536A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AA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32DAA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248DE3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现浇混凝土沟槽</w:t>
            </w:r>
          </w:p>
        </w:tc>
        <w:tc>
          <w:tcPr>
            <w:tcW w:w="837" w:type="dxa"/>
            <w:noWrap w:val="0"/>
            <w:vAlign w:val="center"/>
          </w:tcPr>
          <w:p w14:paraId="280EC58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1C47B6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5BF05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3674D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C60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C7272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CCA020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w:t>
            </w:r>
          </w:p>
        </w:tc>
        <w:tc>
          <w:tcPr>
            <w:tcW w:w="837" w:type="dxa"/>
            <w:noWrap w:val="0"/>
            <w:vAlign w:val="center"/>
          </w:tcPr>
          <w:p w14:paraId="55DC041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0C5590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F059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7E566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16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353E5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196E4A6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预制安装混凝土沟槽盖板</w:t>
            </w:r>
          </w:p>
        </w:tc>
        <w:tc>
          <w:tcPr>
            <w:tcW w:w="837" w:type="dxa"/>
            <w:noWrap w:val="0"/>
            <w:vAlign w:val="center"/>
          </w:tcPr>
          <w:p w14:paraId="16C7ECC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DC7E99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E0DC51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A85F6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F21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E4553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1FB9AD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7A58E04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18CE71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4F95AF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E98AF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AFF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5B2D3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4BBBAB3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铸铁盖板</w:t>
            </w:r>
          </w:p>
        </w:tc>
        <w:tc>
          <w:tcPr>
            <w:tcW w:w="837" w:type="dxa"/>
            <w:noWrap w:val="0"/>
            <w:vAlign w:val="center"/>
          </w:tcPr>
          <w:p w14:paraId="62DCF1C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CECD9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707AE6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11E10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32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31437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504-4</w:t>
            </w:r>
          </w:p>
        </w:tc>
        <w:tc>
          <w:tcPr>
            <w:tcW w:w="4644" w:type="dxa"/>
            <w:noWrap w:val="0"/>
            <w:vAlign w:val="center"/>
          </w:tcPr>
          <w:p w14:paraId="044FBEA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洞室门</w:t>
            </w:r>
          </w:p>
        </w:tc>
        <w:tc>
          <w:tcPr>
            <w:tcW w:w="837" w:type="dxa"/>
            <w:noWrap w:val="0"/>
            <w:vAlign w:val="center"/>
          </w:tcPr>
          <w:p w14:paraId="4349F8F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E587C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6545C9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4F0A9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C18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ADD6B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504-5</w:t>
            </w:r>
          </w:p>
        </w:tc>
        <w:tc>
          <w:tcPr>
            <w:tcW w:w="4644" w:type="dxa"/>
            <w:noWrap w:val="0"/>
            <w:vAlign w:val="center"/>
          </w:tcPr>
          <w:p w14:paraId="6D503A7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洞内路面</w:t>
            </w:r>
          </w:p>
        </w:tc>
        <w:tc>
          <w:tcPr>
            <w:tcW w:w="837" w:type="dxa"/>
            <w:noWrap w:val="0"/>
            <w:vAlign w:val="center"/>
          </w:tcPr>
          <w:p w14:paraId="12C7E90A">
            <w:pPr>
              <w:pageBreakBefore w:val="0"/>
              <w:widowControl/>
              <w:kinsoku/>
              <w:wordWrap w:val="0"/>
              <w:bidi w:val="0"/>
              <w:spacing w:line="340" w:lineRule="atLeast"/>
              <w:rPr>
                <w:rFonts w:hint="default" w:ascii="Times New Roman" w:hAnsi="Times New Roman" w:cs="Times New Roman"/>
                <w:color w:val="auto"/>
                <w:kern w:val="0"/>
                <w:szCs w:val="21"/>
                <w:highlight w:val="none"/>
              </w:rPr>
            </w:pPr>
          </w:p>
        </w:tc>
        <w:tc>
          <w:tcPr>
            <w:tcW w:w="837" w:type="dxa"/>
            <w:noWrap w:val="0"/>
            <w:vAlign w:val="center"/>
          </w:tcPr>
          <w:p w14:paraId="722DF19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1411AD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B028B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8EF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8A23D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7E848B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285D02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84AF7F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106095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FA01C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C9E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F954C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0B7BEA6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4AB65BE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3570E5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ACC650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2BC3F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CF4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95FD9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w:t>
            </w:r>
          </w:p>
        </w:tc>
        <w:tc>
          <w:tcPr>
            <w:tcW w:w="4644" w:type="dxa"/>
            <w:noWrap w:val="0"/>
            <w:vAlign w:val="center"/>
          </w:tcPr>
          <w:p w14:paraId="42A0CD9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361E1FC1">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5E2D0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1187F8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53518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0F3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D578D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505-1</w:t>
            </w:r>
          </w:p>
        </w:tc>
        <w:tc>
          <w:tcPr>
            <w:tcW w:w="4644" w:type="dxa"/>
            <w:noWrap w:val="0"/>
            <w:vAlign w:val="center"/>
          </w:tcPr>
          <w:p w14:paraId="5CFE242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63E2A22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837894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5558E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EB3B4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469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73428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2738E63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金属材料</w:t>
            </w:r>
          </w:p>
        </w:tc>
        <w:tc>
          <w:tcPr>
            <w:tcW w:w="837" w:type="dxa"/>
            <w:noWrap w:val="0"/>
            <w:vAlign w:val="center"/>
          </w:tcPr>
          <w:p w14:paraId="7212B62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A06F74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E3BE81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13A2D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93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0C16F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143144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排水管</w:t>
            </w:r>
          </w:p>
        </w:tc>
        <w:tc>
          <w:tcPr>
            <w:tcW w:w="837" w:type="dxa"/>
            <w:noWrap w:val="0"/>
            <w:vAlign w:val="center"/>
          </w:tcPr>
          <w:p w14:paraId="45FE899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F07C5E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4F4BA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74ECB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426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9FD14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644" w:type="dxa"/>
            <w:noWrap w:val="0"/>
            <w:vAlign w:val="center"/>
          </w:tcPr>
          <w:p w14:paraId="75CD7E7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钢筋混凝土排水管</w:t>
            </w:r>
          </w:p>
        </w:tc>
        <w:tc>
          <w:tcPr>
            <w:tcW w:w="837" w:type="dxa"/>
            <w:noWrap w:val="0"/>
            <w:vAlign w:val="center"/>
          </w:tcPr>
          <w:p w14:paraId="0B572AD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20D92F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C4EBAD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6A32D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B08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01B9E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644" w:type="dxa"/>
            <w:noWrap w:val="0"/>
            <w:vAlign w:val="center"/>
          </w:tcPr>
          <w:p w14:paraId="02267D0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PVC排水管</w:t>
            </w:r>
          </w:p>
        </w:tc>
        <w:tc>
          <w:tcPr>
            <w:tcW w:w="837" w:type="dxa"/>
            <w:noWrap w:val="0"/>
            <w:vAlign w:val="center"/>
          </w:tcPr>
          <w:p w14:paraId="6DDB38E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604424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462EED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DBAC4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2D0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80843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-b-3</w:t>
            </w:r>
          </w:p>
        </w:tc>
        <w:tc>
          <w:tcPr>
            <w:tcW w:w="4644" w:type="dxa"/>
            <w:noWrap w:val="0"/>
            <w:vAlign w:val="center"/>
          </w:tcPr>
          <w:p w14:paraId="6814F2C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U形排水管</w:t>
            </w:r>
          </w:p>
        </w:tc>
        <w:tc>
          <w:tcPr>
            <w:tcW w:w="837" w:type="dxa"/>
            <w:noWrap w:val="0"/>
            <w:vAlign w:val="center"/>
          </w:tcPr>
          <w:p w14:paraId="68FE0FC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3BF18C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2D135B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16C92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9D6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E4294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-b-4</w:t>
            </w:r>
          </w:p>
        </w:tc>
        <w:tc>
          <w:tcPr>
            <w:tcW w:w="4644" w:type="dxa"/>
            <w:noWrap w:val="0"/>
            <w:vAlign w:val="center"/>
          </w:tcPr>
          <w:p w14:paraId="685DAD8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Ω形排水管</w:t>
            </w:r>
          </w:p>
        </w:tc>
        <w:tc>
          <w:tcPr>
            <w:tcW w:w="837" w:type="dxa"/>
            <w:noWrap w:val="0"/>
            <w:vAlign w:val="center"/>
          </w:tcPr>
          <w:p w14:paraId="3D91F54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13A977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80F7BB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04FE6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C68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784C9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2EDCBDA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防水板</w:t>
            </w:r>
          </w:p>
        </w:tc>
        <w:tc>
          <w:tcPr>
            <w:tcW w:w="837" w:type="dxa"/>
            <w:noWrap w:val="0"/>
            <w:vAlign w:val="center"/>
          </w:tcPr>
          <w:p w14:paraId="1AC9C5C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769E950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050F94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96D05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65D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7E41B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C21065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止水带</w:t>
            </w:r>
          </w:p>
        </w:tc>
        <w:tc>
          <w:tcPr>
            <w:tcW w:w="837" w:type="dxa"/>
            <w:noWrap w:val="0"/>
            <w:vAlign w:val="center"/>
          </w:tcPr>
          <w:p w14:paraId="64AFBAA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1D8312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24CDC6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CA11B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64F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2F4A1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2B19A78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止水条</w:t>
            </w:r>
          </w:p>
        </w:tc>
        <w:tc>
          <w:tcPr>
            <w:tcW w:w="837" w:type="dxa"/>
            <w:noWrap w:val="0"/>
            <w:vAlign w:val="center"/>
          </w:tcPr>
          <w:p w14:paraId="3F8478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2320A5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FDF89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A84DD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9AB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59B16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277943E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涂料防水层</w:t>
            </w:r>
          </w:p>
        </w:tc>
        <w:tc>
          <w:tcPr>
            <w:tcW w:w="837" w:type="dxa"/>
            <w:noWrap w:val="0"/>
            <w:vAlign w:val="center"/>
          </w:tcPr>
          <w:p w14:paraId="5B98A62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6B75EFB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6D836F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D0F77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3CF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E9240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73217C8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注浆</w:t>
            </w:r>
          </w:p>
        </w:tc>
        <w:tc>
          <w:tcPr>
            <w:tcW w:w="837" w:type="dxa"/>
            <w:noWrap w:val="0"/>
            <w:vAlign w:val="center"/>
          </w:tcPr>
          <w:p w14:paraId="3EB7755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280D61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92A090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A9377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068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1F88B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-g-1</w:t>
            </w:r>
          </w:p>
        </w:tc>
        <w:tc>
          <w:tcPr>
            <w:tcW w:w="4644" w:type="dxa"/>
            <w:noWrap w:val="0"/>
            <w:vAlign w:val="center"/>
          </w:tcPr>
          <w:p w14:paraId="53B4AB3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w:t>
            </w:r>
          </w:p>
        </w:tc>
        <w:tc>
          <w:tcPr>
            <w:tcW w:w="837" w:type="dxa"/>
            <w:noWrap w:val="0"/>
            <w:vAlign w:val="center"/>
          </w:tcPr>
          <w:p w14:paraId="3490EC1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w:t>
            </w:r>
          </w:p>
        </w:tc>
        <w:tc>
          <w:tcPr>
            <w:tcW w:w="837" w:type="dxa"/>
            <w:noWrap w:val="0"/>
            <w:vAlign w:val="center"/>
          </w:tcPr>
          <w:p w14:paraId="4E6D9E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91C76D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62E25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80F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3CEF1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-g-2</w:t>
            </w:r>
          </w:p>
        </w:tc>
        <w:tc>
          <w:tcPr>
            <w:tcW w:w="4644" w:type="dxa"/>
            <w:noWrap w:val="0"/>
            <w:vAlign w:val="center"/>
          </w:tcPr>
          <w:p w14:paraId="3FD5048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水玻璃原液</w:t>
            </w:r>
          </w:p>
        </w:tc>
        <w:tc>
          <w:tcPr>
            <w:tcW w:w="837" w:type="dxa"/>
            <w:noWrap w:val="0"/>
            <w:vAlign w:val="center"/>
          </w:tcPr>
          <w:p w14:paraId="43DFCE8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5F251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FA965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E8222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DB6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12069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505-2</w:t>
            </w:r>
          </w:p>
        </w:tc>
        <w:tc>
          <w:tcPr>
            <w:tcW w:w="4644" w:type="dxa"/>
            <w:noWrap w:val="0"/>
            <w:vAlign w:val="center"/>
          </w:tcPr>
          <w:p w14:paraId="56866B62">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w:t>
            </w:r>
          </w:p>
        </w:tc>
        <w:tc>
          <w:tcPr>
            <w:tcW w:w="837" w:type="dxa"/>
            <w:noWrap w:val="0"/>
            <w:vAlign w:val="center"/>
          </w:tcPr>
          <w:p w14:paraId="2709AABE">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CE9BB8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7DD9A1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FA44B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306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7E4A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0D2482C">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保温层</w:t>
            </w:r>
          </w:p>
        </w:tc>
        <w:tc>
          <w:tcPr>
            <w:tcW w:w="837" w:type="dxa"/>
            <w:noWrap w:val="0"/>
            <w:vAlign w:val="center"/>
          </w:tcPr>
          <w:p w14:paraId="342223A2">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B9DEAA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32616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4AA8F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148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FB8A4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4D1E01A7">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洞口排水保温</w:t>
            </w:r>
          </w:p>
        </w:tc>
        <w:tc>
          <w:tcPr>
            <w:tcW w:w="837" w:type="dxa"/>
            <w:noWrap w:val="0"/>
            <w:vAlign w:val="center"/>
          </w:tcPr>
          <w:p w14:paraId="7308C40E">
            <w:pPr>
              <w:pageBreakBefore w:val="0"/>
              <w:widowControl/>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749DB6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EBAA27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23D98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CEC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7E888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644" w:type="dxa"/>
            <w:noWrap w:val="0"/>
            <w:vAlign w:val="center"/>
          </w:tcPr>
          <w:p w14:paraId="3EBD5D51">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洞口排水沟保温层</w:t>
            </w:r>
          </w:p>
        </w:tc>
        <w:tc>
          <w:tcPr>
            <w:tcW w:w="837" w:type="dxa"/>
            <w:noWrap w:val="0"/>
            <w:vAlign w:val="center"/>
          </w:tcPr>
          <w:p w14:paraId="63DB01BB">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D13011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6F5E87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4A723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F6B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FC9BE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644" w:type="dxa"/>
            <w:noWrap w:val="0"/>
            <w:vAlign w:val="center"/>
          </w:tcPr>
          <w:p w14:paraId="044F6F02">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保温出水口暗管</w:t>
            </w:r>
          </w:p>
        </w:tc>
        <w:tc>
          <w:tcPr>
            <w:tcW w:w="837" w:type="dxa"/>
            <w:noWrap w:val="0"/>
            <w:vAlign w:val="center"/>
          </w:tcPr>
          <w:p w14:paraId="6B56B45D">
            <w:pPr>
              <w:pageBreakBefore w:val="0"/>
              <w:widowControl/>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m </w:t>
            </w:r>
          </w:p>
        </w:tc>
        <w:tc>
          <w:tcPr>
            <w:tcW w:w="837" w:type="dxa"/>
            <w:noWrap w:val="0"/>
            <w:vAlign w:val="center"/>
          </w:tcPr>
          <w:p w14:paraId="6E16BD1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58EB9C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0D5B6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B78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1E5DB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-b-3</w:t>
            </w:r>
          </w:p>
        </w:tc>
        <w:tc>
          <w:tcPr>
            <w:tcW w:w="4644" w:type="dxa"/>
            <w:noWrap w:val="0"/>
            <w:vAlign w:val="center"/>
          </w:tcPr>
          <w:p w14:paraId="7FD05A93">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保温出水口</w:t>
            </w:r>
          </w:p>
        </w:tc>
        <w:tc>
          <w:tcPr>
            <w:tcW w:w="837" w:type="dxa"/>
            <w:noWrap w:val="0"/>
            <w:vAlign w:val="center"/>
          </w:tcPr>
          <w:p w14:paraId="0F0B8FF9">
            <w:pPr>
              <w:pageBreakBefore w:val="0"/>
              <w:widowControl/>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w:t>
            </w:r>
          </w:p>
        </w:tc>
        <w:tc>
          <w:tcPr>
            <w:tcW w:w="837" w:type="dxa"/>
            <w:noWrap w:val="0"/>
            <w:vAlign w:val="center"/>
          </w:tcPr>
          <w:p w14:paraId="039CEDF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0DE94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0AC45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CEC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C9BAB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w:t>
            </w:r>
          </w:p>
        </w:tc>
        <w:tc>
          <w:tcPr>
            <w:tcW w:w="4644" w:type="dxa"/>
            <w:noWrap w:val="0"/>
            <w:vAlign w:val="center"/>
          </w:tcPr>
          <w:p w14:paraId="723CC6F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洞内防火涂料和装饰工程</w:t>
            </w:r>
          </w:p>
        </w:tc>
        <w:tc>
          <w:tcPr>
            <w:tcW w:w="837" w:type="dxa"/>
            <w:noWrap w:val="0"/>
            <w:vAlign w:val="center"/>
          </w:tcPr>
          <w:p w14:paraId="1057F997">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43B975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A880D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B3F5F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C8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F365D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506-1</w:t>
            </w:r>
          </w:p>
        </w:tc>
        <w:tc>
          <w:tcPr>
            <w:tcW w:w="4644" w:type="dxa"/>
            <w:noWrap w:val="0"/>
            <w:vAlign w:val="center"/>
          </w:tcPr>
          <w:p w14:paraId="04C3310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洞内防火涂料</w:t>
            </w:r>
          </w:p>
        </w:tc>
        <w:tc>
          <w:tcPr>
            <w:tcW w:w="837" w:type="dxa"/>
            <w:noWrap w:val="0"/>
            <w:vAlign w:val="center"/>
          </w:tcPr>
          <w:p w14:paraId="2F52276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5AF2F5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BA78A4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5BD66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E77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0ED14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506-2</w:t>
            </w:r>
          </w:p>
        </w:tc>
        <w:tc>
          <w:tcPr>
            <w:tcW w:w="4644" w:type="dxa"/>
            <w:noWrap w:val="0"/>
            <w:vAlign w:val="center"/>
          </w:tcPr>
          <w:p w14:paraId="4377BEB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洞内装饰工程</w:t>
            </w:r>
          </w:p>
        </w:tc>
        <w:tc>
          <w:tcPr>
            <w:tcW w:w="837" w:type="dxa"/>
            <w:noWrap w:val="0"/>
            <w:vAlign w:val="center"/>
          </w:tcPr>
          <w:p w14:paraId="0CDCF37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1EF85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1A4DF7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704E5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E9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E34F5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D427E7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墙面装饰</w:t>
            </w:r>
          </w:p>
        </w:tc>
        <w:tc>
          <w:tcPr>
            <w:tcW w:w="837" w:type="dxa"/>
            <w:noWrap w:val="0"/>
            <w:vAlign w:val="center"/>
          </w:tcPr>
          <w:p w14:paraId="2FFCF21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09E0864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55F80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6C7DB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43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A2A25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55FCC3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喷涂混凝土专用漆</w:t>
            </w:r>
          </w:p>
        </w:tc>
        <w:tc>
          <w:tcPr>
            <w:tcW w:w="837" w:type="dxa"/>
            <w:noWrap w:val="0"/>
            <w:vAlign w:val="center"/>
          </w:tcPr>
          <w:p w14:paraId="105854E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3C2AE1C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D70A10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864E7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053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D36AB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69EC416F">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吊顶</w:t>
            </w:r>
          </w:p>
        </w:tc>
        <w:tc>
          <w:tcPr>
            <w:tcW w:w="837" w:type="dxa"/>
            <w:noWrap w:val="0"/>
            <w:vAlign w:val="center"/>
          </w:tcPr>
          <w:p w14:paraId="709B1A4A">
            <w:pPr>
              <w:pageBreakBefore w:val="0"/>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7AEE40B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EE6F0B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99B87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4B6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65631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508</w:t>
            </w:r>
          </w:p>
        </w:tc>
        <w:tc>
          <w:tcPr>
            <w:tcW w:w="4644" w:type="dxa"/>
            <w:noWrap w:val="0"/>
            <w:vAlign w:val="center"/>
          </w:tcPr>
          <w:p w14:paraId="4B7FAC9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监控量测</w:t>
            </w:r>
          </w:p>
        </w:tc>
        <w:tc>
          <w:tcPr>
            <w:tcW w:w="837" w:type="dxa"/>
            <w:noWrap w:val="0"/>
            <w:vAlign w:val="center"/>
          </w:tcPr>
          <w:p w14:paraId="7CC0D6B9">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1140B3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FCF3DE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DB3AC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349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A9DE3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508-1</w:t>
            </w:r>
          </w:p>
        </w:tc>
        <w:tc>
          <w:tcPr>
            <w:tcW w:w="4644" w:type="dxa"/>
            <w:noWrap w:val="0"/>
            <w:vAlign w:val="center"/>
          </w:tcPr>
          <w:p w14:paraId="24A6E5E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监控量测</w:t>
            </w:r>
          </w:p>
        </w:tc>
        <w:tc>
          <w:tcPr>
            <w:tcW w:w="837" w:type="dxa"/>
            <w:noWrap w:val="0"/>
            <w:vAlign w:val="center"/>
          </w:tcPr>
          <w:p w14:paraId="718E321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FD33FF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A8171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CB457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874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09504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727C9C3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必测项目</w:t>
            </w:r>
          </w:p>
        </w:tc>
        <w:tc>
          <w:tcPr>
            <w:tcW w:w="837" w:type="dxa"/>
            <w:noWrap w:val="0"/>
            <w:vAlign w:val="center"/>
          </w:tcPr>
          <w:p w14:paraId="66428C0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7E8EEC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021E7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36521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7EC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8E8245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1C97CF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选测项目</w:t>
            </w:r>
          </w:p>
        </w:tc>
        <w:tc>
          <w:tcPr>
            <w:tcW w:w="837" w:type="dxa"/>
            <w:noWrap w:val="0"/>
            <w:vAlign w:val="center"/>
          </w:tcPr>
          <w:p w14:paraId="2475408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6D31C2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D5E27E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8F2C9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C50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86229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509</w:t>
            </w:r>
          </w:p>
        </w:tc>
        <w:tc>
          <w:tcPr>
            <w:tcW w:w="4644" w:type="dxa"/>
            <w:noWrap w:val="0"/>
            <w:vAlign w:val="center"/>
          </w:tcPr>
          <w:p w14:paraId="64D146BC">
            <w:pPr>
              <w:pageBreakBefore w:val="0"/>
              <w:widowControl/>
              <w:kinsoku/>
              <w:wordWrap w:val="0"/>
              <w:bidi w:val="0"/>
              <w:spacing w:line="34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特殊地质地段的施工与地质预报</w:t>
            </w:r>
          </w:p>
        </w:tc>
        <w:tc>
          <w:tcPr>
            <w:tcW w:w="837" w:type="dxa"/>
            <w:noWrap w:val="0"/>
            <w:vAlign w:val="center"/>
          </w:tcPr>
          <w:p w14:paraId="6A69C39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EFFEC9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24D8B1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7EDCC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5B9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F7AC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509-1</w:t>
            </w:r>
          </w:p>
        </w:tc>
        <w:tc>
          <w:tcPr>
            <w:tcW w:w="4644" w:type="dxa"/>
            <w:noWrap w:val="0"/>
            <w:vAlign w:val="center"/>
          </w:tcPr>
          <w:p w14:paraId="2E65DC9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地质预报</w:t>
            </w:r>
          </w:p>
        </w:tc>
        <w:tc>
          <w:tcPr>
            <w:tcW w:w="837" w:type="dxa"/>
            <w:noWrap w:val="0"/>
            <w:vAlign w:val="center"/>
          </w:tcPr>
          <w:p w14:paraId="2BDF63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44EB34F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AE9B47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EA57A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97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2E547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w:t>
            </w:r>
          </w:p>
        </w:tc>
        <w:tc>
          <w:tcPr>
            <w:tcW w:w="4644" w:type="dxa"/>
            <w:noWrap w:val="0"/>
            <w:vAlign w:val="center"/>
          </w:tcPr>
          <w:p w14:paraId="1A6F0FE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洞内机电设施预埋件和消防设施</w:t>
            </w:r>
          </w:p>
        </w:tc>
        <w:tc>
          <w:tcPr>
            <w:tcW w:w="837" w:type="dxa"/>
            <w:noWrap w:val="0"/>
            <w:vAlign w:val="center"/>
          </w:tcPr>
          <w:p w14:paraId="0E5F77F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998DA1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047993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B11A5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6F9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26D4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510-1</w:t>
            </w:r>
          </w:p>
        </w:tc>
        <w:tc>
          <w:tcPr>
            <w:tcW w:w="4644" w:type="dxa"/>
            <w:noWrap w:val="0"/>
            <w:vAlign w:val="center"/>
          </w:tcPr>
          <w:p w14:paraId="223C274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预埋件</w:t>
            </w:r>
          </w:p>
        </w:tc>
        <w:tc>
          <w:tcPr>
            <w:tcW w:w="837" w:type="dxa"/>
            <w:noWrap w:val="0"/>
            <w:vAlign w:val="center"/>
          </w:tcPr>
          <w:p w14:paraId="723D235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4494CB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227156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1E87B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AA1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8134D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200F9A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通风设施预埋件</w:t>
            </w:r>
          </w:p>
        </w:tc>
        <w:tc>
          <w:tcPr>
            <w:tcW w:w="837" w:type="dxa"/>
            <w:noWrap w:val="0"/>
            <w:vAlign w:val="top"/>
          </w:tcPr>
          <w:p w14:paraId="21B8B84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0DB183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0831D4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50054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A43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A62A8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1127784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通信设施预埋件</w:t>
            </w:r>
          </w:p>
        </w:tc>
        <w:tc>
          <w:tcPr>
            <w:tcW w:w="837" w:type="dxa"/>
            <w:noWrap w:val="0"/>
            <w:vAlign w:val="top"/>
          </w:tcPr>
          <w:p w14:paraId="0224019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09B1F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09AFC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82EFF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044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636F7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1B2FD63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照明设施预埋件</w:t>
            </w:r>
          </w:p>
        </w:tc>
        <w:tc>
          <w:tcPr>
            <w:tcW w:w="837" w:type="dxa"/>
            <w:noWrap w:val="0"/>
            <w:vAlign w:val="top"/>
          </w:tcPr>
          <w:p w14:paraId="347CAE4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1004B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5FEB5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2FE6E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D93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99EAE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224B771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监控设施预埋件</w:t>
            </w:r>
          </w:p>
        </w:tc>
        <w:tc>
          <w:tcPr>
            <w:tcW w:w="837" w:type="dxa"/>
            <w:noWrap w:val="0"/>
            <w:vAlign w:val="top"/>
          </w:tcPr>
          <w:p w14:paraId="32CAB12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30992C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E4DC20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5927A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34D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8689D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5970C66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供配电设施预埋件</w:t>
            </w:r>
          </w:p>
        </w:tc>
        <w:tc>
          <w:tcPr>
            <w:tcW w:w="837" w:type="dxa"/>
            <w:noWrap w:val="0"/>
            <w:vAlign w:val="top"/>
          </w:tcPr>
          <w:p w14:paraId="21B4A86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956B09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AFDD64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5797C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275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84C7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4644" w:type="dxa"/>
            <w:noWrap w:val="0"/>
            <w:vAlign w:val="center"/>
          </w:tcPr>
          <w:p w14:paraId="1D997057">
            <w:pPr>
              <w:pageBreakBefore w:val="0"/>
              <w:kinsoku/>
              <w:wordWrap w:val="0"/>
              <w:bidi w:val="0"/>
              <w:snapToGrid w:val="0"/>
              <w:spacing w:line="340" w:lineRule="atLeast"/>
              <w:ind w:left="-50" w:right="-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37" w:type="dxa"/>
            <w:noWrap w:val="0"/>
            <w:vAlign w:val="top"/>
          </w:tcPr>
          <w:p w14:paraId="70E1920C">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75DB11C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F88212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D7A05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2AB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99A2F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510-2</w:t>
            </w:r>
          </w:p>
        </w:tc>
        <w:tc>
          <w:tcPr>
            <w:tcW w:w="4644" w:type="dxa"/>
            <w:noWrap w:val="0"/>
            <w:vAlign w:val="center"/>
          </w:tcPr>
          <w:p w14:paraId="23613E8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消防设施</w:t>
            </w:r>
          </w:p>
        </w:tc>
        <w:tc>
          <w:tcPr>
            <w:tcW w:w="837" w:type="dxa"/>
            <w:noWrap w:val="0"/>
            <w:vAlign w:val="center"/>
          </w:tcPr>
          <w:p w14:paraId="16918AE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1F7156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680193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CBE5B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780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E6CE1A">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644" w:type="dxa"/>
            <w:noWrap w:val="0"/>
            <w:vAlign w:val="center"/>
          </w:tcPr>
          <w:p w14:paraId="7E8EEEC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供水钢管（</w:t>
            </w:r>
            <w:r>
              <w:rPr>
                <w:rFonts w:hint="default" w:ascii="Times New Roman" w:hAnsi="Times New Roman" w:cs="Times New Roman"/>
                <w:color w:val="auto"/>
                <w:szCs w:val="21"/>
                <w:highlight w:val="none"/>
              </w:rPr>
              <w:t>Ф…mm</w:t>
            </w:r>
            <w:r>
              <w:rPr>
                <w:rFonts w:hint="default" w:ascii="Times New Roman" w:hAnsi="Times New Roman" w:cs="Times New Roman"/>
                <w:color w:val="auto"/>
                <w:kern w:val="0"/>
                <w:szCs w:val="21"/>
                <w:highlight w:val="none"/>
              </w:rPr>
              <w:t>）</w:t>
            </w:r>
          </w:p>
        </w:tc>
        <w:tc>
          <w:tcPr>
            <w:tcW w:w="837" w:type="dxa"/>
            <w:noWrap w:val="0"/>
            <w:vAlign w:val="center"/>
          </w:tcPr>
          <w:p w14:paraId="6DB09A3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7E39DB2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F33394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4CC74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7E6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0D248B">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644" w:type="dxa"/>
            <w:noWrap w:val="0"/>
            <w:vAlign w:val="center"/>
          </w:tcPr>
          <w:p w14:paraId="7B150A1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消防洞室防火门</w:t>
            </w:r>
          </w:p>
        </w:tc>
        <w:tc>
          <w:tcPr>
            <w:tcW w:w="837" w:type="dxa"/>
            <w:noWrap w:val="0"/>
            <w:vAlign w:val="center"/>
          </w:tcPr>
          <w:p w14:paraId="4BE2E6D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w:t>
            </w:r>
          </w:p>
        </w:tc>
        <w:tc>
          <w:tcPr>
            <w:tcW w:w="837" w:type="dxa"/>
            <w:noWrap w:val="0"/>
            <w:vAlign w:val="center"/>
          </w:tcPr>
          <w:p w14:paraId="2D6DEA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55A1FD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698FD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FE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EC78E8">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644" w:type="dxa"/>
            <w:noWrap w:val="0"/>
            <w:vAlign w:val="center"/>
          </w:tcPr>
          <w:p w14:paraId="4EAC100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集水池</w:t>
            </w:r>
          </w:p>
        </w:tc>
        <w:tc>
          <w:tcPr>
            <w:tcW w:w="837" w:type="dxa"/>
            <w:noWrap w:val="0"/>
            <w:vAlign w:val="center"/>
          </w:tcPr>
          <w:p w14:paraId="177E52CF">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44C59A4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552354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BE03C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16B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6CBA5A">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644" w:type="dxa"/>
            <w:noWrap w:val="0"/>
            <w:vAlign w:val="center"/>
          </w:tcPr>
          <w:p w14:paraId="3BD767B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蓄水池</w:t>
            </w:r>
          </w:p>
        </w:tc>
        <w:tc>
          <w:tcPr>
            <w:tcW w:w="837" w:type="dxa"/>
            <w:noWrap w:val="0"/>
            <w:vAlign w:val="center"/>
          </w:tcPr>
          <w:p w14:paraId="65F8DCB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5055B08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72078E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863CB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3ED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9FEC4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w:t>
            </w:r>
          </w:p>
        </w:tc>
        <w:tc>
          <w:tcPr>
            <w:tcW w:w="4644" w:type="dxa"/>
            <w:noWrap w:val="0"/>
            <w:vAlign w:val="center"/>
          </w:tcPr>
          <w:p w14:paraId="6F3FAD1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泵房</w:t>
            </w:r>
          </w:p>
        </w:tc>
        <w:tc>
          <w:tcPr>
            <w:tcW w:w="837" w:type="dxa"/>
            <w:noWrap w:val="0"/>
            <w:vAlign w:val="center"/>
          </w:tcPr>
          <w:p w14:paraId="38C084A5">
            <w:pPr>
              <w:pageBreakBefore w:val="0"/>
              <w:kinsoku/>
              <w:wordWrap w:val="0"/>
              <w:bidi w:val="0"/>
              <w:snapToGrid w:val="0"/>
              <w:spacing w:line="340" w:lineRule="atLeast"/>
              <w:ind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32D970D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FA24D2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256EA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10B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6114B1">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311152F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837" w:type="dxa"/>
            <w:noWrap w:val="0"/>
            <w:vAlign w:val="top"/>
          </w:tcPr>
          <w:p w14:paraId="21A253F4">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15CB3A3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0B8AE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34A8A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0E0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F5F933">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0CD8517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629A8BF3">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6B9A0B8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C06302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A24C6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0B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B4B016">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57668FF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751E9F58">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3C84E4E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4B61E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07774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D4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D74BAB">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39F2740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67AB8B20">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100A212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CDD8F7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1D3C3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21A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2CB5BF6">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清单第500章合计  人民币</w:t>
            </w:r>
            <w:r>
              <w:rPr>
                <w:rFonts w:hint="default" w:ascii="Times New Roman" w:hAnsi="Times New Roman" w:cs="Times New Roman"/>
                <w:color w:val="auto"/>
                <w:szCs w:val="21"/>
                <w:highlight w:val="none"/>
                <w:u w:val="single"/>
              </w:rPr>
              <w:t xml:space="preserve">                    </w:t>
            </w:r>
          </w:p>
        </w:tc>
      </w:tr>
    </w:tbl>
    <w:p w14:paraId="2C222ACE">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149FFC06">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1FFB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8103EEF">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第600章   安全设施及预埋管线</w:t>
            </w:r>
          </w:p>
        </w:tc>
      </w:tr>
      <w:tr w14:paraId="7BD2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51AB98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426D6F8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0985218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245411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0D0E9C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0E1FDDB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E0D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040C4AB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1F61EC6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护栏</w:t>
            </w:r>
          </w:p>
        </w:tc>
        <w:tc>
          <w:tcPr>
            <w:tcW w:w="749" w:type="dxa"/>
            <w:tcBorders>
              <w:top w:val="single" w:color="auto" w:sz="4" w:space="0"/>
              <w:left w:val="single" w:color="auto" w:sz="4" w:space="0"/>
              <w:bottom w:val="single" w:color="auto" w:sz="4" w:space="0"/>
              <w:right w:val="single" w:color="auto" w:sz="4" w:space="0"/>
            </w:tcBorders>
            <w:noWrap w:val="0"/>
            <w:vAlign w:val="center"/>
          </w:tcPr>
          <w:p w14:paraId="13A2D11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FDFB9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AFB40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396260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7E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7E1DB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602-1</w:t>
            </w:r>
          </w:p>
        </w:tc>
        <w:tc>
          <w:tcPr>
            <w:tcW w:w="4732" w:type="dxa"/>
            <w:tcBorders>
              <w:top w:val="single" w:color="auto" w:sz="4" w:space="0"/>
              <w:left w:val="single" w:color="auto" w:sz="4" w:space="0"/>
              <w:right w:val="single" w:color="auto" w:sz="4" w:space="0"/>
            </w:tcBorders>
            <w:noWrap w:val="0"/>
            <w:vAlign w:val="center"/>
          </w:tcPr>
          <w:p w14:paraId="7BD7C2E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混凝土护栏（护墙、立柱）</w:t>
            </w:r>
          </w:p>
        </w:tc>
        <w:tc>
          <w:tcPr>
            <w:tcW w:w="749" w:type="dxa"/>
            <w:tcBorders>
              <w:top w:val="single" w:color="auto" w:sz="4" w:space="0"/>
              <w:left w:val="single" w:color="auto" w:sz="4" w:space="0"/>
              <w:right w:val="single" w:color="auto" w:sz="4" w:space="0"/>
            </w:tcBorders>
            <w:noWrap w:val="0"/>
            <w:vAlign w:val="center"/>
          </w:tcPr>
          <w:p w14:paraId="6E3DEB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64C52F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C9222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5AA4B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2E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5AE4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A03DD0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现浇混凝土护栏</w:t>
            </w:r>
          </w:p>
        </w:tc>
        <w:tc>
          <w:tcPr>
            <w:tcW w:w="749" w:type="dxa"/>
            <w:noWrap w:val="0"/>
            <w:vAlign w:val="center"/>
          </w:tcPr>
          <w:p w14:paraId="23CAE4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C9CF0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4FB6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1299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9F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61EB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395DAD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预制安装混凝土护栏</w:t>
            </w:r>
          </w:p>
        </w:tc>
        <w:tc>
          <w:tcPr>
            <w:tcW w:w="749" w:type="dxa"/>
            <w:noWrap w:val="0"/>
            <w:vAlign w:val="center"/>
          </w:tcPr>
          <w:p w14:paraId="38B24B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3B3C5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C1A8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7FAA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20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7D4FE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60437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现浇混凝土基础</w:t>
            </w:r>
          </w:p>
        </w:tc>
        <w:tc>
          <w:tcPr>
            <w:tcW w:w="749" w:type="dxa"/>
            <w:noWrap w:val="0"/>
            <w:vAlign w:val="center"/>
          </w:tcPr>
          <w:p w14:paraId="675B81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03C4D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AEB8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A677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D9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DD21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F87EC6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653A46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B2FE7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5061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2DEC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AC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5A85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602-2</w:t>
            </w:r>
          </w:p>
        </w:tc>
        <w:tc>
          <w:tcPr>
            <w:tcW w:w="4732" w:type="dxa"/>
            <w:noWrap w:val="0"/>
            <w:vAlign w:val="center"/>
          </w:tcPr>
          <w:p w14:paraId="5A54E3D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石砌护墙</w:t>
            </w:r>
          </w:p>
        </w:tc>
        <w:tc>
          <w:tcPr>
            <w:tcW w:w="749" w:type="dxa"/>
            <w:noWrap w:val="0"/>
            <w:vAlign w:val="center"/>
          </w:tcPr>
          <w:p w14:paraId="0EC675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6AF95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2F51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0809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2D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2728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602-3</w:t>
            </w:r>
          </w:p>
        </w:tc>
        <w:tc>
          <w:tcPr>
            <w:tcW w:w="4732" w:type="dxa"/>
            <w:noWrap w:val="0"/>
            <w:vAlign w:val="center"/>
          </w:tcPr>
          <w:p w14:paraId="1B83C606">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波形梁钢护栏</w:t>
            </w:r>
          </w:p>
        </w:tc>
        <w:tc>
          <w:tcPr>
            <w:tcW w:w="749" w:type="dxa"/>
            <w:noWrap w:val="0"/>
            <w:vAlign w:val="center"/>
          </w:tcPr>
          <w:p w14:paraId="342794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E0E5B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EF2C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D7D5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0A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FE89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06D67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路侧波形梁钢护栏</w:t>
            </w:r>
          </w:p>
        </w:tc>
        <w:tc>
          <w:tcPr>
            <w:tcW w:w="749" w:type="dxa"/>
            <w:noWrap w:val="0"/>
            <w:vAlign w:val="center"/>
          </w:tcPr>
          <w:p w14:paraId="0BAB61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　</w:t>
            </w:r>
          </w:p>
        </w:tc>
        <w:tc>
          <w:tcPr>
            <w:tcW w:w="837" w:type="dxa"/>
            <w:noWrap w:val="0"/>
            <w:vAlign w:val="center"/>
          </w:tcPr>
          <w:p w14:paraId="2DE44C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6B4D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4B44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5B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C1EF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B6E22B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中央分隔带波形梁钢护栏</w:t>
            </w:r>
          </w:p>
        </w:tc>
        <w:tc>
          <w:tcPr>
            <w:tcW w:w="749" w:type="dxa"/>
            <w:noWrap w:val="0"/>
            <w:vAlign w:val="center"/>
          </w:tcPr>
          <w:p w14:paraId="619B737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287C4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9010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598F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E1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83967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16A66F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波形梁钢护栏端头</w:t>
            </w:r>
          </w:p>
        </w:tc>
        <w:tc>
          <w:tcPr>
            <w:tcW w:w="749" w:type="dxa"/>
            <w:noWrap w:val="0"/>
            <w:vAlign w:val="center"/>
          </w:tcPr>
          <w:p w14:paraId="5FD4D7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88EED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20A4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F8A4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1D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8B3C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602-4</w:t>
            </w:r>
          </w:p>
        </w:tc>
        <w:tc>
          <w:tcPr>
            <w:tcW w:w="4732" w:type="dxa"/>
            <w:noWrap w:val="0"/>
            <w:vAlign w:val="center"/>
          </w:tcPr>
          <w:p w14:paraId="4BD4D18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缆索护栏</w:t>
            </w:r>
          </w:p>
        </w:tc>
        <w:tc>
          <w:tcPr>
            <w:tcW w:w="749" w:type="dxa"/>
            <w:noWrap w:val="0"/>
            <w:vAlign w:val="center"/>
          </w:tcPr>
          <w:p w14:paraId="769EE5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7E3B7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0BF0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228D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17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98A4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A5090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路侧缆索护栏</w:t>
            </w:r>
          </w:p>
        </w:tc>
        <w:tc>
          <w:tcPr>
            <w:tcW w:w="749" w:type="dxa"/>
            <w:noWrap w:val="0"/>
            <w:vAlign w:val="center"/>
          </w:tcPr>
          <w:p w14:paraId="2F4B997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2512D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2BB4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AB938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3B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55FD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B55878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中央分隔带缆索护栏</w:t>
            </w:r>
          </w:p>
        </w:tc>
        <w:tc>
          <w:tcPr>
            <w:tcW w:w="749" w:type="dxa"/>
            <w:noWrap w:val="0"/>
            <w:vAlign w:val="center"/>
          </w:tcPr>
          <w:p w14:paraId="08D65E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1A866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0F4D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1CAE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1C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3586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602-5</w:t>
            </w:r>
          </w:p>
        </w:tc>
        <w:tc>
          <w:tcPr>
            <w:tcW w:w="4732" w:type="dxa"/>
            <w:noWrap w:val="0"/>
            <w:vAlign w:val="center"/>
          </w:tcPr>
          <w:p w14:paraId="41FAFB1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中央分隔带活动护栏</w:t>
            </w:r>
          </w:p>
        </w:tc>
        <w:tc>
          <w:tcPr>
            <w:tcW w:w="749" w:type="dxa"/>
            <w:noWrap w:val="0"/>
            <w:vAlign w:val="center"/>
          </w:tcPr>
          <w:p w14:paraId="35ED26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6E4C2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6622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3E4A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42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4E8E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16BF29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钢质插拔式</w:t>
            </w:r>
          </w:p>
        </w:tc>
        <w:tc>
          <w:tcPr>
            <w:tcW w:w="749" w:type="dxa"/>
            <w:noWrap w:val="0"/>
            <w:vAlign w:val="center"/>
          </w:tcPr>
          <w:p w14:paraId="47BD52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54B70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28C7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285B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05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5CA4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BB21D0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钢质伸缩式</w:t>
            </w:r>
          </w:p>
        </w:tc>
        <w:tc>
          <w:tcPr>
            <w:tcW w:w="749" w:type="dxa"/>
            <w:noWrap w:val="0"/>
            <w:vAlign w:val="center"/>
          </w:tcPr>
          <w:p w14:paraId="5368F1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EA261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19D7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E9785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91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6EF5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09E0DC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钢管预应力索防撞活动护栏</w:t>
            </w:r>
          </w:p>
        </w:tc>
        <w:tc>
          <w:tcPr>
            <w:tcW w:w="749" w:type="dxa"/>
            <w:noWrap w:val="0"/>
            <w:vAlign w:val="center"/>
          </w:tcPr>
          <w:p w14:paraId="4539DD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665A2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7DAF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F346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4B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A7AE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w:t>
            </w:r>
          </w:p>
        </w:tc>
        <w:tc>
          <w:tcPr>
            <w:tcW w:w="4732" w:type="dxa"/>
            <w:noWrap w:val="0"/>
            <w:vAlign w:val="center"/>
          </w:tcPr>
          <w:p w14:paraId="659099D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隔离栅和防落物网</w:t>
            </w:r>
          </w:p>
        </w:tc>
        <w:tc>
          <w:tcPr>
            <w:tcW w:w="749" w:type="dxa"/>
            <w:noWrap w:val="0"/>
            <w:vAlign w:val="center"/>
          </w:tcPr>
          <w:p w14:paraId="566AA7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2FE8D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C12C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3E36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16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8ED3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603-1</w:t>
            </w:r>
          </w:p>
        </w:tc>
        <w:tc>
          <w:tcPr>
            <w:tcW w:w="4732" w:type="dxa"/>
            <w:noWrap w:val="0"/>
            <w:vAlign w:val="center"/>
          </w:tcPr>
          <w:p w14:paraId="17D8D89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钢板网隔离栅</w:t>
            </w:r>
          </w:p>
        </w:tc>
        <w:tc>
          <w:tcPr>
            <w:tcW w:w="749" w:type="dxa"/>
            <w:noWrap w:val="0"/>
            <w:vAlign w:val="center"/>
          </w:tcPr>
          <w:p w14:paraId="1DA4D3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B2F60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3874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E1BD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0C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0B48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603-2</w:t>
            </w:r>
          </w:p>
        </w:tc>
        <w:tc>
          <w:tcPr>
            <w:tcW w:w="4732" w:type="dxa"/>
            <w:noWrap w:val="0"/>
            <w:vAlign w:val="center"/>
          </w:tcPr>
          <w:p w14:paraId="3BFBE3D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编织网隔离栅</w:t>
            </w:r>
          </w:p>
        </w:tc>
        <w:tc>
          <w:tcPr>
            <w:tcW w:w="749" w:type="dxa"/>
            <w:noWrap w:val="0"/>
            <w:vAlign w:val="center"/>
          </w:tcPr>
          <w:p w14:paraId="682D60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88CFA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E07B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6454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4A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2402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603-3</w:t>
            </w:r>
          </w:p>
        </w:tc>
        <w:tc>
          <w:tcPr>
            <w:tcW w:w="4732" w:type="dxa"/>
            <w:noWrap w:val="0"/>
            <w:vAlign w:val="center"/>
          </w:tcPr>
          <w:p w14:paraId="2D4C252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焊接网隔离栅</w:t>
            </w:r>
          </w:p>
        </w:tc>
        <w:tc>
          <w:tcPr>
            <w:tcW w:w="749" w:type="dxa"/>
            <w:noWrap w:val="0"/>
            <w:vAlign w:val="center"/>
          </w:tcPr>
          <w:p w14:paraId="0AD1C7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E93AA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45B3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C09E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E0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87CC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603-4</w:t>
            </w:r>
          </w:p>
        </w:tc>
        <w:tc>
          <w:tcPr>
            <w:tcW w:w="4732" w:type="dxa"/>
            <w:noWrap w:val="0"/>
            <w:vAlign w:val="center"/>
          </w:tcPr>
          <w:p w14:paraId="5768FB0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刺钢丝网隔离栅</w:t>
            </w:r>
          </w:p>
        </w:tc>
        <w:tc>
          <w:tcPr>
            <w:tcW w:w="749" w:type="dxa"/>
            <w:noWrap w:val="0"/>
            <w:vAlign w:val="center"/>
          </w:tcPr>
          <w:p w14:paraId="6C791D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54DF4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60AE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42CB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01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CAB8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603-5</w:t>
            </w:r>
          </w:p>
        </w:tc>
        <w:tc>
          <w:tcPr>
            <w:tcW w:w="4732" w:type="dxa"/>
            <w:noWrap w:val="0"/>
            <w:vAlign w:val="center"/>
          </w:tcPr>
          <w:p w14:paraId="688157A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防落物网</w:t>
            </w:r>
          </w:p>
        </w:tc>
        <w:tc>
          <w:tcPr>
            <w:tcW w:w="749" w:type="dxa"/>
            <w:noWrap w:val="0"/>
            <w:vAlign w:val="center"/>
          </w:tcPr>
          <w:p w14:paraId="2AE10F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8A6C4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E24C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1102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52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79DE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w:t>
            </w:r>
          </w:p>
        </w:tc>
        <w:tc>
          <w:tcPr>
            <w:tcW w:w="4732" w:type="dxa"/>
            <w:noWrap w:val="0"/>
            <w:vAlign w:val="center"/>
          </w:tcPr>
          <w:p w14:paraId="0D8CE0F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道路交通标志</w:t>
            </w:r>
          </w:p>
        </w:tc>
        <w:tc>
          <w:tcPr>
            <w:tcW w:w="749" w:type="dxa"/>
            <w:noWrap w:val="0"/>
            <w:vAlign w:val="center"/>
          </w:tcPr>
          <w:p w14:paraId="2237AC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F84D4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6FDB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8BC2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83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325C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w:t>
            </w:r>
          </w:p>
        </w:tc>
        <w:tc>
          <w:tcPr>
            <w:tcW w:w="4732" w:type="dxa"/>
            <w:noWrap w:val="0"/>
            <w:vAlign w:val="center"/>
          </w:tcPr>
          <w:p w14:paraId="3A01FB1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单柱式交通标志</w:t>
            </w:r>
          </w:p>
        </w:tc>
        <w:tc>
          <w:tcPr>
            <w:tcW w:w="749" w:type="dxa"/>
            <w:noWrap w:val="0"/>
            <w:vAlign w:val="center"/>
          </w:tcPr>
          <w:p w14:paraId="384810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6D7E0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9D4D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5549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7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D0284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604-2</w:t>
            </w:r>
          </w:p>
        </w:tc>
        <w:tc>
          <w:tcPr>
            <w:tcW w:w="4732" w:type="dxa"/>
            <w:noWrap w:val="0"/>
            <w:vAlign w:val="center"/>
          </w:tcPr>
          <w:p w14:paraId="079B848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双柱式交通标志</w:t>
            </w:r>
          </w:p>
        </w:tc>
        <w:tc>
          <w:tcPr>
            <w:tcW w:w="749" w:type="dxa"/>
            <w:noWrap w:val="0"/>
            <w:vAlign w:val="center"/>
          </w:tcPr>
          <w:p w14:paraId="259D08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AC56B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32A9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812D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1D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CBB7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604-3</w:t>
            </w:r>
          </w:p>
        </w:tc>
        <w:tc>
          <w:tcPr>
            <w:tcW w:w="4732" w:type="dxa"/>
            <w:noWrap w:val="0"/>
            <w:vAlign w:val="center"/>
          </w:tcPr>
          <w:p w14:paraId="2A25B67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三柱式交通标志</w:t>
            </w:r>
          </w:p>
        </w:tc>
        <w:tc>
          <w:tcPr>
            <w:tcW w:w="749" w:type="dxa"/>
            <w:noWrap w:val="0"/>
            <w:vAlign w:val="center"/>
          </w:tcPr>
          <w:p w14:paraId="5F3905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44707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87CD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9658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39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C37DF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604-4</w:t>
            </w:r>
          </w:p>
        </w:tc>
        <w:tc>
          <w:tcPr>
            <w:tcW w:w="4732" w:type="dxa"/>
            <w:noWrap w:val="0"/>
            <w:vAlign w:val="center"/>
          </w:tcPr>
          <w:p w14:paraId="4E23129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门架式交通标志</w:t>
            </w:r>
          </w:p>
        </w:tc>
        <w:tc>
          <w:tcPr>
            <w:tcW w:w="749" w:type="dxa"/>
            <w:noWrap w:val="0"/>
            <w:vAlign w:val="center"/>
          </w:tcPr>
          <w:p w14:paraId="5116F7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1E7652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B04E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C1AF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88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A71DC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604-5</w:t>
            </w:r>
          </w:p>
        </w:tc>
        <w:tc>
          <w:tcPr>
            <w:tcW w:w="4732" w:type="dxa"/>
            <w:noWrap w:val="0"/>
            <w:vAlign w:val="center"/>
          </w:tcPr>
          <w:p w14:paraId="580E3A6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单悬臂式交通标志</w:t>
            </w:r>
          </w:p>
        </w:tc>
        <w:tc>
          <w:tcPr>
            <w:tcW w:w="749" w:type="dxa"/>
            <w:noWrap w:val="0"/>
            <w:vAlign w:val="center"/>
          </w:tcPr>
          <w:p w14:paraId="675E9CE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D49AA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3BAE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B7F6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BA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58580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604-6</w:t>
            </w:r>
          </w:p>
        </w:tc>
        <w:tc>
          <w:tcPr>
            <w:tcW w:w="4732" w:type="dxa"/>
            <w:noWrap w:val="0"/>
            <w:vAlign w:val="center"/>
          </w:tcPr>
          <w:p w14:paraId="563184C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双悬臂式交通标志</w:t>
            </w:r>
          </w:p>
        </w:tc>
        <w:tc>
          <w:tcPr>
            <w:tcW w:w="749" w:type="dxa"/>
            <w:noWrap w:val="0"/>
            <w:vAlign w:val="center"/>
          </w:tcPr>
          <w:p w14:paraId="7CCFF44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4C849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16A2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63D5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F6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05A95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604-7</w:t>
            </w:r>
          </w:p>
        </w:tc>
        <w:tc>
          <w:tcPr>
            <w:tcW w:w="4732" w:type="dxa"/>
            <w:noWrap w:val="0"/>
            <w:vAlign w:val="center"/>
          </w:tcPr>
          <w:p w14:paraId="0530AD9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附着式交通标志</w:t>
            </w:r>
          </w:p>
        </w:tc>
        <w:tc>
          <w:tcPr>
            <w:tcW w:w="749" w:type="dxa"/>
            <w:noWrap w:val="0"/>
            <w:vAlign w:val="center"/>
          </w:tcPr>
          <w:p w14:paraId="008DF63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6A4509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702B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9401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E0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F3C39D7">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第600章   安全设施及预埋管线</w:t>
            </w:r>
          </w:p>
        </w:tc>
      </w:tr>
      <w:tr w14:paraId="274F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2791CE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1E2A4BC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E1393E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289C6E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C6DE8F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C97947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9D4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7976E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604-8</w:t>
            </w:r>
          </w:p>
        </w:tc>
        <w:tc>
          <w:tcPr>
            <w:tcW w:w="4732" w:type="dxa"/>
            <w:noWrap w:val="0"/>
            <w:vAlign w:val="center"/>
          </w:tcPr>
          <w:p w14:paraId="1B6F48A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里程碑</w:t>
            </w:r>
          </w:p>
        </w:tc>
        <w:tc>
          <w:tcPr>
            <w:tcW w:w="749" w:type="dxa"/>
            <w:noWrap w:val="0"/>
            <w:vAlign w:val="center"/>
          </w:tcPr>
          <w:p w14:paraId="30AAD1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7B9670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77F6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DA89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79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66B00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604-9</w:t>
            </w:r>
          </w:p>
        </w:tc>
        <w:tc>
          <w:tcPr>
            <w:tcW w:w="4732" w:type="dxa"/>
            <w:noWrap w:val="0"/>
            <w:vAlign w:val="center"/>
          </w:tcPr>
          <w:p w14:paraId="2068065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公路界碑</w:t>
            </w:r>
          </w:p>
        </w:tc>
        <w:tc>
          <w:tcPr>
            <w:tcW w:w="749" w:type="dxa"/>
            <w:noWrap w:val="0"/>
            <w:vAlign w:val="center"/>
          </w:tcPr>
          <w:p w14:paraId="3C17494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4961A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54E9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89FD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1D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9F45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604-10</w:t>
            </w:r>
          </w:p>
        </w:tc>
        <w:tc>
          <w:tcPr>
            <w:tcW w:w="4732" w:type="dxa"/>
            <w:noWrap w:val="0"/>
            <w:vAlign w:val="center"/>
          </w:tcPr>
          <w:p w14:paraId="1281F37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百米桩</w:t>
            </w:r>
          </w:p>
        </w:tc>
        <w:tc>
          <w:tcPr>
            <w:tcW w:w="749" w:type="dxa"/>
            <w:noWrap w:val="0"/>
            <w:vAlign w:val="center"/>
          </w:tcPr>
          <w:p w14:paraId="65453E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38B92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2C09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4553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1C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A727E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604-11</w:t>
            </w:r>
          </w:p>
        </w:tc>
        <w:tc>
          <w:tcPr>
            <w:tcW w:w="4732" w:type="dxa"/>
            <w:noWrap w:val="0"/>
            <w:vAlign w:val="center"/>
          </w:tcPr>
          <w:p w14:paraId="545223B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防撞桶</w:t>
            </w:r>
          </w:p>
        </w:tc>
        <w:tc>
          <w:tcPr>
            <w:tcW w:w="749" w:type="dxa"/>
            <w:noWrap w:val="0"/>
            <w:vAlign w:val="center"/>
          </w:tcPr>
          <w:p w14:paraId="1DCD5B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74B96D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123E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04F7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34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9F02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604-12</w:t>
            </w:r>
          </w:p>
        </w:tc>
        <w:tc>
          <w:tcPr>
            <w:tcW w:w="4732" w:type="dxa"/>
            <w:noWrap w:val="0"/>
            <w:vAlign w:val="center"/>
          </w:tcPr>
          <w:p w14:paraId="3B02623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锥形桶</w:t>
            </w:r>
          </w:p>
        </w:tc>
        <w:tc>
          <w:tcPr>
            <w:tcW w:w="749" w:type="dxa"/>
            <w:noWrap w:val="0"/>
            <w:vAlign w:val="center"/>
          </w:tcPr>
          <w:p w14:paraId="34596D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6E487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3B7D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DA77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29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2CBF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604-13</w:t>
            </w:r>
          </w:p>
        </w:tc>
        <w:tc>
          <w:tcPr>
            <w:tcW w:w="4732" w:type="dxa"/>
            <w:noWrap w:val="0"/>
            <w:vAlign w:val="center"/>
          </w:tcPr>
          <w:p w14:paraId="5B801DC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道路反光镜</w:t>
            </w:r>
          </w:p>
        </w:tc>
        <w:tc>
          <w:tcPr>
            <w:tcW w:w="749" w:type="dxa"/>
            <w:noWrap w:val="0"/>
            <w:vAlign w:val="center"/>
          </w:tcPr>
          <w:p w14:paraId="1136CCC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C70F1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4120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0F5A3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56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D392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w:t>
            </w:r>
          </w:p>
        </w:tc>
        <w:tc>
          <w:tcPr>
            <w:tcW w:w="4732" w:type="dxa"/>
            <w:noWrap w:val="0"/>
            <w:vAlign w:val="center"/>
          </w:tcPr>
          <w:p w14:paraId="5D24C6E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道路交通标线</w:t>
            </w:r>
          </w:p>
        </w:tc>
        <w:tc>
          <w:tcPr>
            <w:tcW w:w="749" w:type="dxa"/>
            <w:noWrap w:val="0"/>
            <w:vAlign w:val="top"/>
          </w:tcPr>
          <w:p w14:paraId="7B48B3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8439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4E11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0CF8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B8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A180D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5-1</w:t>
            </w:r>
          </w:p>
        </w:tc>
        <w:tc>
          <w:tcPr>
            <w:tcW w:w="4732" w:type="dxa"/>
            <w:noWrap w:val="0"/>
            <w:vAlign w:val="top"/>
          </w:tcPr>
          <w:p w14:paraId="3C69FC0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热熔型涂料路面标线</w:t>
            </w:r>
          </w:p>
        </w:tc>
        <w:tc>
          <w:tcPr>
            <w:tcW w:w="749" w:type="dxa"/>
            <w:noWrap w:val="0"/>
            <w:vAlign w:val="top"/>
          </w:tcPr>
          <w:p w14:paraId="32609F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FD0E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C75D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098E0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CC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BC5B5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40F902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370EB8D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D0936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EC53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8A561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5F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BC98F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605-2</w:t>
            </w:r>
          </w:p>
        </w:tc>
        <w:tc>
          <w:tcPr>
            <w:tcW w:w="4732" w:type="dxa"/>
            <w:noWrap w:val="0"/>
            <w:vAlign w:val="center"/>
          </w:tcPr>
          <w:p w14:paraId="7887A39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溶剂型涂料路面标线</w:t>
            </w:r>
          </w:p>
        </w:tc>
        <w:tc>
          <w:tcPr>
            <w:tcW w:w="749" w:type="dxa"/>
            <w:noWrap w:val="0"/>
            <w:vAlign w:val="top"/>
          </w:tcPr>
          <w:p w14:paraId="1F5A06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2F7E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EDD1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CDEE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5D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61F69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D3B952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0B2BFFA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DAFCE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4DC6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B3F8B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69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CAD0C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605-3</w:t>
            </w:r>
          </w:p>
        </w:tc>
        <w:tc>
          <w:tcPr>
            <w:tcW w:w="4732" w:type="dxa"/>
            <w:noWrap w:val="0"/>
            <w:vAlign w:val="center"/>
          </w:tcPr>
          <w:p w14:paraId="2C4690F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预成型标线带</w:t>
            </w:r>
          </w:p>
        </w:tc>
        <w:tc>
          <w:tcPr>
            <w:tcW w:w="749" w:type="dxa"/>
            <w:noWrap w:val="0"/>
            <w:vAlign w:val="top"/>
          </w:tcPr>
          <w:p w14:paraId="605DF7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3BCA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92E0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4EB5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A0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B647E8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390794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59DD523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041AB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9625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D394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35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D58B00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5-4</w:t>
            </w:r>
          </w:p>
        </w:tc>
        <w:tc>
          <w:tcPr>
            <w:tcW w:w="4732" w:type="dxa"/>
            <w:noWrap w:val="0"/>
            <w:vAlign w:val="top"/>
          </w:tcPr>
          <w:p w14:paraId="06FF6B2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突起路标</w:t>
            </w:r>
          </w:p>
        </w:tc>
        <w:tc>
          <w:tcPr>
            <w:tcW w:w="749" w:type="dxa"/>
            <w:noWrap w:val="0"/>
            <w:vAlign w:val="top"/>
          </w:tcPr>
          <w:p w14:paraId="2AC13B8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44E9E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D5CF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FF6D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C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B3584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5-5</w:t>
            </w:r>
          </w:p>
        </w:tc>
        <w:tc>
          <w:tcPr>
            <w:tcW w:w="4732" w:type="dxa"/>
            <w:noWrap w:val="0"/>
            <w:vAlign w:val="top"/>
          </w:tcPr>
          <w:p w14:paraId="0C0A201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轮廓标</w:t>
            </w:r>
          </w:p>
        </w:tc>
        <w:tc>
          <w:tcPr>
            <w:tcW w:w="749" w:type="dxa"/>
            <w:noWrap w:val="0"/>
            <w:vAlign w:val="top"/>
          </w:tcPr>
          <w:p w14:paraId="661369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3AED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61F9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CB47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69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64" w:type="dxa"/>
            <w:tcBorders>
              <w:left w:val="single" w:color="auto" w:sz="12" w:space="0"/>
            </w:tcBorders>
            <w:noWrap w:val="0"/>
            <w:vAlign w:val="top"/>
          </w:tcPr>
          <w:p w14:paraId="7E7A51E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14EEAC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柱式轮廓标</w:t>
            </w:r>
          </w:p>
        </w:tc>
        <w:tc>
          <w:tcPr>
            <w:tcW w:w="749" w:type="dxa"/>
            <w:noWrap w:val="0"/>
            <w:vAlign w:val="top"/>
          </w:tcPr>
          <w:p w14:paraId="1A44F03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511CB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65F2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864B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14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F82A5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E311F4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附着式轮廓标</w:t>
            </w:r>
          </w:p>
        </w:tc>
        <w:tc>
          <w:tcPr>
            <w:tcW w:w="749" w:type="dxa"/>
            <w:noWrap w:val="0"/>
            <w:vAlign w:val="top"/>
          </w:tcPr>
          <w:p w14:paraId="013D7A8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0CEDB5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E302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86B7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45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8FF5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605-6</w:t>
            </w:r>
          </w:p>
        </w:tc>
        <w:tc>
          <w:tcPr>
            <w:tcW w:w="4732" w:type="dxa"/>
            <w:noWrap w:val="0"/>
            <w:vAlign w:val="center"/>
          </w:tcPr>
          <w:p w14:paraId="2501FA4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立面标记</w:t>
            </w:r>
          </w:p>
        </w:tc>
        <w:tc>
          <w:tcPr>
            <w:tcW w:w="749" w:type="dxa"/>
            <w:noWrap w:val="0"/>
            <w:vAlign w:val="center"/>
          </w:tcPr>
          <w:p w14:paraId="3D1EB4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w:t>
            </w:r>
          </w:p>
        </w:tc>
        <w:tc>
          <w:tcPr>
            <w:tcW w:w="837" w:type="dxa"/>
            <w:noWrap w:val="0"/>
            <w:vAlign w:val="center"/>
          </w:tcPr>
          <w:p w14:paraId="3D67A2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69C0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B370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0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4A9C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605-7</w:t>
            </w:r>
          </w:p>
        </w:tc>
        <w:tc>
          <w:tcPr>
            <w:tcW w:w="4732" w:type="dxa"/>
            <w:noWrap w:val="0"/>
            <w:vAlign w:val="center"/>
          </w:tcPr>
          <w:p w14:paraId="7A1EC44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锥形路标</w:t>
            </w:r>
          </w:p>
        </w:tc>
        <w:tc>
          <w:tcPr>
            <w:tcW w:w="749" w:type="dxa"/>
            <w:noWrap w:val="0"/>
            <w:vAlign w:val="center"/>
          </w:tcPr>
          <w:p w14:paraId="6EBE78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FC085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1CC6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43C5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CA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F5DE3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605-8</w:t>
            </w:r>
          </w:p>
        </w:tc>
        <w:tc>
          <w:tcPr>
            <w:tcW w:w="4732" w:type="dxa"/>
            <w:noWrap w:val="0"/>
            <w:vAlign w:val="center"/>
          </w:tcPr>
          <w:p w14:paraId="6089B42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减速带</w:t>
            </w:r>
          </w:p>
        </w:tc>
        <w:tc>
          <w:tcPr>
            <w:tcW w:w="749" w:type="dxa"/>
            <w:noWrap w:val="0"/>
            <w:vAlign w:val="center"/>
          </w:tcPr>
          <w:p w14:paraId="7DC8A9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16220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2F6B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3FFAF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DE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B75B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605-9</w:t>
            </w:r>
          </w:p>
        </w:tc>
        <w:tc>
          <w:tcPr>
            <w:tcW w:w="4732" w:type="dxa"/>
            <w:noWrap w:val="0"/>
            <w:vAlign w:val="center"/>
          </w:tcPr>
          <w:p w14:paraId="2C8B27E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铲除原有路面标线</w:t>
            </w:r>
          </w:p>
        </w:tc>
        <w:tc>
          <w:tcPr>
            <w:tcW w:w="749" w:type="dxa"/>
            <w:noWrap w:val="0"/>
            <w:vAlign w:val="center"/>
          </w:tcPr>
          <w:p w14:paraId="71FAFC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175A4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414F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9DCA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CA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0C8E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w:t>
            </w:r>
          </w:p>
        </w:tc>
        <w:tc>
          <w:tcPr>
            <w:tcW w:w="4732" w:type="dxa"/>
            <w:noWrap w:val="0"/>
            <w:vAlign w:val="center"/>
          </w:tcPr>
          <w:p w14:paraId="6927711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防眩设施</w:t>
            </w:r>
          </w:p>
        </w:tc>
        <w:tc>
          <w:tcPr>
            <w:tcW w:w="749" w:type="dxa"/>
            <w:noWrap w:val="0"/>
            <w:vAlign w:val="center"/>
          </w:tcPr>
          <w:p w14:paraId="782D46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95F79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B756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F56E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7C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B781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606-1</w:t>
            </w:r>
          </w:p>
        </w:tc>
        <w:tc>
          <w:tcPr>
            <w:tcW w:w="4732" w:type="dxa"/>
            <w:noWrap w:val="0"/>
            <w:vAlign w:val="center"/>
          </w:tcPr>
          <w:p w14:paraId="7DF74BB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防眩板</w:t>
            </w:r>
          </w:p>
        </w:tc>
        <w:tc>
          <w:tcPr>
            <w:tcW w:w="749" w:type="dxa"/>
            <w:noWrap w:val="0"/>
            <w:vAlign w:val="center"/>
          </w:tcPr>
          <w:p w14:paraId="5C1C0A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块</w:t>
            </w:r>
          </w:p>
        </w:tc>
        <w:tc>
          <w:tcPr>
            <w:tcW w:w="837" w:type="dxa"/>
            <w:noWrap w:val="0"/>
            <w:vAlign w:val="center"/>
          </w:tcPr>
          <w:p w14:paraId="0BA75A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20E7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ECBA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04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4361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606-2</w:t>
            </w:r>
          </w:p>
        </w:tc>
        <w:tc>
          <w:tcPr>
            <w:tcW w:w="4732" w:type="dxa"/>
            <w:noWrap w:val="0"/>
            <w:vAlign w:val="center"/>
          </w:tcPr>
          <w:p w14:paraId="6A28344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防眩网</w:t>
            </w:r>
          </w:p>
        </w:tc>
        <w:tc>
          <w:tcPr>
            <w:tcW w:w="749" w:type="dxa"/>
            <w:noWrap w:val="0"/>
            <w:vAlign w:val="center"/>
          </w:tcPr>
          <w:p w14:paraId="63B7DCF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F820B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E86D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F2A3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C7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540C4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607</w:t>
            </w:r>
          </w:p>
        </w:tc>
        <w:tc>
          <w:tcPr>
            <w:tcW w:w="4732" w:type="dxa"/>
            <w:noWrap w:val="0"/>
            <w:vAlign w:val="center"/>
          </w:tcPr>
          <w:p w14:paraId="5DBECC9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通信和电力管道与预埋（预留）基础</w:t>
            </w:r>
          </w:p>
        </w:tc>
        <w:tc>
          <w:tcPr>
            <w:tcW w:w="749" w:type="dxa"/>
            <w:noWrap w:val="0"/>
            <w:vAlign w:val="top"/>
          </w:tcPr>
          <w:p w14:paraId="4F58B0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604D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1D8A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A22F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B118A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7-1</w:t>
            </w:r>
          </w:p>
        </w:tc>
        <w:tc>
          <w:tcPr>
            <w:tcW w:w="4732" w:type="dxa"/>
            <w:noWrap w:val="0"/>
            <w:vAlign w:val="top"/>
          </w:tcPr>
          <w:p w14:paraId="288ACE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人（手）孔</w:t>
            </w:r>
          </w:p>
        </w:tc>
        <w:tc>
          <w:tcPr>
            <w:tcW w:w="749" w:type="dxa"/>
            <w:noWrap w:val="0"/>
            <w:vAlign w:val="top"/>
          </w:tcPr>
          <w:p w14:paraId="52A6B15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076FA0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726B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9955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D9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F8D52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7-2</w:t>
            </w:r>
          </w:p>
        </w:tc>
        <w:tc>
          <w:tcPr>
            <w:tcW w:w="4732" w:type="dxa"/>
            <w:noWrap w:val="0"/>
            <w:vAlign w:val="top"/>
          </w:tcPr>
          <w:p w14:paraId="1B5F348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紧急电话平台</w:t>
            </w:r>
          </w:p>
        </w:tc>
        <w:tc>
          <w:tcPr>
            <w:tcW w:w="749" w:type="dxa"/>
            <w:noWrap w:val="0"/>
            <w:vAlign w:val="top"/>
          </w:tcPr>
          <w:p w14:paraId="4737A0C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3F0F02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FA63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5BF45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C2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7DBD27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7-3</w:t>
            </w:r>
          </w:p>
        </w:tc>
        <w:tc>
          <w:tcPr>
            <w:tcW w:w="4732" w:type="dxa"/>
            <w:noWrap w:val="0"/>
            <w:vAlign w:val="top"/>
          </w:tcPr>
          <w:p w14:paraId="5E0F5FF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管道工程</w:t>
            </w:r>
          </w:p>
        </w:tc>
        <w:tc>
          <w:tcPr>
            <w:tcW w:w="749" w:type="dxa"/>
            <w:noWrap w:val="0"/>
            <w:vAlign w:val="top"/>
          </w:tcPr>
          <w:p w14:paraId="5D81EF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D70E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6BD3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EB6D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4B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F3E31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w:t>
            </w:r>
          </w:p>
        </w:tc>
        <w:tc>
          <w:tcPr>
            <w:tcW w:w="4732" w:type="dxa"/>
            <w:noWrap w:val="0"/>
            <w:vAlign w:val="center"/>
          </w:tcPr>
          <w:p w14:paraId="345A182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收费设施及地下管道</w:t>
            </w:r>
          </w:p>
        </w:tc>
        <w:tc>
          <w:tcPr>
            <w:tcW w:w="749" w:type="dxa"/>
            <w:noWrap w:val="0"/>
            <w:vAlign w:val="top"/>
          </w:tcPr>
          <w:p w14:paraId="5EE02D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5E98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B5DC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5FA4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83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54A06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608-1</w:t>
            </w:r>
          </w:p>
        </w:tc>
        <w:tc>
          <w:tcPr>
            <w:tcW w:w="4732" w:type="dxa"/>
            <w:noWrap w:val="0"/>
            <w:vAlign w:val="top"/>
          </w:tcPr>
          <w:p w14:paraId="629B31B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收费亭</w:t>
            </w:r>
          </w:p>
        </w:tc>
        <w:tc>
          <w:tcPr>
            <w:tcW w:w="749" w:type="dxa"/>
            <w:noWrap w:val="0"/>
            <w:vAlign w:val="top"/>
          </w:tcPr>
          <w:p w14:paraId="2C891C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6E61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8710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28BC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3A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F23BA8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022707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单人收费亭</w:t>
            </w:r>
          </w:p>
        </w:tc>
        <w:tc>
          <w:tcPr>
            <w:tcW w:w="749" w:type="dxa"/>
            <w:noWrap w:val="0"/>
            <w:vAlign w:val="top"/>
          </w:tcPr>
          <w:p w14:paraId="62B16D7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6C7EFE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8363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D72A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C6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5851B6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68496C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双人收费亭</w:t>
            </w:r>
          </w:p>
        </w:tc>
        <w:tc>
          <w:tcPr>
            <w:tcW w:w="749" w:type="dxa"/>
            <w:noWrap w:val="0"/>
            <w:vAlign w:val="top"/>
          </w:tcPr>
          <w:p w14:paraId="0E4F0DE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E52B3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ED55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89503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1A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2799E6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608-2</w:t>
            </w:r>
          </w:p>
        </w:tc>
        <w:tc>
          <w:tcPr>
            <w:tcW w:w="4732" w:type="dxa"/>
            <w:noWrap w:val="0"/>
            <w:vAlign w:val="top"/>
          </w:tcPr>
          <w:p w14:paraId="3791A25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收费天棚</w:t>
            </w:r>
          </w:p>
        </w:tc>
        <w:tc>
          <w:tcPr>
            <w:tcW w:w="749" w:type="dxa"/>
            <w:noWrap w:val="0"/>
            <w:vAlign w:val="top"/>
          </w:tcPr>
          <w:p w14:paraId="6EA6C4C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6412C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5ABE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D523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18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E025B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608-3</w:t>
            </w:r>
          </w:p>
        </w:tc>
        <w:tc>
          <w:tcPr>
            <w:tcW w:w="4732" w:type="dxa"/>
            <w:noWrap w:val="0"/>
            <w:vAlign w:val="top"/>
          </w:tcPr>
          <w:p w14:paraId="159BE2E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收费岛</w:t>
            </w:r>
          </w:p>
        </w:tc>
        <w:tc>
          <w:tcPr>
            <w:tcW w:w="749" w:type="dxa"/>
            <w:noWrap w:val="0"/>
            <w:vAlign w:val="top"/>
          </w:tcPr>
          <w:p w14:paraId="446E21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2758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5678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B4C4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87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2558B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C68AEB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单向收费岛</w:t>
            </w:r>
          </w:p>
        </w:tc>
        <w:tc>
          <w:tcPr>
            <w:tcW w:w="749" w:type="dxa"/>
            <w:noWrap w:val="0"/>
            <w:vAlign w:val="top"/>
          </w:tcPr>
          <w:p w14:paraId="6DFF471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330CEA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B81A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7BA2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44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A056B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E79C93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双向收费岛</w:t>
            </w:r>
          </w:p>
        </w:tc>
        <w:tc>
          <w:tcPr>
            <w:tcW w:w="749" w:type="dxa"/>
            <w:noWrap w:val="0"/>
            <w:vAlign w:val="top"/>
          </w:tcPr>
          <w:p w14:paraId="2AA49CF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003C84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DB6B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7F5A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D5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7F548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608-4</w:t>
            </w:r>
          </w:p>
        </w:tc>
        <w:tc>
          <w:tcPr>
            <w:tcW w:w="4732" w:type="dxa"/>
            <w:noWrap w:val="0"/>
            <w:vAlign w:val="top"/>
          </w:tcPr>
          <w:p w14:paraId="0AE498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地下通道</w:t>
            </w:r>
          </w:p>
        </w:tc>
        <w:tc>
          <w:tcPr>
            <w:tcW w:w="749" w:type="dxa"/>
            <w:noWrap w:val="0"/>
            <w:vAlign w:val="top"/>
          </w:tcPr>
          <w:p w14:paraId="344EBA3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290922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3204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E2B5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BF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6C1C4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608-5</w:t>
            </w:r>
          </w:p>
        </w:tc>
        <w:tc>
          <w:tcPr>
            <w:tcW w:w="4732" w:type="dxa"/>
            <w:noWrap w:val="0"/>
            <w:vAlign w:val="top"/>
          </w:tcPr>
          <w:p w14:paraId="5CDB4FA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预埋管线</w:t>
            </w:r>
          </w:p>
        </w:tc>
        <w:tc>
          <w:tcPr>
            <w:tcW w:w="749" w:type="dxa"/>
            <w:noWrap w:val="0"/>
            <w:vAlign w:val="top"/>
          </w:tcPr>
          <w:p w14:paraId="6D42C0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E84D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C9D9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52D9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CC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3FE1B1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2122E5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1C79660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05111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3699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7F415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26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38FA6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CD2FF4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0CF0887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2105E6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B747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3CD3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C1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9D9EA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608-6</w:t>
            </w:r>
          </w:p>
        </w:tc>
        <w:tc>
          <w:tcPr>
            <w:tcW w:w="4732" w:type="dxa"/>
            <w:noWrap w:val="0"/>
            <w:vAlign w:val="top"/>
          </w:tcPr>
          <w:p w14:paraId="15C6A6F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架设管线</w:t>
            </w:r>
          </w:p>
        </w:tc>
        <w:tc>
          <w:tcPr>
            <w:tcW w:w="749" w:type="dxa"/>
            <w:noWrap w:val="0"/>
            <w:vAlign w:val="top"/>
          </w:tcPr>
          <w:p w14:paraId="5B178F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A9B8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155C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E54D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F5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3317A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8C6187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7C87177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CE51F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30F8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5D7E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08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516DDF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04019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4022625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380F0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8BB8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FFDB6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DD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EC63F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5EB57E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3AB35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9D81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B012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DFFC4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1D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43C4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5DF1A09">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4FF2D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CD62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CCD9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52D4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F3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9C8CD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1333812">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02A20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0ABA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EC7C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B7D53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1A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8405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242554A">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3E73C7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C160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AAF1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5BA2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4B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A6484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A58AC0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37D5D6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30AE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7F5C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E224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F4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84FC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A34009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91144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6D80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6A94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5934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74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5B159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38E4B14F">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DBF93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E3EE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B4E7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BF53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E5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46B1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4E6D551">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0F8779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7761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F959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C43F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82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B627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53A84F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167BE8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D742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696F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2882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5B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F8C0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8C9196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9B4CB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9067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5AD8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9D75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13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6EA94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3178152">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2F096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05B2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F1A4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F2E3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7C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2A9D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326A7279">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1DE320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9A3B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02D1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F1EB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44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92C8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FDD1CA7">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F5D9B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822A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6ACC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CA0E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01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8E9C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145215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7F251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921B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82B0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DB79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B7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DE72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9F7C53E">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1BDBC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E1A9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FB79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C44E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93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A7B61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B829DC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B06F2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DE6F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7074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F0A8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6F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760E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39AB3BE">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72F619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DFE7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57E3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633A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C5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EA7F6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B204720">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FECDE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4F26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CDA9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CEA85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CA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046CD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E78A4E7">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C74B3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9654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C03E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0A3B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EF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E5A4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C8CD3F0">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0439B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8BD1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1337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3D1B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11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E089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4CB067F">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E41A0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EA6B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9E79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8F663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10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C861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93CE6D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C2DBD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F79A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19E7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8070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3F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283CCE8A">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清单第600章合计  人民币</w:t>
            </w:r>
            <w:r>
              <w:rPr>
                <w:rFonts w:hint="default" w:ascii="Times New Roman" w:hAnsi="Times New Roman" w:cs="Times New Roman"/>
                <w:color w:val="auto"/>
                <w:szCs w:val="21"/>
                <w:highlight w:val="none"/>
                <w:u w:val="single"/>
              </w:rPr>
              <w:t xml:space="preserve">                    </w:t>
            </w:r>
          </w:p>
        </w:tc>
      </w:tr>
    </w:tbl>
    <w:p w14:paraId="127AB8C3">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705FCB4C">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6694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76ED404">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第700章   绿化及环境保护设施</w:t>
            </w:r>
          </w:p>
        </w:tc>
      </w:tr>
      <w:tr w14:paraId="7D14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234C28B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97655E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512369E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DDA37C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8DA159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1D28168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11F3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3F616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702</w:t>
            </w:r>
          </w:p>
        </w:tc>
        <w:tc>
          <w:tcPr>
            <w:tcW w:w="4732" w:type="dxa"/>
            <w:noWrap w:val="0"/>
            <w:vAlign w:val="center"/>
          </w:tcPr>
          <w:p w14:paraId="0FBDB2B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铺设表土</w:t>
            </w:r>
          </w:p>
        </w:tc>
        <w:tc>
          <w:tcPr>
            <w:tcW w:w="749" w:type="dxa"/>
            <w:noWrap w:val="0"/>
            <w:vAlign w:val="top"/>
          </w:tcPr>
          <w:p w14:paraId="65F4C57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77ECF2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7F7002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611EB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5CD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936353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702-1</w:t>
            </w:r>
          </w:p>
        </w:tc>
        <w:tc>
          <w:tcPr>
            <w:tcW w:w="4732" w:type="dxa"/>
            <w:noWrap w:val="0"/>
            <w:vAlign w:val="top"/>
          </w:tcPr>
          <w:p w14:paraId="33C40B26">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开挖并铺设表土</w:t>
            </w:r>
          </w:p>
        </w:tc>
        <w:tc>
          <w:tcPr>
            <w:tcW w:w="749" w:type="dxa"/>
            <w:noWrap w:val="0"/>
            <w:vAlign w:val="top"/>
          </w:tcPr>
          <w:p w14:paraId="5190F32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41E68C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8B2F0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9476E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964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9B213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702-2</w:t>
            </w:r>
          </w:p>
        </w:tc>
        <w:tc>
          <w:tcPr>
            <w:tcW w:w="4732" w:type="dxa"/>
            <w:noWrap w:val="0"/>
            <w:vAlign w:val="top"/>
          </w:tcPr>
          <w:p w14:paraId="16927A52">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铺设利用的表土</w:t>
            </w:r>
          </w:p>
        </w:tc>
        <w:tc>
          <w:tcPr>
            <w:tcW w:w="749" w:type="dxa"/>
            <w:noWrap w:val="0"/>
            <w:vAlign w:val="top"/>
          </w:tcPr>
          <w:p w14:paraId="2CD5581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9250B7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9D8CEB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C5D09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AEF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6539E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w:t>
            </w:r>
          </w:p>
        </w:tc>
        <w:tc>
          <w:tcPr>
            <w:tcW w:w="4732" w:type="dxa"/>
            <w:noWrap w:val="0"/>
            <w:vAlign w:val="center"/>
          </w:tcPr>
          <w:p w14:paraId="3815615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撒播草种和铺植草皮</w:t>
            </w:r>
          </w:p>
        </w:tc>
        <w:tc>
          <w:tcPr>
            <w:tcW w:w="749" w:type="dxa"/>
            <w:noWrap w:val="0"/>
            <w:vAlign w:val="top"/>
          </w:tcPr>
          <w:p w14:paraId="72F9FC5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69E4F7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12FDCF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6FDED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C48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1DE49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703-1</w:t>
            </w:r>
          </w:p>
        </w:tc>
        <w:tc>
          <w:tcPr>
            <w:tcW w:w="4732" w:type="dxa"/>
            <w:noWrap w:val="0"/>
            <w:vAlign w:val="top"/>
          </w:tcPr>
          <w:p w14:paraId="398250D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撒播草种</w:t>
            </w:r>
            <w:r>
              <w:rPr>
                <w:rFonts w:hint="default" w:ascii="Times New Roman" w:hAnsi="Times New Roman" w:cs="Times New Roman"/>
                <w:color w:val="auto"/>
                <w:kern w:val="0"/>
                <w:szCs w:val="21"/>
                <w:highlight w:val="none"/>
              </w:rPr>
              <w:t>（含喷播）</w:t>
            </w:r>
          </w:p>
        </w:tc>
        <w:tc>
          <w:tcPr>
            <w:tcW w:w="749" w:type="dxa"/>
            <w:noWrap w:val="0"/>
            <w:vAlign w:val="top"/>
          </w:tcPr>
          <w:p w14:paraId="0324140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F49C95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FF6790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DB284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BC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2440E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703-2</w:t>
            </w:r>
          </w:p>
        </w:tc>
        <w:tc>
          <w:tcPr>
            <w:tcW w:w="4732" w:type="dxa"/>
            <w:noWrap w:val="0"/>
            <w:vAlign w:val="center"/>
          </w:tcPr>
          <w:p w14:paraId="2E9DC5F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撒播草种及花卉、灌木籽（含喷播）</w:t>
            </w:r>
          </w:p>
        </w:tc>
        <w:tc>
          <w:tcPr>
            <w:tcW w:w="749" w:type="dxa"/>
            <w:noWrap w:val="0"/>
            <w:vAlign w:val="center"/>
          </w:tcPr>
          <w:p w14:paraId="48EA8E2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FC7EA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D6F286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0167B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BEC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D19D8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703-3</w:t>
            </w:r>
          </w:p>
        </w:tc>
        <w:tc>
          <w:tcPr>
            <w:tcW w:w="4732" w:type="dxa"/>
            <w:noWrap w:val="0"/>
            <w:vAlign w:val="center"/>
          </w:tcPr>
          <w:p w14:paraId="47E7812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先点播灌木后喷播草种</w:t>
            </w:r>
          </w:p>
        </w:tc>
        <w:tc>
          <w:tcPr>
            <w:tcW w:w="749" w:type="dxa"/>
            <w:noWrap w:val="0"/>
            <w:vAlign w:val="center"/>
          </w:tcPr>
          <w:p w14:paraId="3C6AB2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FFED4D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E4F0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FFB77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A71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BC2A1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703-4</w:t>
            </w:r>
          </w:p>
        </w:tc>
        <w:tc>
          <w:tcPr>
            <w:tcW w:w="4732" w:type="dxa"/>
            <w:noWrap w:val="0"/>
            <w:vAlign w:val="top"/>
          </w:tcPr>
          <w:p w14:paraId="5B671265">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铺植草皮</w:t>
            </w:r>
          </w:p>
        </w:tc>
        <w:tc>
          <w:tcPr>
            <w:tcW w:w="749" w:type="dxa"/>
            <w:noWrap w:val="0"/>
            <w:vAlign w:val="top"/>
          </w:tcPr>
          <w:p w14:paraId="1268CB9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572B50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2B46FC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E633F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3C9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64720A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386A8FF">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马尼拉草皮</w:t>
            </w:r>
          </w:p>
        </w:tc>
        <w:tc>
          <w:tcPr>
            <w:tcW w:w="749" w:type="dxa"/>
            <w:noWrap w:val="0"/>
            <w:vAlign w:val="top"/>
          </w:tcPr>
          <w:p w14:paraId="6E4783D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9F635E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4398B9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D2CD2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DE1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97FC4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8E82833">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美国二号草皮</w:t>
            </w:r>
          </w:p>
        </w:tc>
        <w:tc>
          <w:tcPr>
            <w:tcW w:w="749" w:type="dxa"/>
            <w:noWrap w:val="0"/>
            <w:vAlign w:val="top"/>
          </w:tcPr>
          <w:p w14:paraId="273394A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C2CD20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058675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767BB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B71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50C7BF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1E2892A0">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673FE39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8744EA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4B6AE4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B7FAB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227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F39AD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703-5</w:t>
            </w:r>
          </w:p>
        </w:tc>
        <w:tc>
          <w:tcPr>
            <w:tcW w:w="4732" w:type="dxa"/>
            <w:noWrap w:val="0"/>
            <w:vAlign w:val="center"/>
          </w:tcPr>
          <w:p w14:paraId="2ECC432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三维土工网植草</w:t>
            </w:r>
          </w:p>
        </w:tc>
        <w:tc>
          <w:tcPr>
            <w:tcW w:w="749" w:type="dxa"/>
            <w:noWrap w:val="0"/>
            <w:vAlign w:val="center"/>
          </w:tcPr>
          <w:p w14:paraId="0DA75A3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E312D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60CE05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2987E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971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40405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703-6</w:t>
            </w:r>
          </w:p>
        </w:tc>
        <w:tc>
          <w:tcPr>
            <w:tcW w:w="4732" w:type="dxa"/>
            <w:noWrap w:val="0"/>
            <w:vAlign w:val="center"/>
          </w:tcPr>
          <w:p w14:paraId="79935FD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客土喷播</w:t>
            </w:r>
          </w:p>
        </w:tc>
        <w:tc>
          <w:tcPr>
            <w:tcW w:w="749" w:type="dxa"/>
            <w:noWrap w:val="0"/>
            <w:vAlign w:val="center"/>
          </w:tcPr>
          <w:p w14:paraId="2F59371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6FF18D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9E506D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E8883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92E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3DB81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703-7</w:t>
            </w:r>
          </w:p>
        </w:tc>
        <w:tc>
          <w:tcPr>
            <w:tcW w:w="4732" w:type="dxa"/>
            <w:noWrap w:val="0"/>
            <w:vAlign w:val="center"/>
          </w:tcPr>
          <w:p w14:paraId="2447C90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植生袋</w:t>
            </w:r>
          </w:p>
        </w:tc>
        <w:tc>
          <w:tcPr>
            <w:tcW w:w="749" w:type="dxa"/>
            <w:noWrap w:val="0"/>
            <w:vAlign w:val="center"/>
          </w:tcPr>
          <w:p w14:paraId="56FB8EF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C5B48F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3F0FF2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276FF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EAB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66882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703-8</w:t>
            </w:r>
          </w:p>
        </w:tc>
        <w:tc>
          <w:tcPr>
            <w:tcW w:w="4732" w:type="dxa"/>
            <w:noWrap w:val="0"/>
            <w:vAlign w:val="center"/>
          </w:tcPr>
          <w:p w14:paraId="3523362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绿地喷灌管道</w:t>
            </w:r>
          </w:p>
        </w:tc>
        <w:tc>
          <w:tcPr>
            <w:tcW w:w="749" w:type="dxa"/>
            <w:noWrap w:val="0"/>
            <w:vAlign w:val="center"/>
          </w:tcPr>
          <w:p w14:paraId="6595113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45E72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EFDA6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C4E34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663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CB8B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704</w:t>
            </w:r>
          </w:p>
        </w:tc>
        <w:tc>
          <w:tcPr>
            <w:tcW w:w="4732" w:type="dxa"/>
            <w:noWrap w:val="0"/>
            <w:vAlign w:val="center"/>
          </w:tcPr>
          <w:p w14:paraId="1C27C4B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种植乔木、灌木和攀缘植物</w:t>
            </w:r>
          </w:p>
        </w:tc>
        <w:tc>
          <w:tcPr>
            <w:tcW w:w="749" w:type="dxa"/>
            <w:noWrap w:val="0"/>
            <w:vAlign w:val="top"/>
          </w:tcPr>
          <w:p w14:paraId="5029535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A0D788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0543D0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DF496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56B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6D61EC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704-1</w:t>
            </w:r>
          </w:p>
        </w:tc>
        <w:tc>
          <w:tcPr>
            <w:tcW w:w="4732" w:type="dxa"/>
            <w:noWrap w:val="0"/>
            <w:vAlign w:val="top"/>
          </w:tcPr>
          <w:p w14:paraId="5030A43E">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人工种植乔木</w:t>
            </w:r>
          </w:p>
        </w:tc>
        <w:tc>
          <w:tcPr>
            <w:tcW w:w="749" w:type="dxa"/>
            <w:noWrap w:val="0"/>
            <w:vAlign w:val="top"/>
          </w:tcPr>
          <w:p w14:paraId="262289C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8F9606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EFD24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FD827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BFC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8DED3C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5A9FEA9">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香樟</w:t>
            </w:r>
          </w:p>
        </w:tc>
        <w:tc>
          <w:tcPr>
            <w:tcW w:w="749" w:type="dxa"/>
            <w:noWrap w:val="0"/>
            <w:vAlign w:val="top"/>
          </w:tcPr>
          <w:p w14:paraId="16148DE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16685B2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51A2C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67770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F0D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08455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04555C8">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大叶樟</w:t>
            </w:r>
          </w:p>
        </w:tc>
        <w:tc>
          <w:tcPr>
            <w:tcW w:w="749" w:type="dxa"/>
            <w:noWrap w:val="0"/>
            <w:vAlign w:val="top"/>
          </w:tcPr>
          <w:p w14:paraId="0CB4A17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7ECE17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5659D0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A0A99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8FA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DDDA2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7B512512">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杜英</w:t>
            </w:r>
          </w:p>
        </w:tc>
        <w:tc>
          <w:tcPr>
            <w:tcW w:w="749" w:type="dxa"/>
            <w:noWrap w:val="0"/>
            <w:vAlign w:val="top"/>
          </w:tcPr>
          <w:p w14:paraId="63ABD15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1CFCA1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FDFC67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7028F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CF3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1D309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395C5673">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6E66137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873ABE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2B43E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8F6F3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AA7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AD54AB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704-2</w:t>
            </w:r>
          </w:p>
        </w:tc>
        <w:tc>
          <w:tcPr>
            <w:tcW w:w="4732" w:type="dxa"/>
            <w:noWrap w:val="0"/>
            <w:vAlign w:val="top"/>
          </w:tcPr>
          <w:p w14:paraId="7AD28008">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人工种植灌木</w:t>
            </w:r>
          </w:p>
        </w:tc>
        <w:tc>
          <w:tcPr>
            <w:tcW w:w="749" w:type="dxa"/>
            <w:noWrap w:val="0"/>
            <w:vAlign w:val="top"/>
          </w:tcPr>
          <w:p w14:paraId="7B3B15F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06E66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07135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C4F21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3FA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A7856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764E77A">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夹竹桃</w:t>
            </w:r>
          </w:p>
        </w:tc>
        <w:tc>
          <w:tcPr>
            <w:tcW w:w="749" w:type="dxa"/>
            <w:noWrap w:val="0"/>
            <w:vAlign w:val="top"/>
          </w:tcPr>
          <w:p w14:paraId="4BC738B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DBAFC0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BA5E9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5C018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C5E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AF718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034C83D">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木芙蓉</w:t>
            </w:r>
          </w:p>
        </w:tc>
        <w:tc>
          <w:tcPr>
            <w:tcW w:w="749" w:type="dxa"/>
            <w:noWrap w:val="0"/>
            <w:vAlign w:val="top"/>
          </w:tcPr>
          <w:p w14:paraId="19BC410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CAF895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8473E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8C6D0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51D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267A3F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554C729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春杜鹃</w:t>
            </w:r>
          </w:p>
        </w:tc>
        <w:tc>
          <w:tcPr>
            <w:tcW w:w="749" w:type="dxa"/>
            <w:noWrap w:val="0"/>
            <w:vAlign w:val="top"/>
          </w:tcPr>
          <w:p w14:paraId="5B04C08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0B5E178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938554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FB8FA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52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A1CED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47636BF7">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620AF6D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577E9E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4EB69F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48EC6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F4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C3E3C1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704-3</w:t>
            </w:r>
          </w:p>
        </w:tc>
        <w:tc>
          <w:tcPr>
            <w:tcW w:w="4732" w:type="dxa"/>
            <w:noWrap w:val="0"/>
            <w:vAlign w:val="top"/>
          </w:tcPr>
          <w:p w14:paraId="7B2CB2B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人工种植攀缘植物</w:t>
            </w:r>
          </w:p>
        </w:tc>
        <w:tc>
          <w:tcPr>
            <w:tcW w:w="749" w:type="dxa"/>
            <w:noWrap w:val="0"/>
            <w:vAlign w:val="top"/>
          </w:tcPr>
          <w:p w14:paraId="5CF51D7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60D229C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A82248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2371A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095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11581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704-4</w:t>
            </w:r>
          </w:p>
        </w:tc>
        <w:tc>
          <w:tcPr>
            <w:tcW w:w="4732" w:type="dxa"/>
            <w:noWrap w:val="0"/>
            <w:vAlign w:val="center"/>
          </w:tcPr>
          <w:p w14:paraId="6D107A8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人工种植竹类</w:t>
            </w:r>
          </w:p>
        </w:tc>
        <w:tc>
          <w:tcPr>
            <w:tcW w:w="749" w:type="dxa"/>
            <w:noWrap w:val="0"/>
            <w:vAlign w:val="center"/>
          </w:tcPr>
          <w:p w14:paraId="234E1F5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棵</w:t>
            </w:r>
          </w:p>
        </w:tc>
        <w:tc>
          <w:tcPr>
            <w:tcW w:w="837" w:type="dxa"/>
            <w:noWrap w:val="0"/>
            <w:vAlign w:val="center"/>
          </w:tcPr>
          <w:p w14:paraId="5922506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55ECBE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AFA27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2FC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9D43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w:t>
            </w:r>
          </w:p>
        </w:tc>
        <w:tc>
          <w:tcPr>
            <w:tcW w:w="4732" w:type="dxa"/>
            <w:noWrap w:val="0"/>
            <w:vAlign w:val="center"/>
          </w:tcPr>
          <w:p w14:paraId="7474FE1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声屏障</w:t>
            </w:r>
          </w:p>
        </w:tc>
        <w:tc>
          <w:tcPr>
            <w:tcW w:w="749" w:type="dxa"/>
            <w:noWrap w:val="0"/>
            <w:vAlign w:val="center"/>
          </w:tcPr>
          <w:p w14:paraId="765511F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D597D7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15059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45744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08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B8FCC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706-1</w:t>
            </w:r>
          </w:p>
        </w:tc>
        <w:tc>
          <w:tcPr>
            <w:tcW w:w="4732" w:type="dxa"/>
            <w:noWrap w:val="0"/>
            <w:vAlign w:val="center"/>
          </w:tcPr>
          <w:p w14:paraId="6515E74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吸、隔声板声屏障</w:t>
            </w:r>
          </w:p>
        </w:tc>
        <w:tc>
          <w:tcPr>
            <w:tcW w:w="749" w:type="dxa"/>
            <w:noWrap w:val="0"/>
            <w:vAlign w:val="center"/>
          </w:tcPr>
          <w:p w14:paraId="4A1C791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022C0D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2AB798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4902E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27D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7101D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706-2</w:t>
            </w:r>
          </w:p>
        </w:tc>
        <w:tc>
          <w:tcPr>
            <w:tcW w:w="4732" w:type="dxa"/>
            <w:noWrap w:val="0"/>
            <w:vAlign w:val="center"/>
          </w:tcPr>
          <w:p w14:paraId="59BC1AA4">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吸声砖声屏障</w:t>
            </w:r>
          </w:p>
        </w:tc>
        <w:tc>
          <w:tcPr>
            <w:tcW w:w="749" w:type="dxa"/>
            <w:noWrap w:val="0"/>
            <w:vAlign w:val="center"/>
          </w:tcPr>
          <w:p w14:paraId="2D80F29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6CB95B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555647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76ABC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106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8CFD91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706-3</w:t>
            </w:r>
          </w:p>
        </w:tc>
        <w:tc>
          <w:tcPr>
            <w:tcW w:w="4732" w:type="dxa"/>
            <w:noWrap w:val="0"/>
            <w:vAlign w:val="center"/>
          </w:tcPr>
          <w:p w14:paraId="66865024">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砖墙声屏障</w:t>
            </w:r>
          </w:p>
        </w:tc>
        <w:tc>
          <w:tcPr>
            <w:tcW w:w="749" w:type="dxa"/>
            <w:noWrap w:val="0"/>
            <w:vAlign w:val="center"/>
          </w:tcPr>
          <w:p w14:paraId="2812E09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A82EED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BD85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3D92F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AA0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CB0F9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4732" w:type="dxa"/>
            <w:noWrap w:val="0"/>
            <w:vAlign w:val="center"/>
          </w:tcPr>
          <w:p w14:paraId="5E580E77">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59BB087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A5321C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98C145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9CDAD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965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38042D8A">
            <w:pPr>
              <w:pageBreakBefore w:val="0"/>
              <w:kinsoku/>
              <w:wordWrap w:val="0"/>
              <w:bidi w:val="0"/>
              <w:spacing w:line="34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清单第700章合计  人民币</w:t>
            </w:r>
            <w:r>
              <w:rPr>
                <w:rFonts w:hint="default" w:ascii="Times New Roman" w:hAnsi="Times New Roman" w:cs="Times New Roman"/>
                <w:color w:val="auto"/>
                <w:szCs w:val="21"/>
                <w:highlight w:val="none"/>
                <w:u w:val="single"/>
              </w:rPr>
              <w:t xml:space="preserve">                    </w:t>
            </w:r>
          </w:p>
        </w:tc>
      </w:tr>
    </w:tbl>
    <w:p w14:paraId="37E4C525">
      <w:pPr>
        <w:pageBreakBefore w:val="0"/>
        <w:kinsoku/>
        <w:wordWrap w:val="0"/>
        <w:bidi w:val="0"/>
        <w:spacing w:before="120" w:beforeLines="50" w:after="120" w:afterLines="50" w:line="400" w:lineRule="atLeast"/>
        <w:ind w:firstLine="560" w:firstLineChars="200"/>
        <w:outlineLvl w:val="2"/>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8"/>
          <w:highlight w:val="none"/>
        </w:rPr>
        <w:br w:type="page"/>
      </w:r>
      <w:bookmarkStart w:id="1857" w:name="_Toc10643"/>
      <w:r>
        <w:rPr>
          <w:rFonts w:hint="default" w:ascii="Times New Roman" w:hAnsi="Times New Roman" w:cs="Times New Roman"/>
          <w:color w:val="auto"/>
          <w:sz w:val="24"/>
          <w:highlight w:val="none"/>
        </w:rPr>
        <w:t>5.2 计日工表</w:t>
      </w:r>
      <w:bookmarkEnd w:id="1857"/>
    </w:p>
    <w:p w14:paraId="0B6A82EF">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5.2.1 劳务</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159D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16B9748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030" w:type="dxa"/>
            <w:noWrap w:val="0"/>
            <w:vAlign w:val="center"/>
          </w:tcPr>
          <w:p w14:paraId="50CC68A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503" w:type="dxa"/>
            <w:noWrap w:val="0"/>
            <w:vAlign w:val="center"/>
          </w:tcPr>
          <w:p w14:paraId="331C0EA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14" w:type="dxa"/>
            <w:noWrap w:val="0"/>
            <w:vAlign w:val="center"/>
          </w:tcPr>
          <w:p w14:paraId="2EBC14A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26" w:type="dxa"/>
            <w:noWrap w:val="0"/>
            <w:vAlign w:val="center"/>
          </w:tcPr>
          <w:p w14:paraId="022EC92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9" w:type="dxa"/>
            <w:noWrap w:val="0"/>
            <w:vAlign w:val="center"/>
          </w:tcPr>
          <w:p w14:paraId="2BD10D4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946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9C03FA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w:t>
            </w:r>
          </w:p>
        </w:tc>
        <w:tc>
          <w:tcPr>
            <w:tcW w:w="3030" w:type="dxa"/>
            <w:noWrap w:val="0"/>
            <w:vAlign w:val="top"/>
          </w:tcPr>
          <w:p w14:paraId="7551199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班长</w:t>
            </w:r>
          </w:p>
        </w:tc>
        <w:tc>
          <w:tcPr>
            <w:tcW w:w="1503" w:type="dxa"/>
            <w:noWrap w:val="0"/>
            <w:vAlign w:val="center"/>
          </w:tcPr>
          <w:p w14:paraId="09E3483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7DE9E75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3D2374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ECB6C9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4C8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2385CF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w:t>
            </w:r>
          </w:p>
        </w:tc>
        <w:tc>
          <w:tcPr>
            <w:tcW w:w="3030" w:type="dxa"/>
            <w:noWrap w:val="0"/>
            <w:vAlign w:val="top"/>
          </w:tcPr>
          <w:p w14:paraId="65CFF83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普通工</w:t>
            </w:r>
          </w:p>
        </w:tc>
        <w:tc>
          <w:tcPr>
            <w:tcW w:w="1503" w:type="dxa"/>
            <w:noWrap w:val="0"/>
            <w:vAlign w:val="center"/>
          </w:tcPr>
          <w:p w14:paraId="65F3DF6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235CAD6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700D6D2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66040E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29B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6BBABA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w:t>
            </w:r>
          </w:p>
        </w:tc>
        <w:tc>
          <w:tcPr>
            <w:tcW w:w="3030" w:type="dxa"/>
            <w:noWrap w:val="0"/>
            <w:vAlign w:val="top"/>
          </w:tcPr>
          <w:p w14:paraId="2830D96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焊工</w:t>
            </w:r>
          </w:p>
        </w:tc>
        <w:tc>
          <w:tcPr>
            <w:tcW w:w="1503" w:type="dxa"/>
            <w:noWrap w:val="0"/>
            <w:vAlign w:val="center"/>
          </w:tcPr>
          <w:p w14:paraId="38249EB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2B7ECFF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18023E4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465495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205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2291484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w:t>
            </w:r>
          </w:p>
        </w:tc>
        <w:tc>
          <w:tcPr>
            <w:tcW w:w="3030" w:type="dxa"/>
            <w:noWrap w:val="0"/>
            <w:vAlign w:val="top"/>
          </w:tcPr>
          <w:p w14:paraId="6083B5C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电工</w:t>
            </w:r>
          </w:p>
        </w:tc>
        <w:tc>
          <w:tcPr>
            <w:tcW w:w="1503" w:type="dxa"/>
            <w:noWrap w:val="0"/>
            <w:vAlign w:val="center"/>
          </w:tcPr>
          <w:p w14:paraId="08CEB49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398E2FC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DAFE68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656FA6A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BAB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EDBA45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w:t>
            </w:r>
          </w:p>
        </w:tc>
        <w:tc>
          <w:tcPr>
            <w:tcW w:w="3030" w:type="dxa"/>
            <w:noWrap w:val="0"/>
            <w:vAlign w:val="top"/>
          </w:tcPr>
          <w:p w14:paraId="2D7CD4D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混凝土工</w:t>
            </w:r>
          </w:p>
        </w:tc>
        <w:tc>
          <w:tcPr>
            <w:tcW w:w="1503" w:type="dxa"/>
            <w:noWrap w:val="0"/>
            <w:vAlign w:val="center"/>
          </w:tcPr>
          <w:p w14:paraId="502BA23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5A2D003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BEE91C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453124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F22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4B8168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106</w:t>
            </w:r>
          </w:p>
        </w:tc>
        <w:tc>
          <w:tcPr>
            <w:tcW w:w="3030" w:type="dxa"/>
            <w:noWrap w:val="0"/>
            <w:vAlign w:val="top"/>
          </w:tcPr>
          <w:p w14:paraId="1ABBF0A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木工</w:t>
            </w:r>
          </w:p>
        </w:tc>
        <w:tc>
          <w:tcPr>
            <w:tcW w:w="1503" w:type="dxa"/>
            <w:noWrap w:val="0"/>
            <w:vAlign w:val="center"/>
          </w:tcPr>
          <w:p w14:paraId="672332B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4B9EAAD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2FA42F2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B1242D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31C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8D01CE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107</w:t>
            </w:r>
          </w:p>
        </w:tc>
        <w:tc>
          <w:tcPr>
            <w:tcW w:w="3030" w:type="dxa"/>
            <w:noWrap w:val="0"/>
            <w:vAlign w:val="top"/>
          </w:tcPr>
          <w:p w14:paraId="50D2542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钢筋工</w:t>
            </w:r>
          </w:p>
        </w:tc>
        <w:tc>
          <w:tcPr>
            <w:tcW w:w="1503" w:type="dxa"/>
            <w:noWrap w:val="0"/>
            <w:vAlign w:val="center"/>
          </w:tcPr>
          <w:p w14:paraId="7D15E3C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0F3E404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1AD5496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1D63F7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4C5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189BD0A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3030" w:type="dxa"/>
            <w:noWrap w:val="0"/>
            <w:vAlign w:val="top"/>
          </w:tcPr>
          <w:p w14:paraId="7B087A8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03" w:type="dxa"/>
            <w:noWrap w:val="0"/>
            <w:vAlign w:val="center"/>
          </w:tcPr>
          <w:p w14:paraId="704C743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314" w:type="dxa"/>
            <w:noWrap w:val="0"/>
            <w:vAlign w:val="center"/>
          </w:tcPr>
          <w:p w14:paraId="2D89294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3384E36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6E820C7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F44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5C64340C">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劳务小计金额： </w:t>
            </w:r>
            <w:r>
              <w:rPr>
                <w:rFonts w:hint="default" w:ascii="Times New Roman" w:hAnsi="Times New Roman" w:cs="Times New Roman"/>
                <w:color w:val="auto"/>
                <w:szCs w:val="21"/>
                <w:highlight w:val="none"/>
                <w:u w:val="single"/>
              </w:rPr>
              <w:t>_____________</w:t>
            </w:r>
          </w:p>
          <w:p w14:paraId="7531686B">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6D3B68BF">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5.2.2 材料</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0821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34B83DC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030" w:type="dxa"/>
            <w:noWrap w:val="0"/>
            <w:vAlign w:val="center"/>
          </w:tcPr>
          <w:p w14:paraId="5AE1EED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503" w:type="dxa"/>
            <w:noWrap w:val="0"/>
            <w:vAlign w:val="center"/>
          </w:tcPr>
          <w:p w14:paraId="4B8F288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14" w:type="dxa"/>
            <w:noWrap w:val="0"/>
            <w:vAlign w:val="center"/>
          </w:tcPr>
          <w:p w14:paraId="35BE8EE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26" w:type="dxa"/>
            <w:noWrap w:val="0"/>
            <w:vAlign w:val="center"/>
          </w:tcPr>
          <w:p w14:paraId="1C8E96E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9" w:type="dxa"/>
            <w:noWrap w:val="0"/>
            <w:vAlign w:val="center"/>
          </w:tcPr>
          <w:p w14:paraId="61C1D30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5C66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032FF7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201</w:t>
            </w:r>
          </w:p>
        </w:tc>
        <w:tc>
          <w:tcPr>
            <w:tcW w:w="3030" w:type="dxa"/>
            <w:noWrap w:val="0"/>
            <w:vAlign w:val="top"/>
          </w:tcPr>
          <w:p w14:paraId="753C381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w:t>
            </w:r>
          </w:p>
        </w:tc>
        <w:tc>
          <w:tcPr>
            <w:tcW w:w="1503" w:type="dxa"/>
            <w:noWrap w:val="0"/>
            <w:vAlign w:val="top"/>
          </w:tcPr>
          <w:p w14:paraId="246A44E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01C737A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887634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F84DC3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EE6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5B1CE5C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w:t>
            </w:r>
          </w:p>
        </w:tc>
        <w:tc>
          <w:tcPr>
            <w:tcW w:w="3030" w:type="dxa"/>
            <w:noWrap w:val="0"/>
            <w:vAlign w:val="top"/>
          </w:tcPr>
          <w:p w14:paraId="55AB3D5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w:t>
            </w:r>
          </w:p>
        </w:tc>
        <w:tc>
          <w:tcPr>
            <w:tcW w:w="1503" w:type="dxa"/>
            <w:noWrap w:val="0"/>
            <w:vAlign w:val="top"/>
          </w:tcPr>
          <w:p w14:paraId="5EEFA59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6ADF5FD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26F2E2F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087180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982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C052F2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w:t>
            </w:r>
          </w:p>
        </w:tc>
        <w:tc>
          <w:tcPr>
            <w:tcW w:w="3030" w:type="dxa"/>
            <w:noWrap w:val="0"/>
            <w:vAlign w:val="top"/>
          </w:tcPr>
          <w:p w14:paraId="3FB726B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钢绞线</w:t>
            </w:r>
          </w:p>
        </w:tc>
        <w:tc>
          <w:tcPr>
            <w:tcW w:w="1503" w:type="dxa"/>
            <w:noWrap w:val="0"/>
            <w:vAlign w:val="top"/>
          </w:tcPr>
          <w:p w14:paraId="7D80412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42B4D13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3BEEFD5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73F1C7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617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3CE6E0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w:t>
            </w:r>
          </w:p>
        </w:tc>
        <w:tc>
          <w:tcPr>
            <w:tcW w:w="3030" w:type="dxa"/>
            <w:noWrap w:val="0"/>
            <w:vAlign w:val="top"/>
          </w:tcPr>
          <w:p w14:paraId="6DC2FAE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w:t>
            </w:r>
          </w:p>
        </w:tc>
        <w:tc>
          <w:tcPr>
            <w:tcW w:w="1503" w:type="dxa"/>
            <w:noWrap w:val="0"/>
            <w:vAlign w:val="top"/>
          </w:tcPr>
          <w:p w14:paraId="58F5C19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55E02C4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92E46E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CB7848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00B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80EC78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205</w:t>
            </w:r>
          </w:p>
        </w:tc>
        <w:tc>
          <w:tcPr>
            <w:tcW w:w="3030" w:type="dxa"/>
            <w:noWrap w:val="0"/>
            <w:vAlign w:val="top"/>
          </w:tcPr>
          <w:p w14:paraId="5F59F48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木材</w:t>
            </w:r>
          </w:p>
        </w:tc>
        <w:tc>
          <w:tcPr>
            <w:tcW w:w="1503" w:type="dxa"/>
            <w:noWrap w:val="0"/>
            <w:vAlign w:val="top"/>
          </w:tcPr>
          <w:p w14:paraId="3D30FB8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2ADF9B7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CCBB26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7CA3CA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3AD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729876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w:t>
            </w:r>
          </w:p>
        </w:tc>
        <w:tc>
          <w:tcPr>
            <w:tcW w:w="3030" w:type="dxa"/>
            <w:noWrap w:val="0"/>
            <w:vAlign w:val="top"/>
          </w:tcPr>
          <w:p w14:paraId="06544D0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w:t>
            </w:r>
          </w:p>
        </w:tc>
        <w:tc>
          <w:tcPr>
            <w:tcW w:w="1503" w:type="dxa"/>
            <w:noWrap w:val="0"/>
            <w:vAlign w:val="top"/>
          </w:tcPr>
          <w:p w14:paraId="2667A96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564EDEE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A3D738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6AEB16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174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51FBBB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207</w:t>
            </w:r>
          </w:p>
        </w:tc>
        <w:tc>
          <w:tcPr>
            <w:tcW w:w="3030" w:type="dxa"/>
            <w:noWrap w:val="0"/>
            <w:vAlign w:val="top"/>
          </w:tcPr>
          <w:p w14:paraId="541B492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w:t>
            </w:r>
          </w:p>
        </w:tc>
        <w:tc>
          <w:tcPr>
            <w:tcW w:w="1503" w:type="dxa"/>
            <w:noWrap w:val="0"/>
            <w:vAlign w:val="top"/>
          </w:tcPr>
          <w:p w14:paraId="1FA03B3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44F23CE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216CE8B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9D203A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039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3D24B3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208</w:t>
            </w:r>
          </w:p>
        </w:tc>
        <w:tc>
          <w:tcPr>
            <w:tcW w:w="3030" w:type="dxa"/>
            <w:noWrap w:val="0"/>
            <w:vAlign w:val="top"/>
          </w:tcPr>
          <w:p w14:paraId="2BD2F78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片石</w:t>
            </w:r>
          </w:p>
        </w:tc>
        <w:tc>
          <w:tcPr>
            <w:tcW w:w="1503" w:type="dxa"/>
            <w:noWrap w:val="0"/>
            <w:vAlign w:val="top"/>
          </w:tcPr>
          <w:p w14:paraId="155149A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7DE9290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317A9E7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798451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3C8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F71E567">
            <w:pPr>
              <w:pageBreakBefore w:val="0"/>
              <w:kinsoku/>
              <w:wordWrap w:val="0"/>
              <w:bidi w:val="0"/>
              <w:spacing w:before="36" w:beforeLines="15" w:after="36" w:afterLines="15" w:line="240" w:lineRule="atLeast"/>
              <w:jc w:val="center"/>
              <w:rPr>
                <w:rFonts w:hint="default" w:ascii="Times New Roman" w:hAnsi="Times New Roman" w:cs="Times New Roman"/>
                <w:color w:val="auto"/>
                <w:szCs w:val="21"/>
                <w:highlight w:val="none"/>
              </w:rPr>
            </w:pPr>
          </w:p>
        </w:tc>
        <w:tc>
          <w:tcPr>
            <w:tcW w:w="3030" w:type="dxa"/>
            <w:noWrap w:val="0"/>
            <w:vAlign w:val="top"/>
          </w:tcPr>
          <w:p w14:paraId="241F2DA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03" w:type="dxa"/>
            <w:noWrap w:val="0"/>
            <w:vAlign w:val="top"/>
          </w:tcPr>
          <w:p w14:paraId="6D7719C1">
            <w:pPr>
              <w:pageBreakBefore w:val="0"/>
              <w:kinsoku/>
              <w:wordWrap w:val="0"/>
              <w:bidi w:val="0"/>
              <w:spacing w:before="36" w:beforeLines="15" w:after="36" w:afterLines="15" w:line="240" w:lineRule="atLeast"/>
              <w:jc w:val="center"/>
              <w:rPr>
                <w:rFonts w:hint="default" w:ascii="Times New Roman" w:hAnsi="Times New Roman" w:cs="Times New Roman"/>
                <w:color w:val="auto"/>
                <w:szCs w:val="21"/>
                <w:highlight w:val="none"/>
              </w:rPr>
            </w:pPr>
          </w:p>
        </w:tc>
        <w:tc>
          <w:tcPr>
            <w:tcW w:w="1314" w:type="dxa"/>
            <w:noWrap w:val="0"/>
            <w:vAlign w:val="center"/>
          </w:tcPr>
          <w:p w14:paraId="4F829B0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0066D48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58595D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99F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7144694C">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材料小计金额： </w:t>
            </w:r>
            <w:r>
              <w:rPr>
                <w:rFonts w:hint="default" w:ascii="Times New Roman" w:hAnsi="Times New Roman" w:cs="Times New Roman"/>
                <w:color w:val="auto"/>
                <w:szCs w:val="21"/>
                <w:highlight w:val="none"/>
                <w:u w:val="single"/>
              </w:rPr>
              <w:t>_____________</w:t>
            </w:r>
          </w:p>
          <w:p w14:paraId="26C4F65A">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563179CA">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5.2.3 施工机械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185"/>
        <w:gridCol w:w="1495"/>
        <w:gridCol w:w="1307"/>
        <w:gridCol w:w="1118"/>
        <w:gridCol w:w="1072"/>
      </w:tblGrid>
      <w:tr w14:paraId="50BA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25399E0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185" w:type="dxa"/>
            <w:noWrap w:val="0"/>
            <w:vAlign w:val="center"/>
          </w:tcPr>
          <w:p w14:paraId="3DB9D2FA">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495" w:type="dxa"/>
            <w:noWrap w:val="0"/>
            <w:vAlign w:val="center"/>
          </w:tcPr>
          <w:p w14:paraId="354FFB1B">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07" w:type="dxa"/>
            <w:noWrap w:val="0"/>
            <w:vAlign w:val="center"/>
          </w:tcPr>
          <w:p w14:paraId="50E8AED2">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18" w:type="dxa"/>
            <w:noWrap w:val="0"/>
            <w:vAlign w:val="center"/>
          </w:tcPr>
          <w:p w14:paraId="0F4D0F36">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2" w:type="dxa"/>
            <w:noWrap w:val="0"/>
            <w:vAlign w:val="center"/>
          </w:tcPr>
          <w:p w14:paraId="6E7F332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0873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0E00C82">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w:t>
            </w:r>
          </w:p>
        </w:tc>
        <w:tc>
          <w:tcPr>
            <w:tcW w:w="3185" w:type="dxa"/>
            <w:noWrap w:val="0"/>
            <w:vAlign w:val="top"/>
          </w:tcPr>
          <w:p w14:paraId="29C35B1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装载机</w:t>
            </w:r>
          </w:p>
        </w:tc>
        <w:tc>
          <w:tcPr>
            <w:tcW w:w="1495" w:type="dxa"/>
            <w:noWrap w:val="0"/>
            <w:vAlign w:val="center"/>
          </w:tcPr>
          <w:p w14:paraId="2B421CE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7E8B2F8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08EDAE4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6C30A06E">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2508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0FDF9D33">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301-1</w:t>
            </w:r>
          </w:p>
        </w:tc>
        <w:tc>
          <w:tcPr>
            <w:tcW w:w="3185" w:type="dxa"/>
            <w:noWrap w:val="0"/>
            <w:vAlign w:val="top"/>
          </w:tcPr>
          <w:p w14:paraId="2171D0F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以下</w:t>
            </w:r>
          </w:p>
        </w:tc>
        <w:tc>
          <w:tcPr>
            <w:tcW w:w="1495" w:type="dxa"/>
            <w:noWrap w:val="0"/>
            <w:vAlign w:val="center"/>
          </w:tcPr>
          <w:p w14:paraId="50D5B506">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4980773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0A75756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3FF80E69">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045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684720E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301-2</w:t>
            </w:r>
          </w:p>
        </w:tc>
        <w:tc>
          <w:tcPr>
            <w:tcW w:w="3185" w:type="dxa"/>
            <w:noWrap w:val="0"/>
            <w:vAlign w:val="top"/>
          </w:tcPr>
          <w:p w14:paraId="0984521F">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1.5～2.5 m</w:t>
            </w:r>
            <w:r>
              <w:rPr>
                <w:rFonts w:hint="default" w:ascii="Times New Roman" w:hAnsi="Times New Roman" w:cs="Times New Roman"/>
                <w:color w:val="auto"/>
                <w:szCs w:val="21"/>
                <w:highlight w:val="none"/>
                <w:vertAlign w:val="superscript"/>
              </w:rPr>
              <w:t>3</w:t>
            </w:r>
          </w:p>
        </w:tc>
        <w:tc>
          <w:tcPr>
            <w:tcW w:w="1495" w:type="dxa"/>
            <w:noWrap w:val="0"/>
            <w:vAlign w:val="center"/>
          </w:tcPr>
          <w:p w14:paraId="671FFD42">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430315B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0365F47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418651E4">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2E3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759821B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301-3</w:t>
            </w:r>
          </w:p>
        </w:tc>
        <w:tc>
          <w:tcPr>
            <w:tcW w:w="3185" w:type="dxa"/>
            <w:noWrap w:val="0"/>
            <w:vAlign w:val="top"/>
          </w:tcPr>
          <w:p w14:paraId="794531D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 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以上</w:t>
            </w:r>
          </w:p>
        </w:tc>
        <w:tc>
          <w:tcPr>
            <w:tcW w:w="1495" w:type="dxa"/>
            <w:noWrap w:val="0"/>
            <w:vAlign w:val="center"/>
          </w:tcPr>
          <w:p w14:paraId="0F724005">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7F97C4D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4F0FE73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1DBB8A51">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2452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09318B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w:t>
            </w:r>
          </w:p>
        </w:tc>
        <w:tc>
          <w:tcPr>
            <w:tcW w:w="3185" w:type="dxa"/>
            <w:noWrap w:val="0"/>
            <w:vAlign w:val="top"/>
          </w:tcPr>
          <w:p w14:paraId="354EDF7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推土机</w:t>
            </w:r>
          </w:p>
        </w:tc>
        <w:tc>
          <w:tcPr>
            <w:tcW w:w="1495" w:type="dxa"/>
            <w:noWrap w:val="0"/>
            <w:vAlign w:val="center"/>
          </w:tcPr>
          <w:p w14:paraId="2BAF5D0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31B77CC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3D37DA1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3E69779B">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BC8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45F76B2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302-1</w:t>
            </w:r>
          </w:p>
        </w:tc>
        <w:tc>
          <w:tcPr>
            <w:tcW w:w="3185" w:type="dxa"/>
            <w:noWrap w:val="0"/>
            <w:vAlign w:val="top"/>
          </w:tcPr>
          <w:p w14:paraId="72F58F5A">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90kW以下</w:t>
            </w:r>
          </w:p>
        </w:tc>
        <w:tc>
          <w:tcPr>
            <w:tcW w:w="1495" w:type="dxa"/>
            <w:noWrap w:val="0"/>
            <w:vAlign w:val="center"/>
          </w:tcPr>
          <w:p w14:paraId="09C5745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2672845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6B6A57A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1C56AFF5">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03EC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307F70E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302-2</w:t>
            </w:r>
          </w:p>
        </w:tc>
        <w:tc>
          <w:tcPr>
            <w:tcW w:w="3185" w:type="dxa"/>
            <w:noWrap w:val="0"/>
            <w:vAlign w:val="top"/>
          </w:tcPr>
          <w:p w14:paraId="1F3FA155">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90～180kW</w:t>
            </w:r>
          </w:p>
        </w:tc>
        <w:tc>
          <w:tcPr>
            <w:tcW w:w="1495" w:type="dxa"/>
            <w:noWrap w:val="0"/>
            <w:vAlign w:val="center"/>
          </w:tcPr>
          <w:p w14:paraId="75B5A3C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3D74177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4358285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3B899980">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AD1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747E5DD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302-3</w:t>
            </w:r>
          </w:p>
        </w:tc>
        <w:tc>
          <w:tcPr>
            <w:tcW w:w="3185" w:type="dxa"/>
            <w:noWrap w:val="0"/>
            <w:vAlign w:val="top"/>
          </w:tcPr>
          <w:p w14:paraId="3A8EA003">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180kW以上</w:t>
            </w:r>
          </w:p>
        </w:tc>
        <w:tc>
          <w:tcPr>
            <w:tcW w:w="1495" w:type="dxa"/>
            <w:noWrap w:val="0"/>
            <w:vAlign w:val="center"/>
          </w:tcPr>
          <w:p w14:paraId="0FFDBAF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50DCD78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4DC2988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5CDD8087">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E6F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B2A3CB7">
            <w:pPr>
              <w:pageBreakBefore w:val="0"/>
              <w:kinsoku/>
              <w:wordWrap w:val="0"/>
              <w:bidi w:val="0"/>
              <w:spacing w:before="60" w:after="60" w:line="240" w:lineRule="atLeast"/>
              <w:jc w:val="center"/>
              <w:rPr>
                <w:rFonts w:hint="default" w:ascii="Times New Roman" w:hAnsi="Times New Roman" w:cs="Times New Roman"/>
                <w:color w:val="auto"/>
                <w:szCs w:val="21"/>
                <w:highlight w:val="none"/>
              </w:rPr>
            </w:pPr>
          </w:p>
        </w:tc>
        <w:tc>
          <w:tcPr>
            <w:tcW w:w="3185" w:type="dxa"/>
            <w:noWrap w:val="0"/>
            <w:vAlign w:val="top"/>
          </w:tcPr>
          <w:p w14:paraId="0AD2B52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495" w:type="dxa"/>
            <w:noWrap w:val="0"/>
            <w:vAlign w:val="center"/>
          </w:tcPr>
          <w:p w14:paraId="28AA349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5D01A18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32049C2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495B4B0C">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0389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07BF1A89">
            <w:pPr>
              <w:pageBreakBefore w:val="0"/>
              <w:kinsoku/>
              <w:wordWrap w:val="0"/>
              <w:bidi w:val="0"/>
              <w:spacing w:line="440" w:lineRule="exact"/>
              <w:ind w:left="315" w:leftChars="150" w:firstLine="3343" w:firstLineChars="15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施工机械小计金额： </w:t>
            </w:r>
            <w:r>
              <w:rPr>
                <w:rFonts w:hint="default" w:ascii="Times New Roman" w:hAnsi="Times New Roman" w:cs="Times New Roman"/>
                <w:color w:val="auto"/>
                <w:szCs w:val="21"/>
                <w:highlight w:val="none"/>
                <w:u w:val="single"/>
              </w:rPr>
              <w:t>_____________</w:t>
            </w:r>
          </w:p>
          <w:p w14:paraId="47C3487D">
            <w:pPr>
              <w:pageBreakBefore w:val="0"/>
              <w:kinsoku/>
              <w:wordWrap w:val="0"/>
              <w:bidi w:val="0"/>
              <w:spacing w:line="440" w:lineRule="exact"/>
              <w:ind w:left="315" w:leftChars="150" w:firstLine="3343" w:firstLineChars="15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3A27E23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5.2.4 计日工汇总表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5822"/>
        <w:gridCol w:w="1455"/>
      </w:tblGrid>
      <w:tr w14:paraId="1300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35E9D3F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5822" w:type="dxa"/>
            <w:noWrap w:val="0"/>
            <w:vAlign w:val="center"/>
          </w:tcPr>
          <w:p w14:paraId="54DD7F2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金额</w:t>
            </w:r>
          </w:p>
        </w:tc>
        <w:tc>
          <w:tcPr>
            <w:tcW w:w="1455" w:type="dxa"/>
            <w:noWrap w:val="0"/>
            <w:vAlign w:val="center"/>
          </w:tcPr>
          <w:p w14:paraId="44B7ECC5">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5B00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FCD7BD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w:t>
            </w:r>
          </w:p>
        </w:tc>
        <w:tc>
          <w:tcPr>
            <w:tcW w:w="5822" w:type="dxa"/>
            <w:noWrap w:val="0"/>
            <w:vAlign w:val="center"/>
          </w:tcPr>
          <w:p w14:paraId="3ECC949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3F013B42">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F9F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5D097FF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w:t>
            </w:r>
          </w:p>
        </w:tc>
        <w:tc>
          <w:tcPr>
            <w:tcW w:w="5822" w:type="dxa"/>
            <w:noWrap w:val="0"/>
            <w:vAlign w:val="center"/>
          </w:tcPr>
          <w:p w14:paraId="62D27CE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4DD8766A">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AF1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1611CE3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施工机械</w:t>
            </w:r>
          </w:p>
        </w:tc>
        <w:tc>
          <w:tcPr>
            <w:tcW w:w="5822" w:type="dxa"/>
            <w:noWrap w:val="0"/>
            <w:vAlign w:val="center"/>
          </w:tcPr>
          <w:p w14:paraId="7C1E222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74589C26">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069B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3"/>
            <w:noWrap w:val="0"/>
            <w:vAlign w:val="center"/>
          </w:tcPr>
          <w:p w14:paraId="066A0D5C">
            <w:pPr>
              <w:pageBreakBefore w:val="0"/>
              <w:kinsoku/>
              <w:wordWrap w:val="0"/>
              <w:bidi w:val="0"/>
              <w:spacing w:line="440" w:lineRule="exact"/>
              <w:ind w:firstLine="3885" w:firstLineChars="18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计日工总计：</w:t>
            </w:r>
            <w:r>
              <w:rPr>
                <w:rFonts w:hint="default" w:ascii="Times New Roman" w:hAnsi="Times New Roman" w:cs="Times New Roman"/>
                <w:color w:val="auto"/>
                <w:szCs w:val="21"/>
                <w:highlight w:val="none"/>
                <w:u w:val="single"/>
              </w:rPr>
              <w:t>_____________</w:t>
            </w:r>
          </w:p>
          <w:p w14:paraId="029C8194">
            <w:pPr>
              <w:pageBreakBefore w:val="0"/>
              <w:kinsoku/>
              <w:wordWrap w:val="0"/>
              <w:bidi w:val="0"/>
              <w:spacing w:line="440" w:lineRule="exact"/>
              <w:ind w:firstLine="3675" w:firstLineChars="17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投标报价汇总表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253BA8A6">
      <w:pPr>
        <w:pageBreakBefore w:val="0"/>
        <w:kinsoku/>
        <w:wordWrap w:val="0"/>
        <w:bidi w:val="0"/>
        <w:spacing w:before="120" w:beforeLines="50" w:after="120" w:afterLines="50" w:line="400" w:lineRule="atLeast"/>
        <w:ind w:firstLine="540" w:firstLineChars="225"/>
        <w:outlineLvl w:val="2"/>
        <w:rPr>
          <w:rFonts w:hint="default" w:ascii="Times New Roman" w:hAnsi="Times New Roman" w:cs="Times New Roman"/>
          <w:color w:val="auto"/>
          <w:sz w:val="24"/>
          <w:highlight w:val="none"/>
        </w:rPr>
      </w:pPr>
      <w:bookmarkStart w:id="1858" w:name="_Toc25954"/>
      <w:r>
        <w:rPr>
          <w:rFonts w:hint="default" w:ascii="Times New Roman" w:hAnsi="Times New Roman" w:cs="Times New Roman"/>
          <w:color w:val="auto"/>
          <w:sz w:val="24"/>
          <w:highlight w:val="none"/>
        </w:rPr>
        <w:t>5.3 暂估价表</w:t>
      </w:r>
      <w:bookmarkEnd w:id="1858"/>
    </w:p>
    <w:p w14:paraId="5B12CD7C">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5.3.1  材料暂估价表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23EE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5FE4E8B">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270" w:type="dxa"/>
            <w:noWrap w:val="0"/>
            <w:vAlign w:val="center"/>
          </w:tcPr>
          <w:p w14:paraId="05D6009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271" w:type="dxa"/>
            <w:noWrap w:val="0"/>
            <w:vAlign w:val="center"/>
          </w:tcPr>
          <w:p w14:paraId="7401833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270" w:type="dxa"/>
            <w:noWrap w:val="0"/>
            <w:vAlign w:val="center"/>
          </w:tcPr>
          <w:p w14:paraId="3DF8164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71" w:type="dxa"/>
            <w:noWrap w:val="0"/>
            <w:vAlign w:val="center"/>
          </w:tcPr>
          <w:p w14:paraId="3819B74E">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单价</w:t>
            </w:r>
          </w:p>
        </w:tc>
        <w:tc>
          <w:tcPr>
            <w:tcW w:w="1270" w:type="dxa"/>
            <w:noWrap w:val="0"/>
            <w:vAlign w:val="center"/>
          </w:tcPr>
          <w:p w14:paraId="27B461D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c>
          <w:tcPr>
            <w:tcW w:w="1270" w:type="dxa"/>
            <w:noWrap w:val="0"/>
            <w:vAlign w:val="center"/>
          </w:tcPr>
          <w:p w14:paraId="29CBC1B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1F53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6B0C0F8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2EC92F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523998B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B48602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1E78462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6216F7A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38C031FE">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23F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3A23408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8CA60F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3E4C929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AF3310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3860EFF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026A2C6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3155D919">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3490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D51F7A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638CE4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70C9A0C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07E7B0A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262F17A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632A82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68CDC44E">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DF7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2308884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31FF8E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6559184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79907DE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2750782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67517D2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0E5477F">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0B7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1DFF84B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13061E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0F64F33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3B170B8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6CE9E3F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61EA1A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E645235">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097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2E4E7E4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742ABD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7EC0F2A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83F7BD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280F103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78007CB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07B97CD">
            <w:pPr>
              <w:pageBreakBefore w:val="0"/>
              <w:kinsoku/>
              <w:wordWrap w:val="0"/>
              <w:bidi w:val="0"/>
              <w:spacing w:line="440" w:lineRule="exact"/>
              <w:jc w:val="center"/>
              <w:rPr>
                <w:rFonts w:hint="default" w:ascii="Times New Roman" w:hAnsi="Times New Roman" w:cs="Times New Roman"/>
                <w:color w:val="auto"/>
                <w:szCs w:val="21"/>
                <w:highlight w:val="none"/>
              </w:rPr>
            </w:pPr>
          </w:p>
        </w:tc>
      </w:tr>
    </w:tbl>
    <w:p w14:paraId="093C88E1">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5.3.2 工程设备暂估价表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1C4B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14EAB0A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270" w:type="dxa"/>
            <w:noWrap w:val="0"/>
            <w:vAlign w:val="center"/>
          </w:tcPr>
          <w:p w14:paraId="50DC38A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271" w:type="dxa"/>
            <w:noWrap w:val="0"/>
            <w:vAlign w:val="center"/>
          </w:tcPr>
          <w:p w14:paraId="1C65E32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270" w:type="dxa"/>
            <w:noWrap w:val="0"/>
            <w:vAlign w:val="center"/>
          </w:tcPr>
          <w:p w14:paraId="14867C9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71" w:type="dxa"/>
            <w:noWrap w:val="0"/>
            <w:vAlign w:val="center"/>
          </w:tcPr>
          <w:p w14:paraId="6F156D3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单价</w:t>
            </w:r>
          </w:p>
        </w:tc>
        <w:tc>
          <w:tcPr>
            <w:tcW w:w="1270" w:type="dxa"/>
            <w:noWrap w:val="0"/>
            <w:vAlign w:val="center"/>
          </w:tcPr>
          <w:p w14:paraId="4D3BA55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c>
          <w:tcPr>
            <w:tcW w:w="1270" w:type="dxa"/>
            <w:noWrap w:val="0"/>
            <w:vAlign w:val="center"/>
          </w:tcPr>
          <w:p w14:paraId="132A6B5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56E0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2F53AE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6B3C6AF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725FA3C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4301E6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556E75A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8B2DC7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754A8B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BB2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65B7FC9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C40AE9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13B3611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2F548D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2DB8001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144A65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C0731D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9FE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629EF8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AD80CF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17108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32017D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0840149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049CDC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F2A951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982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62D8507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8F8D37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898CB2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284987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0D4D440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F5F0E6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887388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F63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6943CE9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B642C7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6E8D0C1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E0C069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11C5BC3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69D46D9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6C7225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DD2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1D232F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D3DFAE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2EC3C0A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197EEC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21E80E4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5FB4C7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D6DC4A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717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249864D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63B5B83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03913D7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D825D8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5A32154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5B4AEE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1D651F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DBC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3FBC608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9712CF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74F1E17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3E86891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1AB49AA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AA1294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335CD85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bl>
    <w:p w14:paraId="51601213">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5.3.3  专业工程暂估价表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91"/>
        <w:gridCol w:w="5256"/>
        <w:gridCol w:w="1079"/>
      </w:tblGrid>
      <w:tr w14:paraId="15C0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93386D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691" w:type="dxa"/>
            <w:noWrap w:val="0"/>
            <w:vAlign w:val="center"/>
          </w:tcPr>
          <w:p w14:paraId="4312B0C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专业工程名称</w:t>
            </w:r>
          </w:p>
        </w:tc>
        <w:tc>
          <w:tcPr>
            <w:tcW w:w="5256" w:type="dxa"/>
            <w:noWrap w:val="0"/>
            <w:vAlign w:val="center"/>
          </w:tcPr>
          <w:p w14:paraId="71F0BBC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工程内容</w:t>
            </w:r>
          </w:p>
        </w:tc>
        <w:tc>
          <w:tcPr>
            <w:tcW w:w="1079" w:type="dxa"/>
            <w:noWrap w:val="0"/>
            <w:vAlign w:val="center"/>
          </w:tcPr>
          <w:p w14:paraId="60B3D50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w:t>
            </w:r>
          </w:p>
        </w:tc>
      </w:tr>
      <w:tr w14:paraId="1A43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911A3D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2FF19A8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0ACECEB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14CA95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51F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702711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26228AA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26FB577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963A4D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95D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78206E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2EA90BF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0CA570C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5C7BEC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04B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14A00F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6D9E2E5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C7C09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0965BF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C75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BD901E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1B0B8BF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564B2F8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4C8178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D0C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1193BD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47052DF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BB135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62F3531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247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5E9AE0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4312019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B12B0B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83812A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651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1C223B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3F4E380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4FAB303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D6B6DE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4C9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D1EE47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5E881C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2C6D614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E88364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2BD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DD0196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789CFD9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7DD291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C2B1B5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7CF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862909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2B67DE7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3A4267E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63CE8A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ABC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436CC6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35BD7EB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4C62F1F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17B322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A84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4B3460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61AC2B8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82EE2E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7E8232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AE2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4"/>
            <w:noWrap w:val="0"/>
            <w:vAlign w:val="center"/>
          </w:tcPr>
          <w:p w14:paraId="593AE71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小计：</w:t>
            </w:r>
          </w:p>
        </w:tc>
      </w:tr>
    </w:tbl>
    <w:p w14:paraId="41A8FE8A">
      <w:pPr>
        <w:pageBreakBefore w:val="0"/>
        <w:kinsoku/>
        <w:wordWrap w:val="0"/>
        <w:bidi w:val="0"/>
        <w:spacing w:before="120" w:beforeLines="50" w:after="120" w:afterLines="50" w:line="400" w:lineRule="atLeast"/>
        <w:ind w:firstLine="540" w:firstLineChars="225"/>
        <w:outlineLvl w:val="2"/>
        <w:rPr>
          <w:rFonts w:hint="default" w:ascii="Times New Roman" w:hAnsi="Times New Roman" w:cs="Times New Roman"/>
          <w:color w:val="auto"/>
          <w:sz w:val="24"/>
          <w:highlight w:val="none"/>
        </w:rPr>
      </w:pPr>
      <w:bookmarkStart w:id="1859" w:name="_Toc23044"/>
      <w:r>
        <w:rPr>
          <w:rFonts w:hint="default" w:ascii="Times New Roman" w:hAnsi="Times New Roman" w:cs="Times New Roman"/>
          <w:color w:val="auto"/>
          <w:sz w:val="24"/>
          <w:highlight w:val="none"/>
        </w:rPr>
        <w:t>5.4 投标报价汇总表</w:t>
      </w:r>
      <w:bookmarkEnd w:id="1859"/>
    </w:p>
    <w:p w14:paraId="4467AA48">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标段</w:t>
      </w:r>
    </w:p>
    <w:p w14:paraId="2699E92E">
      <w:pPr>
        <w:pageBreakBefore w:val="0"/>
        <w:kinsoku/>
        <w:wordWrap w:val="0"/>
        <w:bidi w:val="0"/>
        <w:spacing w:line="440" w:lineRule="exact"/>
        <w:rPr>
          <w:rFonts w:hint="default" w:ascii="Times New Roman" w:hAnsi="Times New Roman" w:cs="Times New Roman"/>
          <w:color w:val="auto"/>
          <w:sz w:val="24"/>
          <w:highlight w:val="none"/>
        </w:rPr>
      </w:pPr>
    </w:p>
    <w:tbl>
      <w:tblPr>
        <w:tblStyle w:val="39"/>
        <w:tblW w:w="0" w:type="auto"/>
        <w:tblInd w:w="0" w:type="dxa"/>
        <w:tblLayout w:type="fixed"/>
        <w:tblCellMar>
          <w:top w:w="0" w:type="dxa"/>
          <w:left w:w="108" w:type="dxa"/>
          <w:bottom w:w="0" w:type="dxa"/>
          <w:right w:w="108" w:type="dxa"/>
        </w:tblCellMar>
      </w:tblPr>
      <w:tblGrid>
        <w:gridCol w:w="828"/>
        <w:gridCol w:w="1065"/>
        <w:gridCol w:w="4725"/>
        <w:gridCol w:w="1902"/>
      </w:tblGrid>
      <w:tr w14:paraId="664FEEA9">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2E206B3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38C6B70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章次</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9307F9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科目名称</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B7478D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r>
      <w:tr w14:paraId="7D76978C">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FFE810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5FC87E9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5F6B884">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总则</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5FDD6092">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5F6B961E">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9E88E8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57DD5EA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8F6A219">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6DDAB87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42885708">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3FCBD1D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02BE757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0A89BBC">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路面</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3014FB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2A81E9A0">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B453F0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7C3F9DF0">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FE4F648">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桥梁、涵洞</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D25F13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6BCCBC5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C95FF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C92A60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3FB6EA3A">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隧道</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ACCCAA9">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1F51C347">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6CE7F4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09C00E5E">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F43E5ED">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安全设施及预埋管线</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98319A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6FC5C3FC">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AC05BC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F953A8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F3A371F">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绿化及环境保护设施</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175EA089">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20D24C6B">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5BCAFEE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0A49F10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第100章~700章清单合计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13614F2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0A754A05">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1DA2C92">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68D1186E">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已包含在清单合计中的材料、工程设备、专业工程暂估价合计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3D184B9">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1772F0CA">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5FB8060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FE81A2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清单合计减去材料、工程设备、专业工程暂估价</w:t>
            </w:r>
          </w:p>
          <w:p w14:paraId="193212B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合计（即8-9=10）</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B3B2EF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05C19EAA">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07026C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1205DD4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计日工合计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40E71D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7FF7D7CE">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3454631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F796987">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暂列金额（不含计日工总额）</w:t>
            </w:r>
            <w:r>
              <w:rPr>
                <w:rStyle w:val="47"/>
                <w:rFonts w:hint="default" w:ascii="Times New Roman" w:hAnsi="Times New Roman" w:cs="Times New Roman"/>
                <w:color w:val="auto"/>
                <w:szCs w:val="21"/>
                <w:highlight w:val="none"/>
              </w:rPr>
              <w:footnoteReference w:id="53"/>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37EA6F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00F1449C">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8ACD72E">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4BDDCC6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投标报价（即8+11+12=13）</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69082CD2">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bl>
    <w:p w14:paraId="69599252">
      <w:pPr>
        <w:pageBreakBefore w:val="0"/>
        <w:kinsoku/>
        <w:wordWrap w:val="0"/>
        <w:bidi w:val="0"/>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注：材料、工程设备、专业工程暂估价已包括在清单合计中，不应重复计入投标报价。</w:t>
      </w:r>
    </w:p>
    <w:p w14:paraId="7A8A0BC5">
      <w:pPr>
        <w:pageBreakBefore w:val="0"/>
        <w:kinsoku/>
        <w:wordWrap w:val="0"/>
        <w:bidi w:val="0"/>
        <w:rPr>
          <w:rFonts w:hint="default" w:ascii="Times New Roman" w:hAnsi="Times New Roman" w:cs="Times New Roman"/>
          <w:color w:val="auto"/>
          <w:sz w:val="24"/>
          <w:highlight w:val="none"/>
        </w:rPr>
      </w:pPr>
    </w:p>
    <w:p w14:paraId="3189C413">
      <w:pPr>
        <w:pageBreakBefore w:val="0"/>
        <w:kinsoku/>
        <w:wordWrap w:val="0"/>
        <w:bidi w:val="0"/>
        <w:spacing w:line="440" w:lineRule="exact"/>
        <w:jc w:val="center"/>
        <w:rPr>
          <w:rFonts w:hint="default" w:ascii="Times New Roman" w:hAnsi="Times New Roman" w:eastAsia="黑体" w:cs="Times New Roman"/>
          <w:color w:val="auto"/>
          <w:sz w:val="24"/>
          <w:highlight w:val="none"/>
        </w:rPr>
        <w:sectPr>
          <w:headerReference r:id="rId39" w:type="default"/>
          <w:footerReference r:id="rId41" w:type="default"/>
          <w:headerReference r:id="rId40" w:type="even"/>
          <w:footerReference r:id="rId42"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1852C702">
      <w:pPr>
        <w:pageBreakBefore w:val="0"/>
        <w:kinsoku/>
        <w:wordWrap w:val="0"/>
        <w:bidi w:val="0"/>
        <w:spacing w:line="440" w:lineRule="exact"/>
        <w:outlineLvl w:val="2"/>
        <w:rPr>
          <w:rFonts w:hint="default" w:ascii="Times New Roman" w:hAnsi="Times New Roman" w:cs="Times New Roman"/>
          <w:color w:val="auto"/>
          <w:sz w:val="24"/>
          <w:highlight w:val="none"/>
        </w:rPr>
      </w:pPr>
      <w:bookmarkStart w:id="1860" w:name="_Toc26721"/>
      <w:bookmarkStart w:id="1861" w:name="OLE_LINK1"/>
      <w:bookmarkStart w:id="1862" w:name="OLE_LINK2"/>
      <w:r>
        <w:rPr>
          <w:rFonts w:hint="default" w:ascii="Times New Roman" w:hAnsi="Times New Roman" w:cs="Times New Roman"/>
          <w:color w:val="auto"/>
          <w:sz w:val="24"/>
          <w:highlight w:val="none"/>
        </w:rPr>
        <w:t>5.5 工程量清单单价分析表</w:t>
      </w:r>
      <w:bookmarkEnd w:id="1860"/>
    </w:p>
    <w:bookmarkEnd w:id="1861"/>
    <w:bookmarkEnd w:id="1862"/>
    <w:p w14:paraId="0C466758">
      <w:pPr>
        <w:pageBreakBefore w:val="0"/>
        <w:kinsoku/>
        <w:wordWrap w:val="0"/>
        <w:bidi w:val="0"/>
        <w:spacing w:line="440" w:lineRule="exact"/>
        <w:rPr>
          <w:rFonts w:hint="default" w:ascii="Times New Roman" w:hAnsi="Times New Roman" w:eastAsia="黑体"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879"/>
        <w:gridCol w:w="1053"/>
        <w:gridCol w:w="582"/>
        <w:gridCol w:w="582"/>
        <w:gridCol w:w="587"/>
        <w:gridCol w:w="662"/>
        <w:gridCol w:w="662"/>
        <w:gridCol w:w="662"/>
        <w:gridCol w:w="667"/>
        <w:gridCol w:w="626"/>
        <w:gridCol w:w="731"/>
        <w:gridCol w:w="883"/>
        <w:gridCol w:w="883"/>
        <w:gridCol w:w="883"/>
        <w:gridCol w:w="883"/>
        <w:gridCol w:w="883"/>
        <w:gridCol w:w="880"/>
      </w:tblGrid>
      <w:tr w14:paraId="5733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802" w:type="dxa"/>
            <w:vMerge w:val="restart"/>
            <w:noWrap w:val="0"/>
            <w:vAlign w:val="center"/>
          </w:tcPr>
          <w:p w14:paraId="2D458DFC">
            <w:pPr>
              <w:pageBreakBefore w:val="0"/>
              <w:kinsoku/>
              <w:wordWrap w:val="0"/>
              <w:bidi w:val="0"/>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879" w:type="dxa"/>
            <w:vMerge w:val="restart"/>
            <w:noWrap w:val="0"/>
            <w:vAlign w:val="center"/>
          </w:tcPr>
          <w:p w14:paraId="405AF446">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编码</w:t>
            </w:r>
          </w:p>
        </w:tc>
        <w:tc>
          <w:tcPr>
            <w:tcW w:w="1053" w:type="dxa"/>
            <w:vMerge w:val="restart"/>
            <w:noWrap w:val="0"/>
            <w:vAlign w:val="center"/>
          </w:tcPr>
          <w:p w14:paraId="1B53D719">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子目名称</w:t>
            </w:r>
          </w:p>
        </w:tc>
        <w:tc>
          <w:tcPr>
            <w:tcW w:w="1751" w:type="dxa"/>
            <w:gridSpan w:val="3"/>
            <w:noWrap w:val="0"/>
            <w:vAlign w:val="center"/>
          </w:tcPr>
          <w:p w14:paraId="6F2163AA">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人工费</w:t>
            </w:r>
          </w:p>
        </w:tc>
        <w:tc>
          <w:tcPr>
            <w:tcW w:w="4010" w:type="dxa"/>
            <w:gridSpan w:val="6"/>
            <w:noWrap w:val="0"/>
            <w:vAlign w:val="center"/>
          </w:tcPr>
          <w:p w14:paraId="2282B76E">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材料费</w:t>
            </w:r>
          </w:p>
        </w:tc>
        <w:tc>
          <w:tcPr>
            <w:tcW w:w="883" w:type="dxa"/>
            <w:vMerge w:val="restart"/>
            <w:noWrap w:val="0"/>
            <w:vAlign w:val="center"/>
          </w:tcPr>
          <w:p w14:paraId="50C13F76">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机械使用费</w:t>
            </w:r>
          </w:p>
        </w:tc>
        <w:tc>
          <w:tcPr>
            <w:tcW w:w="883" w:type="dxa"/>
            <w:vMerge w:val="restart"/>
            <w:noWrap w:val="0"/>
            <w:vAlign w:val="center"/>
          </w:tcPr>
          <w:p w14:paraId="35BDAC3B">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883" w:type="dxa"/>
            <w:vMerge w:val="restart"/>
            <w:noWrap w:val="0"/>
            <w:vAlign w:val="center"/>
          </w:tcPr>
          <w:p w14:paraId="2AF2A30D">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管理费</w:t>
            </w:r>
          </w:p>
        </w:tc>
        <w:tc>
          <w:tcPr>
            <w:tcW w:w="883" w:type="dxa"/>
            <w:vMerge w:val="restart"/>
            <w:noWrap w:val="0"/>
            <w:vAlign w:val="center"/>
          </w:tcPr>
          <w:p w14:paraId="3F93698A">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税费</w:t>
            </w:r>
          </w:p>
        </w:tc>
        <w:tc>
          <w:tcPr>
            <w:tcW w:w="883" w:type="dxa"/>
            <w:vMerge w:val="restart"/>
            <w:noWrap w:val="0"/>
            <w:vAlign w:val="center"/>
          </w:tcPr>
          <w:p w14:paraId="150DBF5A">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利润</w:t>
            </w:r>
          </w:p>
        </w:tc>
        <w:tc>
          <w:tcPr>
            <w:tcW w:w="880" w:type="dxa"/>
            <w:vMerge w:val="restart"/>
            <w:noWrap w:val="0"/>
            <w:vAlign w:val="center"/>
          </w:tcPr>
          <w:p w14:paraId="32C75100">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综合</w:t>
            </w:r>
          </w:p>
          <w:p w14:paraId="4A420430">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r>
      <w:tr w14:paraId="5886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802" w:type="dxa"/>
            <w:vMerge w:val="continue"/>
            <w:noWrap w:val="0"/>
            <w:vAlign w:val="center"/>
          </w:tcPr>
          <w:p w14:paraId="28C33D3D">
            <w:pPr>
              <w:pageBreakBefore w:val="0"/>
              <w:kinsoku/>
              <w:wordWrap w:val="0"/>
              <w:bidi w:val="0"/>
              <w:spacing w:line="440" w:lineRule="exact"/>
              <w:rPr>
                <w:rFonts w:hint="default" w:ascii="Times New Roman" w:hAnsi="Times New Roman" w:cs="Times New Roman"/>
                <w:color w:val="auto"/>
                <w:highlight w:val="none"/>
              </w:rPr>
            </w:pPr>
          </w:p>
        </w:tc>
        <w:tc>
          <w:tcPr>
            <w:tcW w:w="879" w:type="dxa"/>
            <w:vMerge w:val="continue"/>
            <w:noWrap w:val="0"/>
            <w:vAlign w:val="center"/>
          </w:tcPr>
          <w:p w14:paraId="62FDD9EB">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vMerge w:val="continue"/>
            <w:noWrap w:val="0"/>
            <w:vAlign w:val="center"/>
          </w:tcPr>
          <w:p w14:paraId="71B4A1F7">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restart"/>
            <w:noWrap w:val="0"/>
            <w:vAlign w:val="center"/>
          </w:tcPr>
          <w:p w14:paraId="38017139">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工日</w:t>
            </w:r>
          </w:p>
        </w:tc>
        <w:tc>
          <w:tcPr>
            <w:tcW w:w="582" w:type="dxa"/>
            <w:vMerge w:val="restart"/>
            <w:noWrap w:val="0"/>
            <w:vAlign w:val="center"/>
          </w:tcPr>
          <w:p w14:paraId="16BEF25F">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c>
          <w:tcPr>
            <w:tcW w:w="587" w:type="dxa"/>
            <w:vMerge w:val="restart"/>
            <w:noWrap w:val="0"/>
            <w:vAlign w:val="center"/>
          </w:tcPr>
          <w:p w14:paraId="24106353">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金额</w:t>
            </w:r>
          </w:p>
        </w:tc>
        <w:tc>
          <w:tcPr>
            <w:tcW w:w="2653" w:type="dxa"/>
            <w:gridSpan w:val="4"/>
            <w:noWrap w:val="0"/>
            <w:vAlign w:val="center"/>
          </w:tcPr>
          <w:p w14:paraId="2D23FB97">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w:t>
            </w:r>
          </w:p>
        </w:tc>
        <w:tc>
          <w:tcPr>
            <w:tcW w:w="626" w:type="dxa"/>
            <w:vMerge w:val="restart"/>
            <w:noWrap w:val="0"/>
            <w:vAlign w:val="center"/>
          </w:tcPr>
          <w:p w14:paraId="6578D624">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辅材费</w:t>
            </w:r>
          </w:p>
        </w:tc>
        <w:tc>
          <w:tcPr>
            <w:tcW w:w="731" w:type="dxa"/>
            <w:vMerge w:val="restart"/>
            <w:noWrap w:val="0"/>
            <w:vAlign w:val="center"/>
          </w:tcPr>
          <w:p w14:paraId="038AB6E0">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金额</w:t>
            </w:r>
          </w:p>
        </w:tc>
        <w:tc>
          <w:tcPr>
            <w:tcW w:w="883" w:type="dxa"/>
            <w:vMerge w:val="continue"/>
            <w:noWrap w:val="0"/>
            <w:vAlign w:val="center"/>
          </w:tcPr>
          <w:p w14:paraId="6CA035E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48208FA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7739FA7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48B5EB7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353B41C4">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vMerge w:val="continue"/>
            <w:noWrap w:val="0"/>
            <w:vAlign w:val="center"/>
          </w:tcPr>
          <w:p w14:paraId="602F31E8">
            <w:pPr>
              <w:pageBreakBefore w:val="0"/>
              <w:kinsoku/>
              <w:wordWrap w:val="0"/>
              <w:bidi w:val="0"/>
              <w:spacing w:line="440" w:lineRule="exact"/>
              <w:jc w:val="center"/>
              <w:rPr>
                <w:rFonts w:hint="default" w:ascii="Times New Roman" w:hAnsi="Times New Roman" w:cs="Times New Roman"/>
                <w:color w:val="auto"/>
                <w:highlight w:val="none"/>
              </w:rPr>
            </w:pPr>
          </w:p>
        </w:tc>
      </w:tr>
      <w:tr w14:paraId="4045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802" w:type="dxa"/>
            <w:vMerge w:val="continue"/>
            <w:noWrap w:val="0"/>
            <w:vAlign w:val="center"/>
          </w:tcPr>
          <w:p w14:paraId="544867EA">
            <w:pPr>
              <w:pageBreakBefore w:val="0"/>
              <w:kinsoku/>
              <w:wordWrap w:val="0"/>
              <w:bidi w:val="0"/>
              <w:spacing w:line="440" w:lineRule="exact"/>
              <w:rPr>
                <w:rFonts w:hint="default" w:ascii="Times New Roman" w:hAnsi="Times New Roman" w:cs="Times New Roman"/>
                <w:color w:val="auto"/>
                <w:highlight w:val="none"/>
              </w:rPr>
            </w:pPr>
          </w:p>
        </w:tc>
        <w:tc>
          <w:tcPr>
            <w:tcW w:w="879" w:type="dxa"/>
            <w:vMerge w:val="continue"/>
            <w:noWrap w:val="0"/>
            <w:vAlign w:val="center"/>
          </w:tcPr>
          <w:p w14:paraId="76E28F30">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vMerge w:val="continue"/>
            <w:noWrap w:val="0"/>
            <w:vAlign w:val="center"/>
          </w:tcPr>
          <w:p w14:paraId="4529A4E9">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continue"/>
            <w:noWrap w:val="0"/>
            <w:vAlign w:val="center"/>
          </w:tcPr>
          <w:p w14:paraId="6F9EE8AB">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continue"/>
            <w:noWrap w:val="0"/>
            <w:vAlign w:val="center"/>
          </w:tcPr>
          <w:p w14:paraId="7A21E806">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vMerge w:val="continue"/>
            <w:noWrap w:val="0"/>
            <w:vAlign w:val="center"/>
          </w:tcPr>
          <w:p w14:paraId="164A13A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6ED515F">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主材耗量</w:t>
            </w:r>
          </w:p>
        </w:tc>
        <w:tc>
          <w:tcPr>
            <w:tcW w:w="662" w:type="dxa"/>
            <w:noWrap w:val="0"/>
            <w:vAlign w:val="center"/>
          </w:tcPr>
          <w:p w14:paraId="3F2C5F33">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662" w:type="dxa"/>
            <w:noWrap w:val="0"/>
            <w:vAlign w:val="center"/>
          </w:tcPr>
          <w:p w14:paraId="4AE2B5BD">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c>
          <w:tcPr>
            <w:tcW w:w="667" w:type="dxa"/>
            <w:noWrap w:val="0"/>
            <w:vAlign w:val="center"/>
          </w:tcPr>
          <w:p w14:paraId="09392F13">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主材费</w:t>
            </w:r>
          </w:p>
        </w:tc>
        <w:tc>
          <w:tcPr>
            <w:tcW w:w="626" w:type="dxa"/>
            <w:vMerge w:val="continue"/>
            <w:noWrap w:val="0"/>
            <w:vAlign w:val="center"/>
          </w:tcPr>
          <w:p w14:paraId="1F0BE5EC">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vMerge w:val="continue"/>
            <w:noWrap w:val="0"/>
            <w:vAlign w:val="center"/>
          </w:tcPr>
          <w:p w14:paraId="214EFDD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36B7816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303D152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21D12BB4">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22F71D7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65C2A904">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vMerge w:val="continue"/>
            <w:noWrap w:val="0"/>
            <w:vAlign w:val="center"/>
          </w:tcPr>
          <w:p w14:paraId="724ECA31">
            <w:pPr>
              <w:pageBreakBefore w:val="0"/>
              <w:kinsoku/>
              <w:wordWrap w:val="0"/>
              <w:bidi w:val="0"/>
              <w:spacing w:line="440" w:lineRule="exact"/>
              <w:jc w:val="center"/>
              <w:rPr>
                <w:rFonts w:hint="default" w:ascii="Times New Roman" w:hAnsi="Times New Roman" w:cs="Times New Roman"/>
                <w:color w:val="auto"/>
                <w:highlight w:val="none"/>
              </w:rPr>
            </w:pPr>
          </w:p>
        </w:tc>
      </w:tr>
      <w:tr w14:paraId="49D9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1A77C43E">
            <w:pPr>
              <w:pageBreakBefore w:val="0"/>
              <w:kinsoku/>
              <w:wordWrap w:val="0"/>
              <w:bidi w:val="0"/>
              <w:spacing w:line="440" w:lineRule="exact"/>
              <w:rPr>
                <w:rFonts w:hint="default" w:ascii="Times New Roman" w:hAnsi="Times New Roman" w:cs="Times New Roman"/>
                <w:color w:val="auto"/>
                <w:highlight w:val="none"/>
              </w:rPr>
            </w:pPr>
          </w:p>
        </w:tc>
        <w:tc>
          <w:tcPr>
            <w:tcW w:w="879" w:type="dxa"/>
            <w:noWrap w:val="0"/>
            <w:vAlign w:val="center"/>
          </w:tcPr>
          <w:p w14:paraId="53421C81">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76E6C65E">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0A634C3">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0809C40">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5DD16C06">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164463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4A6A1A0">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EED1770">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33B2B59B">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63DC6B3D">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53E1F1E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2A93E8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F63326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148AB0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3A83B9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95C966D">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5D85A859">
            <w:pPr>
              <w:pageBreakBefore w:val="0"/>
              <w:kinsoku/>
              <w:wordWrap w:val="0"/>
              <w:bidi w:val="0"/>
              <w:spacing w:line="440" w:lineRule="exact"/>
              <w:jc w:val="center"/>
              <w:rPr>
                <w:rFonts w:hint="default" w:ascii="Times New Roman" w:hAnsi="Times New Roman" w:cs="Times New Roman"/>
                <w:color w:val="auto"/>
                <w:highlight w:val="none"/>
              </w:rPr>
            </w:pPr>
          </w:p>
        </w:tc>
      </w:tr>
      <w:tr w14:paraId="5F01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01D4182">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C4D334F">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3A83E9F2">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4EF916F">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55D404D1">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13233A4A">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92C92C3">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D4953C5">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75681BA5">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61846AC8">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17226E8E">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3C03556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FD2C7D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79ECF6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2F70A0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867D25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D229331">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37FFC5D6">
            <w:pPr>
              <w:pageBreakBefore w:val="0"/>
              <w:kinsoku/>
              <w:wordWrap w:val="0"/>
              <w:bidi w:val="0"/>
              <w:spacing w:line="440" w:lineRule="exact"/>
              <w:jc w:val="center"/>
              <w:rPr>
                <w:rFonts w:hint="default" w:ascii="Times New Roman" w:hAnsi="Times New Roman" w:cs="Times New Roman"/>
                <w:color w:val="auto"/>
                <w:highlight w:val="none"/>
              </w:rPr>
            </w:pPr>
          </w:p>
        </w:tc>
      </w:tr>
      <w:tr w14:paraId="77F6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E424E77">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2627456F">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5310CC65">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51DC45B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68E6E6AC">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118F898D">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A9544F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207B249">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433ED6F">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14CA2544">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1F87FF2A">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6586590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E9533E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77251B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A307F7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A9B439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DE70AA2">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373D954B">
            <w:pPr>
              <w:pageBreakBefore w:val="0"/>
              <w:kinsoku/>
              <w:wordWrap w:val="0"/>
              <w:bidi w:val="0"/>
              <w:spacing w:line="440" w:lineRule="exact"/>
              <w:jc w:val="center"/>
              <w:rPr>
                <w:rFonts w:hint="default" w:ascii="Times New Roman" w:hAnsi="Times New Roman" w:cs="Times New Roman"/>
                <w:color w:val="auto"/>
                <w:highlight w:val="none"/>
              </w:rPr>
            </w:pPr>
          </w:p>
        </w:tc>
      </w:tr>
      <w:tr w14:paraId="70C0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99FABF4">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78D7F9C">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4F35C420">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722956E">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3158741">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38B1525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DA315A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6E94364">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A4C0F9E">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19FB4166">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00A109A2">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118EE92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2DF6B8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F48A40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276DA1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64EC1B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AAA791E">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07DF4D8F">
            <w:pPr>
              <w:pageBreakBefore w:val="0"/>
              <w:kinsoku/>
              <w:wordWrap w:val="0"/>
              <w:bidi w:val="0"/>
              <w:spacing w:line="440" w:lineRule="exact"/>
              <w:jc w:val="center"/>
              <w:rPr>
                <w:rFonts w:hint="default" w:ascii="Times New Roman" w:hAnsi="Times New Roman" w:cs="Times New Roman"/>
                <w:color w:val="auto"/>
                <w:highlight w:val="none"/>
              </w:rPr>
            </w:pPr>
          </w:p>
        </w:tc>
      </w:tr>
      <w:tr w14:paraId="2C66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6FB1397">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3C5E7268">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59478E38">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4A6B01E8">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6AB9C29">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3E639993">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7E54AA9C">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0DD158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1CE6821">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5A0F0D49">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3EE991D5">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6188999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C9ACD6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273495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3BCD26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5B3971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9616AAD">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22880988">
            <w:pPr>
              <w:pageBreakBefore w:val="0"/>
              <w:kinsoku/>
              <w:wordWrap w:val="0"/>
              <w:bidi w:val="0"/>
              <w:spacing w:line="440" w:lineRule="exact"/>
              <w:jc w:val="center"/>
              <w:rPr>
                <w:rFonts w:hint="default" w:ascii="Times New Roman" w:hAnsi="Times New Roman" w:cs="Times New Roman"/>
                <w:color w:val="auto"/>
                <w:highlight w:val="none"/>
              </w:rPr>
            </w:pPr>
          </w:p>
        </w:tc>
      </w:tr>
      <w:tr w14:paraId="3FDC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DAE828D">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7106DFB0">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0D3B839A">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F92ABB5">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46ED5A70">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486BE88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7A0F5B6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156E63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5AD7115">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0D364AD4">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3A63C8CB">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1D47768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C2567E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2A005E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7F6478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E9AA87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69E9B70">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61ACE007">
            <w:pPr>
              <w:pageBreakBefore w:val="0"/>
              <w:kinsoku/>
              <w:wordWrap w:val="0"/>
              <w:bidi w:val="0"/>
              <w:spacing w:line="440" w:lineRule="exact"/>
              <w:jc w:val="center"/>
              <w:rPr>
                <w:rFonts w:hint="default" w:ascii="Times New Roman" w:hAnsi="Times New Roman" w:cs="Times New Roman"/>
                <w:color w:val="auto"/>
                <w:highlight w:val="none"/>
              </w:rPr>
            </w:pPr>
          </w:p>
        </w:tc>
      </w:tr>
      <w:tr w14:paraId="22CE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D42B6DF">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246C0114">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64F7A3FC">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C659D2D">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4A0AAF8E">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79FBD4EA">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8907DF4">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3643CA6">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1452A69">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71F3256C">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41A24A51">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6CEA584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A8FADE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30BB6C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E0945C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F506EF4">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E8B4525">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2BCE9DB3">
            <w:pPr>
              <w:pageBreakBefore w:val="0"/>
              <w:kinsoku/>
              <w:wordWrap w:val="0"/>
              <w:bidi w:val="0"/>
              <w:spacing w:line="440" w:lineRule="exact"/>
              <w:jc w:val="center"/>
              <w:rPr>
                <w:rFonts w:hint="default" w:ascii="Times New Roman" w:hAnsi="Times New Roman" w:cs="Times New Roman"/>
                <w:color w:val="auto"/>
                <w:highlight w:val="none"/>
              </w:rPr>
            </w:pPr>
          </w:p>
        </w:tc>
      </w:tr>
      <w:tr w14:paraId="0ADE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1624D97E">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1E41AEEA">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23FDDBC9">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09B29AAC">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703948F3">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19BFCC3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317D34F">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7EDF6E5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5D3CB7C">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639D7F62">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669C003E">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5FED90C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54E338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87D18F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81E3ED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F85D92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E01D231">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052EBE9C">
            <w:pPr>
              <w:pageBreakBefore w:val="0"/>
              <w:kinsoku/>
              <w:wordWrap w:val="0"/>
              <w:bidi w:val="0"/>
              <w:spacing w:line="440" w:lineRule="exact"/>
              <w:jc w:val="center"/>
              <w:rPr>
                <w:rFonts w:hint="default" w:ascii="Times New Roman" w:hAnsi="Times New Roman" w:cs="Times New Roman"/>
                <w:color w:val="auto"/>
                <w:highlight w:val="none"/>
              </w:rPr>
            </w:pPr>
          </w:p>
        </w:tc>
      </w:tr>
      <w:tr w14:paraId="175E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4DFF032">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231795CD">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7AA5DEBD">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0DD91D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FB25719">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2A698FFE">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0C163A0">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BCFC4DA">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11CD7F6">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7C7E537D">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646AC72D">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66FA229E">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FAB8A9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199E33E">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C1FC53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577280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C777D28">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59250F5B">
            <w:pPr>
              <w:pageBreakBefore w:val="0"/>
              <w:kinsoku/>
              <w:wordWrap w:val="0"/>
              <w:bidi w:val="0"/>
              <w:spacing w:line="440" w:lineRule="exact"/>
              <w:jc w:val="center"/>
              <w:rPr>
                <w:rFonts w:hint="default" w:ascii="Times New Roman" w:hAnsi="Times New Roman" w:cs="Times New Roman"/>
                <w:color w:val="auto"/>
                <w:highlight w:val="none"/>
              </w:rPr>
            </w:pPr>
          </w:p>
        </w:tc>
      </w:tr>
      <w:tr w14:paraId="522E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F9416D1">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3DE02216">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52015AFD">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01150F1">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6FC84B82">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736DAC21">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5ABCE39">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B44D4D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B66E00B">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1F88044B">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41558DF3">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3C2069D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E0EC7F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97D9AD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E98E231">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28AEDF1">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F2CABEE">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2D49FDBA">
            <w:pPr>
              <w:pageBreakBefore w:val="0"/>
              <w:kinsoku/>
              <w:wordWrap w:val="0"/>
              <w:bidi w:val="0"/>
              <w:spacing w:line="440" w:lineRule="exact"/>
              <w:jc w:val="center"/>
              <w:rPr>
                <w:rFonts w:hint="default" w:ascii="Times New Roman" w:hAnsi="Times New Roman" w:cs="Times New Roman"/>
                <w:color w:val="auto"/>
                <w:highlight w:val="none"/>
              </w:rPr>
            </w:pPr>
          </w:p>
        </w:tc>
      </w:tr>
      <w:tr w14:paraId="2CD9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27D583F">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1362D1A">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237FCFA1">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60C82561">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016F5F61">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5DD67F93">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F1C797E">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12A8856">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7E78222">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42CC472A">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10C2439E">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0C1CA13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5F6FDF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42598A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1F6580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6BF16D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693726B">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47609CEF">
            <w:pPr>
              <w:pageBreakBefore w:val="0"/>
              <w:kinsoku/>
              <w:wordWrap w:val="0"/>
              <w:bidi w:val="0"/>
              <w:spacing w:line="440" w:lineRule="exact"/>
              <w:jc w:val="center"/>
              <w:rPr>
                <w:rFonts w:hint="default" w:ascii="Times New Roman" w:hAnsi="Times New Roman" w:cs="Times New Roman"/>
                <w:color w:val="auto"/>
                <w:highlight w:val="none"/>
              </w:rPr>
            </w:pPr>
          </w:p>
        </w:tc>
      </w:tr>
    </w:tbl>
    <w:p w14:paraId="436D3DA6">
      <w:pPr>
        <w:pageBreakBefore w:val="0"/>
        <w:kinsoku/>
        <w:wordWrap w:val="0"/>
        <w:bidi w:val="0"/>
        <w:spacing w:line="440" w:lineRule="exact"/>
        <w:rPr>
          <w:rFonts w:hint="default" w:ascii="Times New Roman" w:hAnsi="Times New Roman" w:eastAsia="黑体" w:cs="Times New Roman"/>
          <w:color w:val="auto"/>
          <w:sz w:val="29"/>
          <w:szCs w:val="29"/>
          <w:highlight w:val="none"/>
        </w:rPr>
        <w:sectPr>
          <w:footerReference r:id="rId43" w:type="default"/>
          <w:footnotePr>
            <w:numFmt w:val="decimalEnclosedCircleChinese"/>
            <w:numRestart w:val="eachPage"/>
          </w:footnotePr>
          <w:pgSz w:w="16840" w:h="11907" w:orient="landscape"/>
          <w:pgMar w:top="1644" w:right="1588" w:bottom="1588" w:left="1474" w:header="851" w:footer="851" w:gutter="0"/>
          <w:pgNumType w:fmt="decimal"/>
          <w:cols w:space="720" w:num="1"/>
          <w:docGrid w:linePitch="312" w:charSpace="0"/>
        </w:sectPr>
      </w:pPr>
    </w:p>
    <w:p w14:paraId="73F0253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BA45DF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044661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A7343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85556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F2FCD6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10230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46FBEC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9F096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DF923B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02BD80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E256A4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8B0457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4888A01">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863" w:name="_Toc30494"/>
      <w:bookmarkStart w:id="1864" w:name="_Toc7411"/>
      <w:bookmarkStart w:id="1865" w:name="_Toc2859"/>
      <w:bookmarkStart w:id="1866" w:name="_Toc234833247"/>
      <w:r>
        <w:rPr>
          <w:rFonts w:hint="default" w:ascii="Times New Roman" w:hAnsi="Times New Roman" w:eastAsia="黑体" w:cs="Times New Roman"/>
          <w:color w:val="auto"/>
          <w:sz w:val="76"/>
          <w:szCs w:val="76"/>
          <w:highlight w:val="none"/>
        </w:rPr>
        <w:t>第  二  卷</w:t>
      </w:r>
      <w:bookmarkEnd w:id="1863"/>
      <w:bookmarkEnd w:id="1864"/>
      <w:bookmarkEnd w:id="1865"/>
      <w:bookmarkEnd w:id="1866"/>
    </w:p>
    <w:p w14:paraId="556346CB">
      <w:pPr>
        <w:pageBreakBefore w:val="0"/>
        <w:kinsoku/>
        <w:wordWrap w:val="0"/>
        <w:bidi w:val="0"/>
        <w:jc w:val="center"/>
        <w:rPr>
          <w:rFonts w:hint="default" w:ascii="Times New Roman" w:hAnsi="Times New Roman" w:eastAsia="黑体" w:cs="Times New Roman"/>
          <w:color w:val="auto"/>
          <w:sz w:val="76"/>
          <w:szCs w:val="76"/>
          <w:highlight w:val="none"/>
        </w:rPr>
      </w:pPr>
    </w:p>
    <w:p w14:paraId="2AEFA81B">
      <w:pPr>
        <w:pageBreakBefore w:val="0"/>
        <w:kinsoku/>
        <w:wordWrap w:val="0"/>
        <w:bidi w:val="0"/>
        <w:jc w:val="center"/>
        <w:rPr>
          <w:rFonts w:hint="default" w:ascii="Times New Roman" w:hAnsi="Times New Roman" w:eastAsia="黑体" w:cs="Times New Roman"/>
          <w:color w:val="auto"/>
          <w:sz w:val="76"/>
          <w:szCs w:val="76"/>
          <w:highlight w:val="none"/>
        </w:rPr>
        <w:sectPr>
          <w:headerReference r:id="rId44" w:type="default"/>
          <w:footerReference r:id="rId46" w:type="default"/>
          <w:headerReference r:id="rId45" w:type="even"/>
          <w:footerReference r:id="rId4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3DA96CC">
      <w:pPr>
        <w:pageBreakBefore w:val="0"/>
        <w:kinsoku/>
        <w:wordWrap w:val="0"/>
        <w:bidi w:val="0"/>
        <w:jc w:val="center"/>
        <w:rPr>
          <w:rFonts w:hint="default" w:ascii="Times New Roman" w:hAnsi="Times New Roman" w:eastAsia="黑体" w:cs="Times New Roman"/>
          <w:color w:val="auto"/>
          <w:sz w:val="76"/>
          <w:szCs w:val="76"/>
          <w:highlight w:val="none"/>
        </w:rPr>
      </w:pPr>
    </w:p>
    <w:p w14:paraId="122814CF">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FA241E3">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363FBE4D">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184957E">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65414D6C">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3DE6B7C7">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629B61A">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41704FF">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1B7B7A06">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16BB74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67" w:name="_Toc234833248"/>
      <w:bookmarkStart w:id="1868" w:name="_Toc15063"/>
      <w:bookmarkStart w:id="1869" w:name="_Toc16740"/>
      <w:bookmarkStart w:id="1870" w:name="_Toc16666"/>
      <w:r>
        <w:rPr>
          <w:rFonts w:hint="default" w:ascii="Times New Roman" w:hAnsi="Times New Roman" w:eastAsia="黑体" w:cs="Times New Roman"/>
          <w:b w:val="0"/>
          <w:color w:val="auto"/>
          <w:sz w:val="56"/>
          <w:szCs w:val="56"/>
          <w:highlight w:val="none"/>
        </w:rPr>
        <w:t>第六章  图纸（另册）</w:t>
      </w:r>
      <w:bookmarkEnd w:id="1867"/>
      <w:bookmarkEnd w:id="1868"/>
      <w:bookmarkEnd w:id="1869"/>
      <w:bookmarkEnd w:id="1870"/>
    </w:p>
    <w:p w14:paraId="4D1C4E11">
      <w:pPr>
        <w:pStyle w:val="2"/>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80CBD88">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106B60B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A47834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CA8583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C4328E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9FBD8F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C5CFA2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D5E4A0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C6639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F36F95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8C6291D">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871" w:name="_Toc234833249"/>
      <w:bookmarkStart w:id="1872" w:name="_Toc5182"/>
      <w:bookmarkStart w:id="1873" w:name="_Toc26586"/>
      <w:bookmarkStart w:id="1874" w:name="_Toc27800"/>
      <w:r>
        <w:rPr>
          <w:rFonts w:hint="default" w:ascii="Times New Roman" w:hAnsi="Times New Roman" w:eastAsia="黑体" w:cs="Times New Roman"/>
          <w:color w:val="auto"/>
          <w:sz w:val="76"/>
          <w:szCs w:val="76"/>
          <w:highlight w:val="none"/>
        </w:rPr>
        <w:t>第  三  卷</w:t>
      </w:r>
      <w:bookmarkEnd w:id="1871"/>
      <w:r>
        <w:rPr>
          <w:rFonts w:hint="default" w:ascii="Times New Roman" w:hAnsi="Times New Roman" w:eastAsia="黑体" w:cs="Times New Roman"/>
          <w:color w:val="auto"/>
          <w:sz w:val="76"/>
          <w:szCs w:val="76"/>
          <w:highlight w:val="none"/>
        </w:rPr>
        <w:br w:type="page"/>
      </w:r>
      <w:bookmarkEnd w:id="1872"/>
      <w:bookmarkEnd w:id="1873"/>
      <w:bookmarkEnd w:id="1874"/>
    </w:p>
    <w:p w14:paraId="0695BDF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550DDE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0EBF86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CFA239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517FC7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495687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79E9F1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BF13A1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C1890F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3DA3A3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75" w:name="_Toc15579"/>
      <w:bookmarkStart w:id="1876" w:name="_Toc15033"/>
      <w:bookmarkStart w:id="1877" w:name="_Toc234833250"/>
      <w:bookmarkStart w:id="1878" w:name="_Toc18862"/>
      <w:r>
        <w:rPr>
          <w:rFonts w:hint="default" w:ascii="Times New Roman" w:hAnsi="Times New Roman" w:eastAsia="黑体" w:cs="Times New Roman"/>
          <w:b w:val="0"/>
          <w:color w:val="auto"/>
          <w:sz w:val="56"/>
          <w:szCs w:val="56"/>
          <w:highlight w:val="none"/>
        </w:rPr>
        <w:t>第七章  技术规范（另册）</w:t>
      </w:r>
      <w:bookmarkEnd w:id="1875"/>
      <w:bookmarkEnd w:id="1876"/>
      <w:bookmarkEnd w:id="1877"/>
      <w:r>
        <w:rPr>
          <w:rFonts w:hint="default" w:ascii="Times New Roman" w:hAnsi="Times New Roman" w:eastAsia="黑体" w:cs="Times New Roman"/>
          <w:b w:val="0"/>
          <w:bCs w:val="0"/>
          <w:color w:val="auto"/>
          <w:sz w:val="28"/>
          <w:szCs w:val="36"/>
          <w:highlight w:val="none"/>
          <w:vertAlign w:val="superscript"/>
        </w:rPr>
        <w:footnoteReference w:id="54"/>
      </w:r>
      <w:bookmarkEnd w:id="1878"/>
    </w:p>
    <w:p w14:paraId="76A7601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A71B38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BE7CC5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D14957B">
      <w:pPr>
        <w:pageBreakBefore w:val="0"/>
        <w:kinsoku/>
        <w:wordWrap w:val="0"/>
        <w:bidi w:val="0"/>
        <w:jc w:val="center"/>
        <w:rPr>
          <w:rFonts w:hint="default" w:ascii="Times New Roman" w:hAnsi="Times New Roman" w:eastAsia="黑体" w:cs="Times New Roman"/>
          <w:color w:val="auto"/>
          <w:sz w:val="76"/>
          <w:szCs w:val="76"/>
          <w:highlight w:val="none"/>
        </w:rPr>
      </w:pPr>
      <w:r>
        <w:rPr>
          <w:rFonts w:hint="default" w:ascii="Times New Roman" w:hAnsi="Times New Roman" w:eastAsia="黑体" w:cs="Times New Roman"/>
          <w:color w:val="auto"/>
          <w:sz w:val="20"/>
          <w:szCs w:val="20"/>
          <w:highlight w:val="none"/>
        </w:rPr>
        <w:br w:type="page"/>
      </w:r>
    </w:p>
    <w:p w14:paraId="422EA93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0A2342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33FF4A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228E22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4F2D2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5DA726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05072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8611DE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BE2583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4F735AC">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79" w:name="_Toc31352"/>
      <w:bookmarkStart w:id="1880" w:name="_Toc11545"/>
      <w:bookmarkStart w:id="1881" w:name="_Toc32110"/>
      <w:r>
        <w:rPr>
          <w:rFonts w:hint="default" w:ascii="Times New Roman" w:hAnsi="Times New Roman" w:eastAsia="黑体" w:cs="Times New Roman"/>
          <w:b w:val="0"/>
          <w:color w:val="auto"/>
          <w:sz w:val="56"/>
          <w:szCs w:val="56"/>
          <w:highlight w:val="none"/>
        </w:rPr>
        <w:t>第八章  工程量清单计量规则</w:t>
      </w:r>
      <w:bookmarkEnd w:id="1879"/>
      <w:bookmarkEnd w:id="1880"/>
      <w:r>
        <w:rPr>
          <w:rFonts w:hint="default" w:ascii="Times New Roman" w:hAnsi="Times New Roman" w:eastAsia="黑体" w:cs="Times New Roman"/>
          <w:b w:val="0"/>
          <w:bCs w:val="0"/>
          <w:color w:val="auto"/>
          <w:sz w:val="28"/>
          <w:szCs w:val="36"/>
          <w:highlight w:val="none"/>
          <w:vertAlign w:val="superscript"/>
        </w:rPr>
        <w:footnoteReference w:id="55"/>
      </w:r>
      <w:bookmarkEnd w:id="1881"/>
    </w:p>
    <w:p w14:paraId="6A576EA8">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56"/>
          <w:szCs w:val="56"/>
          <w:highlight w:val="none"/>
        </w:rPr>
      </w:pPr>
      <w:bookmarkStart w:id="1882" w:name="_Toc501257474"/>
      <w:bookmarkStart w:id="1883" w:name="_Toc470752702"/>
      <w:r>
        <w:rPr>
          <w:rFonts w:hint="default" w:ascii="Times New Roman" w:hAnsi="Times New Roman" w:eastAsia="黑体" w:cs="Times New Roman"/>
          <w:b w:val="0"/>
          <w:color w:val="auto"/>
          <w:sz w:val="56"/>
          <w:szCs w:val="56"/>
          <w:highlight w:val="none"/>
        </w:rPr>
        <w:t>（另</w:t>
      </w:r>
      <w:r>
        <w:rPr>
          <w:rFonts w:hint="default" w:ascii="Times New Roman" w:hAnsi="Times New Roman" w:eastAsia="黑体" w:cs="Times New Roman"/>
          <w:b w:val="0"/>
          <w:color w:val="auto"/>
          <w:sz w:val="56"/>
          <w:szCs w:val="56"/>
          <w:highlight w:val="none"/>
          <w:lang w:eastAsia="zh-CN"/>
        </w:rPr>
        <w:t xml:space="preserve">   </w:t>
      </w:r>
      <w:r>
        <w:rPr>
          <w:rFonts w:hint="default" w:ascii="Times New Roman" w:hAnsi="Times New Roman" w:eastAsia="黑体" w:cs="Times New Roman"/>
          <w:b w:val="0"/>
          <w:color w:val="auto"/>
          <w:sz w:val="56"/>
          <w:szCs w:val="56"/>
          <w:highlight w:val="none"/>
        </w:rPr>
        <w:t>册）</w:t>
      </w:r>
      <w:bookmarkEnd w:id="1882"/>
      <w:bookmarkEnd w:id="1883"/>
    </w:p>
    <w:p w14:paraId="4A333769">
      <w:pPr>
        <w:spacing w:after="240" w:line="360" w:lineRule="auto"/>
        <w:ind w:left="2100" w:leftChars="1000"/>
        <w:jc w:val="both"/>
        <w:rPr>
          <w:rFonts w:hint="default" w:ascii="Times New Roman" w:hAnsi="Times New Roman" w:eastAsia="黑体" w:cs="Times New Roman"/>
          <w:b w:val="0"/>
          <w:bCs w:val="0"/>
          <w:color w:val="auto"/>
          <w:sz w:val="28"/>
          <w:szCs w:val="36"/>
          <w:highlight w:val="none"/>
        </w:rPr>
      </w:pPr>
    </w:p>
    <w:p w14:paraId="4757F57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F8B045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122E35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942CE7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EDD04F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C204DF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20"/>
          <w:szCs w:val="20"/>
          <w:highlight w:val="none"/>
        </w:rPr>
        <w:br w:type="page"/>
      </w:r>
    </w:p>
    <w:p w14:paraId="2E1EBF2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70301C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6F6855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5E468B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26762B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C8A36B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72FF3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C160D5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2CD9B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20E01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BACD21D">
      <w:pPr>
        <w:pageBreakBefore w:val="0"/>
        <w:kinsoku/>
        <w:wordWrap w:val="0"/>
        <w:bidi w:val="0"/>
        <w:jc w:val="center"/>
        <w:outlineLvl w:val="0"/>
        <w:rPr>
          <w:rFonts w:hint="default" w:ascii="Times New Roman" w:hAnsi="Times New Roman" w:eastAsia="黑体" w:cs="Times New Roman"/>
          <w:color w:val="auto"/>
          <w:sz w:val="29"/>
          <w:szCs w:val="29"/>
          <w:highlight w:val="none"/>
        </w:rPr>
      </w:pPr>
      <w:bookmarkStart w:id="1884" w:name="_Toc234833251"/>
      <w:bookmarkStart w:id="1885" w:name="_Toc2682"/>
      <w:bookmarkStart w:id="1886" w:name="_Toc27378"/>
      <w:bookmarkStart w:id="1887" w:name="_Toc1042"/>
      <w:r>
        <w:rPr>
          <w:rFonts w:hint="default" w:ascii="Times New Roman" w:hAnsi="Times New Roman" w:eastAsia="黑体" w:cs="Times New Roman"/>
          <w:color w:val="auto"/>
          <w:sz w:val="76"/>
          <w:szCs w:val="76"/>
          <w:highlight w:val="none"/>
        </w:rPr>
        <w:t>第  四  卷</w:t>
      </w:r>
      <w:bookmarkEnd w:id="1884"/>
      <w:r>
        <w:rPr>
          <w:rFonts w:hint="default" w:ascii="Times New Roman" w:hAnsi="Times New Roman" w:eastAsia="黑体" w:cs="Times New Roman"/>
          <w:color w:val="auto"/>
          <w:sz w:val="76"/>
          <w:szCs w:val="76"/>
          <w:highlight w:val="none"/>
        </w:rPr>
        <w:br w:type="page"/>
      </w:r>
      <w:bookmarkEnd w:id="1885"/>
      <w:bookmarkEnd w:id="1886"/>
      <w:bookmarkEnd w:id="1887"/>
    </w:p>
    <w:p w14:paraId="35F22E7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F91E4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A01D33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519D1C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8C3E3E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E567F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FA5D38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9FD4D8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E53AC4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971F2E">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88" w:name="_Toc29271"/>
      <w:bookmarkStart w:id="1889" w:name="_Toc16811"/>
      <w:bookmarkStart w:id="1890" w:name="_Toc234833252"/>
      <w:bookmarkStart w:id="1891" w:name="_Toc12459"/>
      <w:r>
        <w:rPr>
          <w:rFonts w:hint="default" w:ascii="Times New Roman" w:hAnsi="Times New Roman" w:eastAsia="黑体" w:cs="Times New Roman"/>
          <w:b w:val="0"/>
          <w:color w:val="auto"/>
          <w:sz w:val="56"/>
          <w:szCs w:val="56"/>
          <w:highlight w:val="none"/>
        </w:rPr>
        <w:t>第九章  投标文件格式</w:t>
      </w:r>
      <w:r>
        <w:rPr>
          <w:rStyle w:val="47"/>
          <w:rFonts w:hint="default" w:ascii="Times New Roman" w:hAnsi="Times New Roman" w:eastAsia="黑体" w:cs="Times New Roman"/>
          <w:color w:val="auto"/>
          <w:sz w:val="56"/>
          <w:szCs w:val="56"/>
          <w:highlight w:val="none"/>
        </w:rPr>
        <w:footnoteReference w:id="56"/>
      </w:r>
      <w:bookmarkEnd w:id="1888"/>
      <w:bookmarkEnd w:id="1889"/>
      <w:bookmarkEnd w:id="1890"/>
      <w:bookmarkEnd w:id="1891"/>
    </w:p>
    <w:p w14:paraId="5AB668CE">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09495DCF">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6FA8FCE0">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559112E5">
      <w:pPr>
        <w:pStyle w:val="15"/>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bookmarkStart w:id="1892" w:name="_Toc24566"/>
      <w:r>
        <w:rPr>
          <w:rFonts w:hint="eastAsia" w:ascii="Times New Roman" w:eastAsia="黑体" w:cs="Times New Roman"/>
          <w:color w:val="auto"/>
          <w:sz w:val="31"/>
          <w:szCs w:val="31"/>
          <w:highlight w:val="none"/>
          <w:u w:val="single"/>
          <w:lang w:eastAsia="zh-CN"/>
        </w:rPr>
        <w:t>辽宁省</w:t>
      </w:r>
      <w:bookmarkEnd w:id="1892"/>
    </w:p>
    <w:p w14:paraId="4D50B0A4">
      <w:pPr>
        <w:pageBreakBefore w:val="0"/>
        <w:kinsoku/>
        <w:wordWrap w:val="0"/>
        <w:bidi w:val="0"/>
        <w:spacing w:line="440" w:lineRule="exact"/>
        <w:rPr>
          <w:rFonts w:hint="default" w:ascii="Times New Roman" w:hAnsi="Times New Roman" w:eastAsia="黑体" w:cs="Times New Roman"/>
          <w:color w:val="auto"/>
          <w:sz w:val="24"/>
          <w:highlight w:val="none"/>
          <w:lang w:val="en-US"/>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eastAsia="zh-CN"/>
        </w:rPr>
        <w:t>）</w:t>
      </w:r>
      <w:r>
        <w:rPr>
          <w:rFonts w:hint="default" w:ascii="Times New Roman" w:hAnsi="Times New Roman" w:eastAsia="黑体" w:cs="Times New Roman"/>
          <w:b w:val="0"/>
          <w:bCs w:val="0"/>
          <w:color w:val="auto"/>
          <w:sz w:val="31"/>
          <w:szCs w:val="31"/>
          <w:highlight w:val="none"/>
          <w:lang w:val="en-US" w:eastAsia="zh-CN"/>
        </w:rPr>
        <w:t>施工招标</w:t>
      </w:r>
    </w:p>
    <w:p w14:paraId="53C6A771">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6E910086">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781CBDD3">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13DC220F">
      <w:pPr>
        <w:pStyle w:val="16"/>
        <w:rPr>
          <w:rFonts w:hint="default" w:ascii="Times New Roman" w:hAnsi="Times New Roman" w:eastAsia="黑体" w:cs="Times New Roman"/>
          <w:color w:val="auto"/>
          <w:sz w:val="40"/>
          <w:szCs w:val="40"/>
          <w:highlight w:val="none"/>
        </w:rPr>
      </w:pPr>
    </w:p>
    <w:p w14:paraId="4AB35F82">
      <w:pPr>
        <w:pStyle w:val="16"/>
        <w:rPr>
          <w:rFonts w:hint="default" w:ascii="Times New Roman" w:hAnsi="Times New Roman" w:eastAsia="黑体" w:cs="Times New Roman"/>
          <w:color w:val="auto"/>
          <w:sz w:val="40"/>
          <w:szCs w:val="40"/>
          <w:highlight w:val="none"/>
        </w:rPr>
      </w:pPr>
    </w:p>
    <w:p w14:paraId="738A5F53">
      <w:pPr>
        <w:pStyle w:val="16"/>
        <w:rPr>
          <w:rFonts w:hint="default" w:ascii="Times New Roman" w:hAnsi="Times New Roman" w:eastAsia="黑体" w:cs="Times New Roman"/>
          <w:color w:val="auto"/>
          <w:sz w:val="40"/>
          <w:szCs w:val="40"/>
          <w:highlight w:val="none"/>
        </w:rPr>
      </w:pPr>
    </w:p>
    <w:p w14:paraId="1781CD37">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61B41A77">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1A7409E3">
      <w:pPr>
        <w:pageBreakBefore w:val="0"/>
        <w:kinsoku/>
        <w:wordWrap/>
        <w:bidi w:val="0"/>
        <w:spacing w:before="0" w:after="0" w:line="360" w:lineRule="auto"/>
        <w:jc w:val="center"/>
        <w:outlineLvl w:val="9"/>
        <w:rPr>
          <w:rFonts w:hint="default" w:ascii="Times New Roman" w:hAnsi="Times New Roman" w:eastAsia="黑体" w:cs="Times New Roman"/>
          <w:b w:val="0"/>
          <w:color w:val="auto"/>
          <w:sz w:val="30"/>
          <w:szCs w:val="30"/>
          <w:highlight w:val="none"/>
        </w:rPr>
      </w:pPr>
      <w:bookmarkStart w:id="1893" w:name="_Toc1346"/>
      <w:bookmarkStart w:id="1894" w:name="_Toc26407"/>
      <w:bookmarkStart w:id="1895" w:name="_Toc11276"/>
      <w:bookmarkStart w:id="1896" w:name="_Toc23497"/>
      <w:bookmarkStart w:id="1897" w:name="_Toc11253"/>
      <w:r>
        <w:rPr>
          <w:rFonts w:hint="default" w:ascii="Times New Roman" w:hAnsi="Times New Roman" w:eastAsia="黑体" w:cs="Times New Roman"/>
          <w:b w:val="0"/>
          <w:color w:val="auto"/>
          <w:sz w:val="72"/>
          <w:szCs w:val="72"/>
          <w:highlight w:val="none"/>
        </w:rPr>
        <w:t xml:space="preserve">投  标  文  件 </w:t>
      </w:r>
    </w:p>
    <w:p w14:paraId="427FA90D">
      <w:pPr>
        <w:pageBreakBefore w:val="0"/>
        <w:kinsoku/>
        <w:wordWrap/>
        <w:bidi w:val="0"/>
        <w:spacing w:before="0" w:after="0" w:line="360" w:lineRule="auto"/>
        <w:jc w:val="center"/>
        <w:outlineLvl w:val="9"/>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2"/>
          <w:szCs w:val="32"/>
          <w:highlight w:val="none"/>
        </w:rPr>
        <w:t>（</w:t>
      </w:r>
      <w:r>
        <w:rPr>
          <w:rFonts w:hint="default" w:ascii="Times New Roman" w:hAnsi="Times New Roman" w:eastAsia="黑体" w:cs="Times New Roman"/>
          <w:b w:val="0"/>
          <w:color w:val="auto"/>
          <w:sz w:val="32"/>
          <w:szCs w:val="32"/>
          <w:highlight w:val="none"/>
          <w:lang w:val="en-US" w:eastAsia="zh-CN"/>
        </w:rPr>
        <w:t>第一个信封</w:t>
      </w:r>
      <w:r>
        <w:rPr>
          <w:rFonts w:hint="default" w:ascii="Times New Roman" w:hAnsi="Times New Roman"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商务及技术文件）</w:t>
      </w:r>
      <w:bookmarkEnd w:id="1893"/>
      <w:bookmarkEnd w:id="1894"/>
      <w:bookmarkEnd w:id="1895"/>
      <w:bookmarkEnd w:id="1896"/>
      <w:bookmarkEnd w:id="1897"/>
    </w:p>
    <w:p w14:paraId="7D198C9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45B9EA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7FF660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C28439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67CB568">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DE9424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D27A1CD">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67EBAE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B0E2668">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highlight w:val="none"/>
          <w:lang w:eastAsia="zh-CN"/>
        </w:rPr>
        <w:t>盖单位电子印章</w:t>
      </w:r>
      <w:r>
        <w:rPr>
          <w:rFonts w:hint="default" w:ascii="Times New Roman" w:hAnsi="Times New Roman" w:eastAsia="黑体" w:cs="Times New Roman"/>
          <w:color w:val="auto"/>
          <w:sz w:val="28"/>
          <w:szCs w:val="28"/>
          <w:highlight w:val="none"/>
        </w:rPr>
        <w:t>）</w:t>
      </w:r>
    </w:p>
    <w:p w14:paraId="192913C4">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2F573972">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71677EE1">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0F6FA0FC">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0"/>
          <w:szCs w:val="20"/>
          <w:highlight w:val="none"/>
        </w:rPr>
        <w:br w:type="page"/>
      </w:r>
      <w:bookmarkStart w:id="1898" w:name="_Toc23660"/>
      <w:bookmarkStart w:id="1899" w:name="_Toc18939"/>
      <w:bookmarkStart w:id="1900" w:name="_Toc234833253"/>
      <w:bookmarkStart w:id="1901" w:name="_Toc16968"/>
      <w:bookmarkStart w:id="1902" w:name="_Toc11971"/>
      <w:r>
        <w:rPr>
          <w:rFonts w:hint="default" w:ascii="Times New Roman" w:hAnsi="Times New Roman" w:eastAsia="黑体" w:cs="Times New Roman"/>
          <w:b w:val="0"/>
          <w:color w:val="auto"/>
          <w:sz w:val="30"/>
          <w:szCs w:val="30"/>
          <w:highlight w:val="none"/>
        </w:rPr>
        <w:t>目     录</w:t>
      </w:r>
      <w:bookmarkEnd w:id="1898"/>
      <w:bookmarkEnd w:id="1899"/>
      <w:bookmarkEnd w:id="1900"/>
      <w:bookmarkEnd w:id="1901"/>
      <w:bookmarkEnd w:id="1902"/>
    </w:p>
    <w:p w14:paraId="4D7293D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E14032D">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一、投标函及投标函附录</w:t>
      </w:r>
    </w:p>
    <w:p w14:paraId="7018F981">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二、授权委托书或法定代表人身份证明</w:t>
      </w:r>
    </w:p>
    <w:p w14:paraId="7C6E1D71">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三、联合体协议书</w:t>
      </w:r>
    </w:p>
    <w:p w14:paraId="57B96CA8">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四、投标保证金</w:t>
      </w:r>
    </w:p>
    <w:p w14:paraId="3E49CC26">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五、施工组织设计</w:t>
      </w:r>
    </w:p>
    <w:p w14:paraId="72FFFA9C">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六、项目管理机构</w:t>
      </w:r>
    </w:p>
    <w:p w14:paraId="28630471">
      <w:pPr>
        <w:pageBreakBefore w:val="0"/>
        <w:kinsoku/>
        <w:wordWrap w:val="0"/>
        <w:bidi w:val="0"/>
        <w:spacing w:line="440" w:lineRule="exact"/>
        <w:ind w:left="1619" w:leftChars="771" w:firstLine="1"/>
        <w:rPr>
          <w:rFonts w:hint="default" w:cs="Times New Roman"/>
          <w:color w:val="auto"/>
          <w:sz w:val="24"/>
          <w:highlight w:val="none"/>
          <w:lang w:val="en-US" w:eastAsia="zh-CN"/>
        </w:rPr>
      </w:pPr>
      <w:r>
        <w:rPr>
          <w:rFonts w:hint="eastAsia" w:cs="Times New Roman"/>
          <w:color w:val="auto"/>
          <w:sz w:val="24"/>
          <w:highlight w:val="none"/>
          <w:lang w:val="en-US" w:eastAsia="zh-CN"/>
        </w:rPr>
        <w:t>七、拟分包项目情况表</w:t>
      </w:r>
    </w:p>
    <w:p w14:paraId="0DA4D9D0">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八</w:t>
      </w:r>
      <w:r>
        <w:rPr>
          <w:rFonts w:hint="default" w:ascii="Times New Roman" w:hAnsi="Times New Roman" w:cs="Times New Roman"/>
          <w:color w:val="auto"/>
          <w:sz w:val="24"/>
          <w:highlight w:val="none"/>
        </w:rPr>
        <w:t>、资格审查资料</w:t>
      </w:r>
    </w:p>
    <w:p w14:paraId="4690C6A6">
      <w:pPr>
        <w:pageBreakBefore w:val="0"/>
        <w:kinsoku/>
        <w:wordWrap w:val="0"/>
        <w:overflowPunct/>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九</w:t>
      </w:r>
      <w:r>
        <w:rPr>
          <w:rFonts w:hint="default" w:ascii="Times New Roman" w:hAnsi="Times New Roman" w:cs="Times New Roman"/>
          <w:color w:val="auto"/>
          <w:sz w:val="24"/>
          <w:highlight w:val="none"/>
        </w:rPr>
        <w:t>、投标人告知承诺函</w:t>
      </w:r>
    </w:p>
    <w:p w14:paraId="64A59930">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十</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其他资料</w:t>
      </w:r>
    </w:p>
    <w:p w14:paraId="61F53621">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63ED4AEA">
      <w:pPr>
        <w:pStyle w:val="2"/>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30"/>
          <w:szCs w:val="3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903" w:name="_Toc234833254"/>
    </w:p>
    <w:bookmarkEnd w:id="1903"/>
    <w:p w14:paraId="3C5104DA">
      <w:pPr>
        <w:pStyle w:val="2"/>
        <w:pageBreakBefore w:val="0"/>
        <w:kinsoku/>
        <w:wordWrap w:val="0"/>
        <w:bidi w:val="0"/>
        <w:spacing w:before="0" w:after="0" w:line="400" w:lineRule="atLeast"/>
        <w:jc w:val="center"/>
        <w:outlineLvl w:val="1"/>
        <w:rPr>
          <w:rFonts w:hint="default" w:ascii="Times New Roman" w:hAnsi="Times New Roman" w:eastAsia="黑体" w:cs="Times New Roman"/>
          <w:b w:val="0"/>
          <w:color w:val="auto"/>
          <w:sz w:val="30"/>
          <w:szCs w:val="30"/>
          <w:highlight w:val="none"/>
        </w:rPr>
      </w:pPr>
      <w:bookmarkStart w:id="1904" w:name="_Toc234833255"/>
      <w:bookmarkStart w:id="1905" w:name="_Toc25446"/>
      <w:bookmarkStart w:id="1906" w:name="_Toc26238"/>
      <w:bookmarkStart w:id="1907" w:name="_Toc21625"/>
      <w:r>
        <w:rPr>
          <w:rFonts w:hint="default" w:ascii="Times New Roman" w:hAnsi="Times New Roman" w:eastAsia="黑体" w:cs="Times New Roman"/>
          <w:b w:val="0"/>
          <w:color w:val="auto"/>
          <w:sz w:val="30"/>
          <w:szCs w:val="30"/>
          <w:highlight w:val="none"/>
        </w:rPr>
        <w:t>一、投标函及投标函附录</w:t>
      </w:r>
      <w:bookmarkEnd w:id="1904"/>
      <w:bookmarkEnd w:id="1905"/>
      <w:bookmarkEnd w:id="1906"/>
      <w:bookmarkEnd w:id="1907"/>
    </w:p>
    <w:p w14:paraId="27A304AA">
      <w:pPr>
        <w:pStyle w:val="2"/>
        <w:pageBreakBefore w:val="0"/>
        <w:kinsoku/>
        <w:wordWrap w:val="0"/>
        <w:bidi w:val="0"/>
        <w:spacing w:before="360" w:beforeLines="150" w:after="240" w:afterLines="100" w:line="360" w:lineRule="atLeast"/>
        <w:jc w:val="center"/>
        <w:outlineLvl w:val="2"/>
        <w:rPr>
          <w:rFonts w:hint="default" w:ascii="Times New Roman" w:hAnsi="Times New Roman" w:eastAsia="黑体" w:cs="Times New Roman"/>
          <w:b w:val="0"/>
          <w:color w:val="auto"/>
          <w:sz w:val="28"/>
          <w:szCs w:val="28"/>
          <w:highlight w:val="none"/>
        </w:rPr>
      </w:pPr>
      <w:bookmarkStart w:id="1908" w:name="_Toc234833256"/>
      <w:bookmarkStart w:id="1909" w:name="_Toc18251"/>
      <w:bookmarkStart w:id="1910" w:name="_Toc585"/>
      <w:bookmarkStart w:id="1911" w:name="_Toc12342"/>
      <w:r>
        <w:rPr>
          <w:rFonts w:hint="default" w:ascii="Times New Roman" w:hAnsi="Times New Roman" w:eastAsia="黑体" w:cs="Times New Roman"/>
          <w:b w:val="0"/>
          <w:color w:val="auto"/>
          <w:sz w:val="28"/>
          <w:szCs w:val="28"/>
          <w:highlight w:val="none"/>
        </w:rPr>
        <w:t>（一） 投 标 函</w:t>
      </w:r>
      <w:bookmarkEnd w:id="1908"/>
      <w:bookmarkEnd w:id="1909"/>
      <w:bookmarkEnd w:id="1910"/>
      <w:bookmarkEnd w:id="1911"/>
    </w:p>
    <w:p w14:paraId="54789659">
      <w:pPr>
        <w:pageBreakBefore w:val="0"/>
        <w:kinsoku/>
        <w:wordWrap w:val="0"/>
        <w:bidi w:val="0"/>
        <w:spacing w:before="240" w:beforeLines="100" w:after="120" w:afterLines="50" w:line="36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33909B98">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招标文件的全部内容（含补遗书第___号至第___号），在考察工程现场后，愿意以第二个信封（报价文件）中的投标总报价（或根据招标文件规定修正核实后确定的另一金额），按合同约定实施和完成承包工程，修补工程中的任何缺陷。</w:t>
      </w:r>
    </w:p>
    <w:p w14:paraId="0AD09B5E">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2．我方承诺在招标文件规定的投标有效期内不撤销投标文件。</w:t>
      </w:r>
    </w:p>
    <w:p w14:paraId="297F6ADD">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3．工程质量：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431A9C0E">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4．如我方中标，我方承诺：</w:t>
      </w:r>
    </w:p>
    <w:p w14:paraId="0CDBA5D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（1）在收到中标通知书后，在中标通知书规定的期限内与你方签订合同；</w:t>
      </w:r>
    </w:p>
    <w:p w14:paraId="1B2344B1">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（2）在签订合同时不向你方提出附加条件；</w:t>
      </w:r>
    </w:p>
    <w:p w14:paraId="0D0970D5">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（3）按照招标文件要求提交履约保证金；</w:t>
      </w:r>
      <w:bookmarkStart w:id="1912" w:name="_Toc369531694"/>
      <w:bookmarkStart w:id="1913" w:name="_Toc352691658"/>
      <w:bookmarkStart w:id="1914" w:name="_Toc1187"/>
    </w:p>
    <w:p w14:paraId="3D590F30">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（4）在合</w:t>
      </w:r>
      <w:bookmarkEnd w:id="1912"/>
      <w:bookmarkEnd w:id="1913"/>
      <w:bookmarkEnd w:id="1914"/>
      <w:r>
        <w:rPr>
          <w:rFonts w:hint="default" w:ascii="Times New Roman" w:hAnsi="Times New Roman" w:cs="Times New Roman"/>
          <w:color w:val="auto"/>
          <w:sz w:val="24"/>
          <w:highlight w:val="none"/>
        </w:rPr>
        <w:t>同约定的期限内完成合同规定的全部义务；</w:t>
      </w:r>
    </w:p>
    <w:p w14:paraId="22BCC551">
      <w:pPr>
        <w:pageBreakBefore w:val="0"/>
        <w:kinsoku/>
        <w:wordWrap w:val="0"/>
        <w:bidi w:val="0"/>
        <w:spacing w:line="360" w:lineRule="atLeast"/>
        <w:ind w:firstLine="480" w:firstLineChars="200"/>
        <w:rPr>
          <w:rFonts w:hint="default" w:ascii="Times New Roman" w:hAnsi="Times New Roman" w:cs="Times New Roman"/>
          <w:color w:val="auto"/>
          <w:sz w:val="24"/>
          <w:highlight w:val="none"/>
          <w:vertAlign w:val="superscript"/>
        </w:rPr>
      </w:pPr>
      <w:r>
        <w:rPr>
          <w:rFonts w:hint="default" w:ascii="Times New Roman" w:hAnsi="Times New Roman" w:cs="Times New Roman"/>
          <w:color w:val="auto"/>
          <w:sz w:val="24"/>
          <w:highlight w:val="none"/>
        </w:rPr>
        <w:t>（5）在你方和我方进行合同谈判之前，我方将按照合同附件提出的最低要求填报派驻本标段的其他管理和技术人员及主要机械设备和试验检测设备，经你方审批后作为派驻本标段的项目管理机构主要人员和主要设备且不进行更换。如我方拟派驻的人员和设备不满足合同附件要求，你方有权取消我方中标资格。</w:t>
      </w:r>
      <w:r>
        <w:rPr>
          <w:rFonts w:hint="default" w:ascii="Times New Roman" w:hAnsi="Times New Roman" w:cs="Times New Roman"/>
          <w:color w:val="auto"/>
          <w:sz w:val="24"/>
          <w:highlight w:val="none"/>
          <w:vertAlign w:val="superscript"/>
        </w:rPr>
        <w:footnoteReference w:id="57"/>
      </w:r>
    </w:p>
    <w:p w14:paraId="60F1082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5．我方在此声明，所递交的投标文件及有关资料内容完整、真实和准确，且不存在招标文件第二章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第1.4.3项和第1.4.4项规定的任何一种情形。</w:t>
      </w:r>
    </w:p>
    <w:p w14:paraId="5CA1D4C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6．在合同协议书正式签署生效之前，本投标函连同你方的中标通知书将构成我们双方之间共同遵守的文件，对双方具有约束力。</w:t>
      </w:r>
    </w:p>
    <w:p w14:paraId="3187EE6A">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1DB694E4">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p>
    <w:p w14:paraId="1420A30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6BF38AF0">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outlineLvl w:val="9"/>
        <w:rPr>
          <w:rFonts w:hint="default" w:ascii="Times New Roman" w:hAnsi="Times New Roman" w:cs="Times New Roman"/>
          <w:color w:val="auto"/>
          <w:sz w:val="24"/>
          <w:highlight w:val="none"/>
        </w:rPr>
      </w:pPr>
      <w:bookmarkStart w:id="1915" w:name="_Toc23140"/>
      <w:bookmarkStart w:id="1916" w:name="_Toc26277"/>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bookmarkEnd w:id="1915"/>
      <w:bookmarkEnd w:id="1916"/>
    </w:p>
    <w:p w14:paraId="56A97B22">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162F6E9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75C40B1A">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7495048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11F0E0A4">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65E5D216">
      <w:pPr>
        <w:pageBreakBefore w:val="0"/>
        <w:kinsoku/>
        <w:wordWrap w:val="0"/>
        <w:overflowPunct/>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5DFC193">
      <w:pPr>
        <w:pStyle w:val="5"/>
        <w:pageBreakBefore w:val="0"/>
        <w:kinsoku/>
        <w:wordWrap w:val="0"/>
        <w:bidi w:val="0"/>
        <w:spacing w:before="360" w:beforeLines="150" w:after="240" w:afterLines="100" w:line="380" w:lineRule="atLeast"/>
        <w:jc w:val="center"/>
        <w:outlineLvl w:val="2"/>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3"/>
          <w:szCs w:val="23"/>
          <w:highlight w:val="none"/>
        </w:rPr>
        <w:br w:type="page"/>
      </w:r>
      <w:bookmarkStart w:id="1917" w:name="_Toc30343"/>
      <w:bookmarkStart w:id="1918" w:name="_Toc27486"/>
      <w:bookmarkStart w:id="1919" w:name="_Toc27025"/>
      <w:bookmarkStart w:id="1920" w:name="_Toc234833257"/>
      <w:r>
        <w:rPr>
          <w:rFonts w:hint="default" w:ascii="Times New Roman" w:hAnsi="Times New Roman" w:eastAsia="黑体" w:cs="Times New Roman"/>
          <w:b w:val="0"/>
          <w:color w:val="auto"/>
          <w:sz w:val="30"/>
          <w:szCs w:val="30"/>
          <w:highlight w:val="none"/>
        </w:rPr>
        <w:t>（二）投标函附录</w:t>
      </w:r>
      <w:bookmarkEnd w:id="1917"/>
      <w:bookmarkEnd w:id="1918"/>
      <w:bookmarkEnd w:id="1919"/>
      <w:bookmarkEnd w:id="1920"/>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10"/>
        <w:gridCol w:w="1185"/>
        <w:gridCol w:w="3613"/>
        <w:gridCol w:w="749"/>
      </w:tblGrid>
      <w:tr w14:paraId="51F7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4D5736B">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2710" w:type="dxa"/>
            <w:noWrap w:val="0"/>
            <w:vAlign w:val="center"/>
          </w:tcPr>
          <w:p w14:paraId="619D5541">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条款名称</w:t>
            </w:r>
          </w:p>
        </w:tc>
        <w:tc>
          <w:tcPr>
            <w:tcW w:w="1185" w:type="dxa"/>
            <w:noWrap w:val="0"/>
            <w:vAlign w:val="center"/>
          </w:tcPr>
          <w:p w14:paraId="72367B75">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合同条目号</w:t>
            </w:r>
          </w:p>
        </w:tc>
        <w:tc>
          <w:tcPr>
            <w:tcW w:w="3613" w:type="dxa"/>
            <w:noWrap w:val="0"/>
            <w:vAlign w:val="center"/>
          </w:tcPr>
          <w:p w14:paraId="6DCCAF27">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约定内容</w:t>
            </w:r>
          </w:p>
        </w:tc>
        <w:tc>
          <w:tcPr>
            <w:tcW w:w="749" w:type="dxa"/>
            <w:noWrap w:val="0"/>
            <w:vAlign w:val="center"/>
          </w:tcPr>
          <w:p w14:paraId="2296B403">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0FBC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6061369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710" w:type="dxa"/>
            <w:noWrap w:val="0"/>
            <w:vAlign w:val="center"/>
          </w:tcPr>
          <w:p w14:paraId="0D85AB2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185" w:type="dxa"/>
            <w:noWrap w:val="0"/>
            <w:vAlign w:val="center"/>
          </w:tcPr>
          <w:p w14:paraId="1FF11D6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1.1.4.5</w:t>
            </w:r>
          </w:p>
        </w:tc>
        <w:tc>
          <w:tcPr>
            <w:tcW w:w="3613" w:type="dxa"/>
            <w:noWrap w:val="0"/>
            <w:vAlign w:val="center"/>
          </w:tcPr>
          <w:p w14:paraId="57E7294B">
            <w:pPr>
              <w:pageBreakBefore w:val="0"/>
              <w:kinsoku/>
              <w:wordWrap w:val="0"/>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40D89B5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BF6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6C6AA6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710" w:type="dxa"/>
            <w:noWrap w:val="0"/>
            <w:vAlign w:val="center"/>
          </w:tcPr>
          <w:p w14:paraId="55DA687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w:t>
            </w:r>
          </w:p>
        </w:tc>
        <w:tc>
          <w:tcPr>
            <w:tcW w:w="1185" w:type="dxa"/>
            <w:noWrap w:val="0"/>
            <w:vAlign w:val="center"/>
          </w:tcPr>
          <w:p w14:paraId="5E8D6CB2">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65DAB7A4">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2CAB58F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2D2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190911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710" w:type="dxa"/>
            <w:noWrap w:val="0"/>
            <w:vAlign w:val="center"/>
          </w:tcPr>
          <w:p w14:paraId="756742E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逾期交工违约金限额</w:t>
            </w:r>
          </w:p>
        </w:tc>
        <w:tc>
          <w:tcPr>
            <w:tcW w:w="1185" w:type="dxa"/>
            <w:noWrap w:val="0"/>
            <w:vAlign w:val="center"/>
          </w:tcPr>
          <w:p w14:paraId="3FBDC608">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2CC14D85">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18D9DD9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757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EC18F1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710" w:type="dxa"/>
            <w:noWrap w:val="0"/>
            <w:vAlign w:val="center"/>
          </w:tcPr>
          <w:p w14:paraId="66DD692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提前交工的奖金 </w:t>
            </w:r>
          </w:p>
        </w:tc>
        <w:tc>
          <w:tcPr>
            <w:tcW w:w="1185" w:type="dxa"/>
            <w:noWrap w:val="0"/>
            <w:vAlign w:val="center"/>
          </w:tcPr>
          <w:p w14:paraId="1F6B86CC">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788ABF0F">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25F3835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184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699D6B9">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710" w:type="dxa"/>
            <w:noWrap w:val="0"/>
            <w:vAlign w:val="center"/>
          </w:tcPr>
          <w:p w14:paraId="30319EB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提前交工的奖金限额</w:t>
            </w:r>
          </w:p>
        </w:tc>
        <w:tc>
          <w:tcPr>
            <w:tcW w:w="1185" w:type="dxa"/>
            <w:noWrap w:val="0"/>
            <w:vAlign w:val="center"/>
          </w:tcPr>
          <w:p w14:paraId="1B9D56D8">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2D38906C">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3AAAE21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836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06D27E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710" w:type="dxa"/>
            <w:noWrap w:val="0"/>
            <w:vAlign w:val="center"/>
          </w:tcPr>
          <w:p w14:paraId="38485AB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价格调整的差额计算</w:t>
            </w:r>
          </w:p>
        </w:tc>
        <w:tc>
          <w:tcPr>
            <w:tcW w:w="1185" w:type="dxa"/>
            <w:noWrap w:val="0"/>
            <w:vAlign w:val="center"/>
          </w:tcPr>
          <w:p w14:paraId="2B6502E9">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w:t>
            </w:r>
          </w:p>
        </w:tc>
        <w:tc>
          <w:tcPr>
            <w:tcW w:w="3613" w:type="dxa"/>
            <w:noWrap w:val="0"/>
            <w:vAlign w:val="center"/>
          </w:tcPr>
          <w:p w14:paraId="10130025">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见价格指数和权重表</w:t>
            </w:r>
          </w:p>
        </w:tc>
        <w:tc>
          <w:tcPr>
            <w:tcW w:w="749" w:type="dxa"/>
            <w:noWrap w:val="0"/>
            <w:vAlign w:val="center"/>
          </w:tcPr>
          <w:p w14:paraId="714C539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DF5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BAB94B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710" w:type="dxa"/>
            <w:noWrap w:val="0"/>
            <w:vAlign w:val="center"/>
          </w:tcPr>
          <w:p w14:paraId="03F8BB4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开工预付款金额</w:t>
            </w:r>
          </w:p>
        </w:tc>
        <w:tc>
          <w:tcPr>
            <w:tcW w:w="1185" w:type="dxa"/>
            <w:noWrap w:val="0"/>
            <w:vAlign w:val="center"/>
          </w:tcPr>
          <w:p w14:paraId="4BA71D74">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17.2.1（1）</w:t>
            </w:r>
          </w:p>
        </w:tc>
        <w:tc>
          <w:tcPr>
            <w:tcW w:w="3613" w:type="dxa"/>
            <w:noWrap w:val="0"/>
            <w:vAlign w:val="center"/>
          </w:tcPr>
          <w:p w14:paraId="226F58A9">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5C77B67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383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F62C03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710" w:type="dxa"/>
            <w:noWrap w:val="0"/>
            <w:vAlign w:val="center"/>
          </w:tcPr>
          <w:p w14:paraId="411218C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材料、设备预付款比例</w:t>
            </w:r>
          </w:p>
        </w:tc>
        <w:tc>
          <w:tcPr>
            <w:tcW w:w="1185" w:type="dxa"/>
            <w:noWrap w:val="0"/>
            <w:vAlign w:val="center"/>
          </w:tcPr>
          <w:p w14:paraId="484944F3">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17.2.1（2）</w:t>
            </w:r>
          </w:p>
        </w:tc>
        <w:tc>
          <w:tcPr>
            <w:tcW w:w="3613" w:type="dxa"/>
            <w:noWrap w:val="0"/>
            <w:vAlign w:val="center"/>
          </w:tcPr>
          <w:p w14:paraId="2FAF4128">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等主要材料、设备单据所列费用的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tc>
        <w:tc>
          <w:tcPr>
            <w:tcW w:w="749" w:type="dxa"/>
            <w:noWrap w:val="0"/>
            <w:vAlign w:val="center"/>
          </w:tcPr>
          <w:p w14:paraId="5AA5BDD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A83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42EE15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710" w:type="dxa"/>
            <w:noWrap w:val="0"/>
            <w:vAlign w:val="center"/>
          </w:tcPr>
          <w:p w14:paraId="7A33F46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进度付款证书最低限额</w:t>
            </w:r>
          </w:p>
        </w:tc>
        <w:tc>
          <w:tcPr>
            <w:tcW w:w="1185" w:type="dxa"/>
            <w:noWrap w:val="0"/>
            <w:vAlign w:val="center"/>
          </w:tcPr>
          <w:p w14:paraId="2416F088">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17.3.3（1）</w:t>
            </w:r>
          </w:p>
        </w:tc>
        <w:tc>
          <w:tcPr>
            <w:tcW w:w="3613" w:type="dxa"/>
            <w:noWrap w:val="0"/>
            <w:vAlign w:val="center"/>
          </w:tcPr>
          <w:p w14:paraId="3709F2E0">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p>
        </w:tc>
        <w:tc>
          <w:tcPr>
            <w:tcW w:w="749" w:type="dxa"/>
            <w:noWrap w:val="0"/>
            <w:vAlign w:val="center"/>
          </w:tcPr>
          <w:p w14:paraId="3DFD6A7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89B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A7552C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710" w:type="dxa"/>
            <w:noWrap w:val="0"/>
            <w:vAlign w:val="center"/>
          </w:tcPr>
          <w:p w14:paraId="50F7A0F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逾期付款违约金的利率</w:t>
            </w:r>
          </w:p>
        </w:tc>
        <w:tc>
          <w:tcPr>
            <w:tcW w:w="1185" w:type="dxa"/>
            <w:noWrap w:val="0"/>
            <w:vAlign w:val="center"/>
          </w:tcPr>
          <w:p w14:paraId="383D79AA">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17.3.3（2）</w:t>
            </w:r>
          </w:p>
        </w:tc>
        <w:tc>
          <w:tcPr>
            <w:tcW w:w="3613" w:type="dxa"/>
            <w:noWrap w:val="0"/>
            <w:vAlign w:val="center"/>
          </w:tcPr>
          <w:p w14:paraId="793E5750">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p>
        </w:tc>
        <w:tc>
          <w:tcPr>
            <w:tcW w:w="749" w:type="dxa"/>
            <w:noWrap w:val="0"/>
            <w:vAlign w:val="center"/>
          </w:tcPr>
          <w:p w14:paraId="24C461F2">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147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5A43D3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2710" w:type="dxa"/>
            <w:noWrap w:val="0"/>
            <w:vAlign w:val="center"/>
          </w:tcPr>
          <w:p w14:paraId="76668A8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质量保证金金额</w:t>
            </w:r>
          </w:p>
        </w:tc>
        <w:tc>
          <w:tcPr>
            <w:tcW w:w="1185" w:type="dxa"/>
            <w:noWrap w:val="0"/>
            <w:vAlign w:val="center"/>
          </w:tcPr>
          <w:p w14:paraId="120D99CC">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17.4.1</w:t>
            </w:r>
          </w:p>
        </w:tc>
        <w:tc>
          <w:tcPr>
            <w:tcW w:w="3613" w:type="dxa"/>
            <w:noWrap w:val="0"/>
            <w:vAlign w:val="center"/>
          </w:tcPr>
          <w:p w14:paraId="0B123E0B">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%合同价格，若交工验收时承包人具备被</w:t>
            </w:r>
            <w:r>
              <w:rPr>
                <w:rFonts w:hint="eastAsia" w:cs="Times New Roman"/>
                <w:color w:val="auto"/>
                <w:szCs w:val="21"/>
                <w:highlight w:val="none"/>
                <w:lang w:val="en-US" w:eastAsia="zh-CN"/>
              </w:rPr>
              <w:t>辽宁省交通运输厅</w:t>
            </w:r>
            <w:r>
              <w:rPr>
                <w:rFonts w:hint="default" w:ascii="Times New Roman" w:hAnsi="Times New Roman" w:cs="Times New Roman"/>
                <w:color w:val="auto"/>
                <w:szCs w:val="21"/>
                <w:highlight w:val="none"/>
              </w:rPr>
              <w:t>评定的最高信用等级，发包人给予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%合同价格质量保证金的优惠</w:t>
            </w:r>
          </w:p>
        </w:tc>
        <w:tc>
          <w:tcPr>
            <w:tcW w:w="749" w:type="dxa"/>
            <w:noWrap w:val="0"/>
            <w:vAlign w:val="center"/>
          </w:tcPr>
          <w:p w14:paraId="06B0762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3D9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16EB9E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2710" w:type="dxa"/>
            <w:noWrap w:val="0"/>
            <w:vAlign w:val="center"/>
          </w:tcPr>
          <w:p w14:paraId="64C9743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保修期</w:t>
            </w:r>
          </w:p>
        </w:tc>
        <w:tc>
          <w:tcPr>
            <w:tcW w:w="1185" w:type="dxa"/>
            <w:noWrap w:val="0"/>
            <w:vAlign w:val="center"/>
          </w:tcPr>
          <w:p w14:paraId="7387A5CE">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19.7（1）</w:t>
            </w:r>
          </w:p>
        </w:tc>
        <w:tc>
          <w:tcPr>
            <w:tcW w:w="3613" w:type="dxa"/>
            <w:noWrap w:val="0"/>
            <w:vAlign w:val="center"/>
          </w:tcPr>
          <w:p w14:paraId="18859C61">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71D67212">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0A929022">
      <w:pPr>
        <w:pageBreakBefore w:val="0"/>
        <w:kinsoku/>
        <w:wordWrap w:val="0"/>
        <w:bidi w:val="0"/>
        <w:snapToGrid w:val="0"/>
        <w:spacing w:line="400" w:lineRule="atLeast"/>
        <w:ind w:firstLine="3240" w:firstLineChars="1350"/>
        <w:rPr>
          <w:rFonts w:hint="default" w:ascii="Times New Roman" w:hAnsi="Times New Roman" w:cs="Times New Roman"/>
          <w:color w:val="auto"/>
          <w:sz w:val="24"/>
          <w:highlight w:val="none"/>
        </w:rPr>
      </w:pPr>
    </w:p>
    <w:p w14:paraId="3E40754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37A4FCB">
      <w:pPr>
        <w:pageBreakBefore w:val="0"/>
        <w:kinsoku/>
        <w:wordWrap w:val="0"/>
        <w:bidi w:val="0"/>
        <w:spacing w:line="440" w:lineRule="exac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价格指数和权重表</w:t>
      </w:r>
    </w:p>
    <w:p w14:paraId="52D9C3DC">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2"/>
        <w:gridCol w:w="748"/>
        <w:gridCol w:w="900"/>
        <w:gridCol w:w="648"/>
        <w:gridCol w:w="1266"/>
        <w:gridCol w:w="1630"/>
        <w:gridCol w:w="1970"/>
      </w:tblGrid>
      <w:tr w14:paraId="4D3B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1298" w:type="dxa"/>
            <w:gridSpan w:val="2"/>
            <w:vMerge w:val="restart"/>
            <w:noWrap w:val="0"/>
            <w:vAlign w:val="center"/>
          </w:tcPr>
          <w:p w14:paraId="3606090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648" w:type="dxa"/>
            <w:gridSpan w:val="2"/>
            <w:noWrap w:val="0"/>
            <w:vAlign w:val="center"/>
          </w:tcPr>
          <w:p w14:paraId="5D194659">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基本价格指数</w:t>
            </w:r>
          </w:p>
        </w:tc>
        <w:tc>
          <w:tcPr>
            <w:tcW w:w="3544" w:type="dxa"/>
            <w:gridSpan w:val="3"/>
            <w:noWrap w:val="0"/>
            <w:vAlign w:val="center"/>
          </w:tcPr>
          <w:p w14:paraId="67A42FB1">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权       重</w:t>
            </w:r>
          </w:p>
        </w:tc>
        <w:tc>
          <w:tcPr>
            <w:tcW w:w="1970" w:type="dxa"/>
            <w:vMerge w:val="restart"/>
            <w:noWrap w:val="0"/>
            <w:vAlign w:val="center"/>
          </w:tcPr>
          <w:p w14:paraId="4940A462">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价格指数来源</w:t>
            </w:r>
          </w:p>
        </w:tc>
      </w:tr>
      <w:tr w14:paraId="0558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298" w:type="dxa"/>
            <w:gridSpan w:val="2"/>
            <w:vMerge w:val="continue"/>
            <w:noWrap w:val="0"/>
            <w:vAlign w:val="center"/>
          </w:tcPr>
          <w:p w14:paraId="70E5CBE6">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748" w:type="dxa"/>
            <w:noWrap w:val="0"/>
            <w:vAlign w:val="center"/>
          </w:tcPr>
          <w:p w14:paraId="1433C5EC">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900" w:type="dxa"/>
            <w:noWrap w:val="0"/>
            <w:vAlign w:val="center"/>
          </w:tcPr>
          <w:p w14:paraId="572553AC">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指数值</w:t>
            </w:r>
          </w:p>
        </w:tc>
        <w:tc>
          <w:tcPr>
            <w:tcW w:w="648" w:type="dxa"/>
            <w:noWrap w:val="0"/>
            <w:vAlign w:val="center"/>
          </w:tcPr>
          <w:p w14:paraId="274715D6">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1266" w:type="dxa"/>
            <w:noWrap w:val="0"/>
            <w:vAlign w:val="center"/>
          </w:tcPr>
          <w:p w14:paraId="0355492D">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允许范围</w:t>
            </w:r>
          </w:p>
        </w:tc>
        <w:tc>
          <w:tcPr>
            <w:tcW w:w="1630" w:type="dxa"/>
            <w:noWrap w:val="0"/>
            <w:vAlign w:val="center"/>
          </w:tcPr>
          <w:p w14:paraId="58FF4DB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投标人建议值</w:t>
            </w:r>
          </w:p>
        </w:tc>
        <w:tc>
          <w:tcPr>
            <w:tcW w:w="1970" w:type="dxa"/>
            <w:vMerge w:val="continue"/>
            <w:noWrap w:val="0"/>
            <w:vAlign w:val="center"/>
          </w:tcPr>
          <w:p w14:paraId="66284A0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1D62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98" w:type="dxa"/>
            <w:gridSpan w:val="2"/>
            <w:noWrap w:val="0"/>
            <w:vAlign w:val="center"/>
          </w:tcPr>
          <w:p w14:paraId="08603AA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定值部分</w:t>
            </w:r>
          </w:p>
        </w:tc>
        <w:tc>
          <w:tcPr>
            <w:tcW w:w="748" w:type="dxa"/>
            <w:noWrap w:val="0"/>
            <w:vAlign w:val="center"/>
          </w:tcPr>
          <w:p w14:paraId="0CE67AA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107F629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68F7019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1266" w:type="dxa"/>
            <w:noWrap w:val="0"/>
            <w:vAlign w:val="center"/>
          </w:tcPr>
          <w:p w14:paraId="132DF3B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630" w:type="dxa"/>
            <w:noWrap w:val="0"/>
            <w:vAlign w:val="center"/>
          </w:tcPr>
          <w:p w14:paraId="0D344F6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970" w:type="dxa"/>
            <w:noWrap w:val="0"/>
            <w:vAlign w:val="center"/>
          </w:tcPr>
          <w:p w14:paraId="7E1087C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600C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26" w:type="dxa"/>
            <w:vMerge w:val="restart"/>
            <w:noWrap w:val="0"/>
            <w:vAlign w:val="center"/>
          </w:tcPr>
          <w:p w14:paraId="1A658F1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变值部分</w:t>
            </w:r>
          </w:p>
        </w:tc>
        <w:tc>
          <w:tcPr>
            <w:tcW w:w="872" w:type="dxa"/>
            <w:noWrap w:val="0"/>
            <w:vAlign w:val="center"/>
          </w:tcPr>
          <w:p w14:paraId="04F700B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人工费</w:t>
            </w:r>
          </w:p>
        </w:tc>
        <w:tc>
          <w:tcPr>
            <w:tcW w:w="748" w:type="dxa"/>
            <w:noWrap w:val="0"/>
            <w:vAlign w:val="center"/>
          </w:tcPr>
          <w:p w14:paraId="61D5CFC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p>
        </w:tc>
        <w:tc>
          <w:tcPr>
            <w:tcW w:w="900" w:type="dxa"/>
            <w:noWrap w:val="0"/>
            <w:vAlign w:val="center"/>
          </w:tcPr>
          <w:p w14:paraId="31CB097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4861B5D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p>
        </w:tc>
        <w:tc>
          <w:tcPr>
            <w:tcW w:w="1266" w:type="dxa"/>
            <w:noWrap w:val="0"/>
            <w:vAlign w:val="top"/>
          </w:tcPr>
          <w:p w14:paraId="74F501E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351A590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2943A5F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427B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26" w:type="dxa"/>
            <w:vMerge w:val="continue"/>
            <w:noWrap w:val="0"/>
            <w:vAlign w:val="center"/>
          </w:tcPr>
          <w:p w14:paraId="2BE7A06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1241A2A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钢材</w:t>
            </w:r>
          </w:p>
        </w:tc>
        <w:tc>
          <w:tcPr>
            <w:tcW w:w="748" w:type="dxa"/>
            <w:noWrap w:val="0"/>
            <w:vAlign w:val="center"/>
          </w:tcPr>
          <w:p w14:paraId="637FB2D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p>
        </w:tc>
        <w:tc>
          <w:tcPr>
            <w:tcW w:w="900" w:type="dxa"/>
            <w:noWrap w:val="0"/>
            <w:vAlign w:val="center"/>
          </w:tcPr>
          <w:p w14:paraId="7816E00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2B91BAD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p>
        </w:tc>
        <w:tc>
          <w:tcPr>
            <w:tcW w:w="1266" w:type="dxa"/>
            <w:noWrap w:val="0"/>
            <w:vAlign w:val="top"/>
          </w:tcPr>
          <w:p w14:paraId="62A8670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68FB35D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4AA7FFD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16C2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26" w:type="dxa"/>
            <w:vMerge w:val="continue"/>
            <w:noWrap w:val="0"/>
            <w:vAlign w:val="center"/>
          </w:tcPr>
          <w:p w14:paraId="1D60DC9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5D285DA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w:t>
            </w:r>
          </w:p>
        </w:tc>
        <w:tc>
          <w:tcPr>
            <w:tcW w:w="748" w:type="dxa"/>
            <w:noWrap w:val="0"/>
            <w:vAlign w:val="center"/>
          </w:tcPr>
          <w:p w14:paraId="5BB5100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p>
        </w:tc>
        <w:tc>
          <w:tcPr>
            <w:tcW w:w="900" w:type="dxa"/>
            <w:noWrap w:val="0"/>
            <w:vAlign w:val="center"/>
          </w:tcPr>
          <w:p w14:paraId="4ADFFFB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6DDB020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p>
        </w:tc>
        <w:tc>
          <w:tcPr>
            <w:tcW w:w="1266" w:type="dxa"/>
            <w:noWrap w:val="0"/>
            <w:vAlign w:val="top"/>
          </w:tcPr>
          <w:p w14:paraId="499A3C8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6D9ECD7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03642C4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0289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426" w:type="dxa"/>
            <w:vMerge w:val="continue"/>
            <w:noWrap w:val="0"/>
            <w:vAlign w:val="center"/>
          </w:tcPr>
          <w:p w14:paraId="58EAF61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7C005D3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8" w:type="dxa"/>
            <w:noWrap w:val="0"/>
            <w:vAlign w:val="center"/>
          </w:tcPr>
          <w:p w14:paraId="78856C0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00" w:type="dxa"/>
            <w:noWrap w:val="0"/>
            <w:vAlign w:val="center"/>
          </w:tcPr>
          <w:p w14:paraId="7FB6129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60E8344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6" w:type="dxa"/>
            <w:noWrap w:val="0"/>
            <w:vAlign w:val="top"/>
          </w:tcPr>
          <w:p w14:paraId="07F74CB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0" w:type="dxa"/>
            <w:noWrap w:val="0"/>
            <w:vAlign w:val="top"/>
          </w:tcPr>
          <w:p w14:paraId="2DFE13A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36C5102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108E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426" w:type="dxa"/>
            <w:vMerge w:val="continue"/>
            <w:noWrap w:val="0"/>
            <w:vAlign w:val="center"/>
          </w:tcPr>
          <w:p w14:paraId="06E42BF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73C3020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748" w:type="dxa"/>
            <w:noWrap w:val="0"/>
            <w:vAlign w:val="center"/>
          </w:tcPr>
          <w:p w14:paraId="5037294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0791EE9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14546B8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266" w:type="dxa"/>
            <w:noWrap w:val="0"/>
            <w:vAlign w:val="top"/>
          </w:tcPr>
          <w:p w14:paraId="636468B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630" w:type="dxa"/>
            <w:noWrap w:val="0"/>
            <w:vAlign w:val="top"/>
          </w:tcPr>
          <w:p w14:paraId="17D218A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0E51B64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47A3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860" w:type="dxa"/>
            <w:gridSpan w:val="6"/>
            <w:noWrap w:val="0"/>
            <w:vAlign w:val="center"/>
          </w:tcPr>
          <w:p w14:paraId="5CB167E1">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        计</w:t>
            </w:r>
          </w:p>
        </w:tc>
        <w:tc>
          <w:tcPr>
            <w:tcW w:w="1630" w:type="dxa"/>
            <w:noWrap w:val="0"/>
            <w:vAlign w:val="center"/>
          </w:tcPr>
          <w:p w14:paraId="0E65193E">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970" w:type="dxa"/>
            <w:noWrap w:val="0"/>
            <w:vAlign w:val="top"/>
          </w:tcPr>
          <w:p w14:paraId="2E48178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bl>
    <w:p w14:paraId="054013CC">
      <w:pPr>
        <w:pageBreakBefore w:val="0"/>
        <w:kinsoku/>
        <w:wordWrap w:val="0"/>
        <w:bidi w:val="0"/>
        <w:spacing w:line="440" w:lineRule="exact"/>
        <w:rPr>
          <w:rFonts w:hint="default" w:ascii="Times New Roman" w:hAnsi="Times New Roman" w:eastAsia="黑体" w:cs="Times New Roman"/>
          <w:color w:val="auto"/>
          <w:sz w:val="24"/>
          <w:highlight w:val="none"/>
        </w:rPr>
      </w:pPr>
    </w:p>
    <w:p w14:paraId="1ED4A662">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7FC56732">
      <w:pPr>
        <w:rPr>
          <w:rFonts w:hint="default" w:ascii="Times New Roman" w:hAnsi="Times New Roman" w:cs="Times New Roman"/>
          <w:color w:val="auto"/>
          <w:highlight w:val="none"/>
        </w:rPr>
      </w:pPr>
      <w:bookmarkStart w:id="1921" w:name="_Toc234833261"/>
    </w:p>
    <w:p w14:paraId="134D9F46">
      <w:pPr>
        <w:rPr>
          <w:rFonts w:hint="default" w:ascii="Times New Roman" w:hAnsi="Times New Roman" w:cs="Times New Roman"/>
          <w:color w:val="auto"/>
          <w:highlight w:val="none"/>
        </w:rPr>
      </w:pPr>
    </w:p>
    <w:p w14:paraId="50C60D6C">
      <w:pPr>
        <w:rPr>
          <w:rFonts w:hint="default" w:ascii="Times New Roman" w:hAnsi="Times New Roman" w:cs="Times New Roman"/>
          <w:color w:val="auto"/>
          <w:highlight w:val="none"/>
        </w:rPr>
      </w:pPr>
    </w:p>
    <w:p w14:paraId="2BDB5227">
      <w:pPr>
        <w:rPr>
          <w:rFonts w:hint="default" w:ascii="Times New Roman" w:hAnsi="Times New Roman" w:cs="Times New Roman"/>
          <w:color w:val="auto"/>
          <w:highlight w:val="none"/>
        </w:rPr>
      </w:pPr>
    </w:p>
    <w:p w14:paraId="38C6966E">
      <w:pPr>
        <w:rPr>
          <w:rFonts w:hint="default" w:ascii="Times New Roman" w:hAnsi="Times New Roman" w:cs="Times New Roman"/>
          <w:color w:val="auto"/>
          <w:highlight w:val="none"/>
        </w:rPr>
      </w:pPr>
    </w:p>
    <w:p w14:paraId="549AC373">
      <w:pPr>
        <w:rPr>
          <w:rFonts w:hint="default" w:ascii="Times New Roman" w:hAnsi="Times New Roman" w:cs="Times New Roman"/>
          <w:color w:val="auto"/>
          <w:highlight w:val="none"/>
        </w:rPr>
      </w:pPr>
    </w:p>
    <w:p w14:paraId="7E802969">
      <w:pPr>
        <w:rPr>
          <w:rFonts w:hint="default" w:ascii="Times New Roman" w:hAnsi="Times New Roman" w:cs="Times New Roman"/>
          <w:color w:val="auto"/>
          <w:highlight w:val="none"/>
        </w:rPr>
      </w:pPr>
    </w:p>
    <w:p w14:paraId="6B82B897">
      <w:pPr>
        <w:rPr>
          <w:rFonts w:hint="default" w:ascii="Times New Roman" w:hAnsi="Times New Roman" w:cs="Times New Roman"/>
          <w:color w:val="auto"/>
          <w:highlight w:val="none"/>
        </w:rPr>
      </w:pPr>
    </w:p>
    <w:p w14:paraId="02F80A6E">
      <w:pPr>
        <w:rPr>
          <w:rFonts w:hint="default" w:ascii="Times New Roman" w:hAnsi="Times New Roman" w:cs="Times New Roman"/>
          <w:color w:val="auto"/>
          <w:highlight w:val="none"/>
        </w:rPr>
      </w:pPr>
    </w:p>
    <w:p w14:paraId="7CDF3D84">
      <w:pPr>
        <w:rPr>
          <w:rFonts w:hint="default" w:ascii="Times New Roman" w:hAnsi="Times New Roman" w:cs="Times New Roman"/>
          <w:color w:val="auto"/>
          <w:highlight w:val="none"/>
        </w:rPr>
      </w:pPr>
    </w:p>
    <w:p w14:paraId="42C62720">
      <w:pPr>
        <w:rPr>
          <w:rFonts w:hint="default" w:ascii="Times New Roman" w:hAnsi="Times New Roman" w:cs="Times New Roman"/>
          <w:color w:val="auto"/>
          <w:highlight w:val="none"/>
        </w:rPr>
      </w:pPr>
    </w:p>
    <w:p w14:paraId="46B56DAC">
      <w:pPr>
        <w:jc w:val="center"/>
        <w:rPr>
          <w:rFonts w:hint="default" w:ascii="Times New Roman" w:hAnsi="Times New Roman" w:cs="Times New Roman"/>
          <w:color w:val="auto"/>
          <w:highlight w:val="none"/>
        </w:rPr>
      </w:pPr>
    </w:p>
    <w:p w14:paraId="7E7671D6">
      <w:pPr>
        <w:pStyle w:val="3"/>
        <w:numPr>
          <w:ilvl w:val="0"/>
          <w:numId w:val="0"/>
        </w:numPr>
        <w:spacing w:before="0" w:after="0" w:line="400" w:lineRule="atLeast"/>
        <w:ind w:left="180" w:firstLine="280" w:firstLineChars="100"/>
        <w:jc w:val="center"/>
        <w:rPr>
          <w:rFonts w:hint="default" w:ascii="Times New Roman" w:hAnsi="Times New Roman" w:cs="Times New Roman"/>
          <w:bCs w:val="0"/>
          <w:i w:val="0"/>
          <w:iCs w:val="0"/>
          <w:color w:val="auto"/>
          <w:kern w:val="0"/>
          <w:sz w:val="28"/>
          <w:highlight w:val="none"/>
        </w:rPr>
      </w:pPr>
      <w:bookmarkStart w:id="1922" w:name="_Toc500352763"/>
      <w:bookmarkStart w:id="1923" w:name="_Toc5786"/>
      <w:bookmarkStart w:id="1924" w:name="_Toc458576166"/>
      <w:bookmarkStart w:id="1925" w:name="_Toc438571660"/>
      <w:bookmarkStart w:id="1926" w:name="_Toc10083"/>
      <w:bookmarkStart w:id="1927" w:name="_Toc12173"/>
      <w:bookmarkStart w:id="1928" w:name="_Toc112032692"/>
      <w:bookmarkStart w:id="1929" w:name="_Toc14724"/>
      <w:bookmarkStart w:id="1930" w:name="_Toc26154"/>
      <w:bookmarkStart w:id="1931" w:name="_Toc137074942"/>
      <w:r>
        <w:rPr>
          <w:rFonts w:hint="default" w:ascii="Times New Roman" w:hAnsi="Times New Roman" w:cs="Times New Roman"/>
          <w:bCs w:val="0"/>
          <w:i w:val="0"/>
          <w:iCs w:val="0"/>
          <w:color w:val="auto"/>
          <w:kern w:val="0"/>
          <w:sz w:val="28"/>
          <w:highlight w:val="none"/>
        </w:rPr>
        <w:t>二、授权委托书或法定代表人身份证明</w:t>
      </w:r>
      <w:bookmarkEnd w:id="1922"/>
      <w:bookmarkEnd w:id="1923"/>
      <w:bookmarkEnd w:id="1924"/>
      <w:bookmarkEnd w:id="1925"/>
      <w:bookmarkEnd w:id="1926"/>
      <w:bookmarkEnd w:id="1927"/>
      <w:bookmarkEnd w:id="1928"/>
      <w:bookmarkEnd w:id="1929"/>
      <w:bookmarkEnd w:id="1930"/>
      <w:bookmarkEnd w:id="1931"/>
    </w:p>
    <w:p w14:paraId="1B3A5021">
      <w:pPr>
        <w:rPr>
          <w:rFonts w:hint="default" w:ascii="Times New Roman" w:hAnsi="Times New Roman" w:eastAsia="黑体" w:cs="Times New Roman"/>
          <w:color w:val="auto"/>
          <w:szCs w:val="21"/>
          <w:highlight w:val="none"/>
        </w:rPr>
      </w:pPr>
    </w:p>
    <w:p w14:paraId="28DADF5F">
      <w:pPr>
        <w:rPr>
          <w:rFonts w:hint="default" w:ascii="Times New Roman" w:hAnsi="Times New Roman" w:eastAsia="黑体" w:cs="Times New Roman"/>
          <w:color w:val="auto"/>
          <w:szCs w:val="21"/>
          <w:highlight w:val="none"/>
        </w:rPr>
      </w:pPr>
    </w:p>
    <w:p w14:paraId="128109C5">
      <w:pPr>
        <w:spacing w:line="360" w:lineRule="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注：</w:t>
      </w:r>
      <w:r>
        <w:rPr>
          <w:rFonts w:hint="default" w:ascii="Times New Roman" w:hAnsi="Times New Roman" w:cs="Times New Roman"/>
          <w:color w:val="auto"/>
          <w:sz w:val="24"/>
          <w:highlight w:val="none"/>
        </w:rPr>
        <w:t>①</w:t>
      </w:r>
      <w:r>
        <w:rPr>
          <w:rFonts w:hint="default" w:ascii="Times New Roman" w:hAnsi="Times New Roman" w:eastAsia="黑体" w:cs="Times New Roman"/>
          <w:color w:val="auto"/>
          <w:sz w:val="24"/>
          <w:highlight w:val="none"/>
        </w:rPr>
        <w:t>如果由投标人的委托代理人签署投标文件，则只须按要求提供《授权委托书》；</w:t>
      </w:r>
    </w:p>
    <w:p w14:paraId="70719141">
      <w:pPr>
        <w:spacing w:line="360" w:lineRule="auto"/>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②</w:t>
      </w:r>
      <w:r>
        <w:rPr>
          <w:rFonts w:hint="default" w:ascii="Times New Roman" w:hAnsi="Times New Roman" w:eastAsia="黑体" w:cs="Times New Roman"/>
          <w:color w:val="auto"/>
          <w:sz w:val="24"/>
          <w:highlight w:val="none"/>
        </w:rPr>
        <w:t>如果由投标人的法定代表人签署投标文件，则只须按要求提供《法定代表人身份证明》。</w:t>
      </w:r>
    </w:p>
    <w:p w14:paraId="76D4B175">
      <w:pPr>
        <w:spacing w:line="360" w:lineRule="auto"/>
        <w:ind w:firstLine="480" w:firstLineChars="200"/>
        <w:rPr>
          <w:rFonts w:hint="default" w:ascii="Times New Roman" w:hAnsi="Times New Roman" w:eastAsia="黑体" w:cs="Times New Roman"/>
          <w:color w:val="auto"/>
          <w:sz w:val="24"/>
          <w:highlight w:val="none"/>
        </w:rPr>
      </w:pPr>
    </w:p>
    <w:p w14:paraId="3A1D896B">
      <w:pPr>
        <w:keepNext/>
        <w:keepLines/>
        <w:widowControl/>
        <w:tabs>
          <w:tab w:val="left" w:pos="1440"/>
        </w:tabs>
        <w:wordWrap w:val="0"/>
        <w:topLinePunct/>
        <w:spacing w:line="440" w:lineRule="exact"/>
        <w:jc w:val="center"/>
        <w:outlineLvl w:val="2"/>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bookmarkStart w:id="1932" w:name="_Toc1277"/>
      <w:bookmarkStart w:id="1933" w:name="_Toc500352764"/>
      <w:bookmarkStart w:id="1934" w:name="_Toc483640988"/>
      <w:bookmarkStart w:id="1935" w:name="_Toc495663699"/>
      <w:r>
        <w:rPr>
          <w:rFonts w:hint="default" w:ascii="Times New Roman" w:hAnsi="Times New Roman" w:eastAsia="黑体" w:cs="Times New Roman"/>
          <w:bCs/>
          <w:color w:val="auto"/>
          <w:kern w:val="0"/>
          <w:sz w:val="24"/>
          <w:highlight w:val="none"/>
        </w:rPr>
        <w:t>（一）授权委托书</w:t>
      </w:r>
      <w:bookmarkEnd w:id="1932"/>
    </w:p>
    <w:p w14:paraId="6590B1DA">
      <w:pPr>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（投标人名称）的法定代表人，现委托</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（姓名）为我方代理人。代理人根据授权，以我方名义签署、澄清确认、递交、撤回、修改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施工投标文件、签订合同和处理有关事宜，其法律后果由我方承担。</w:t>
      </w:r>
    </w:p>
    <w:p w14:paraId="1445CAE2">
      <w:pPr>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委托期限：自本委托书签署之日起至投标有效期期满。</w:t>
      </w:r>
    </w:p>
    <w:p w14:paraId="654AFD4B">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代理人无转委托权。</w:t>
      </w:r>
    </w:p>
    <w:p w14:paraId="245919A1">
      <w:pPr>
        <w:wordWrap w:val="0"/>
        <w:topLinePunct/>
        <w:spacing w:line="440" w:lineRule="exact"/>
        <w:ind w:firstLine="480" w:firstLineChars="200"/>
        <w:rPr>
          <w:rFonts w:hint="default" w:ascii="Times New Roman" w:hAnsi="Times New Roman" w:cs="Times New Roman"/>
          <w:color w:val="auto"/>
          <w:sz w:val="24"/>
          <w:highlight w:val="none"/>
        </w:rPr>
      </w:pPr>
    </w:p>
    <w:p w14:paraId="19176AA5">
      <w:pP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r>
        <w:rPr>
          <w:rFonts w:hint="default" w:ascii="Times New Roman" w:hAnsi="Times New Roman" w:eastAsia="黑体" w:cs="Times New Roman"/>
          <w:color w:val="auto"/>
          <w:sz w:val="24"/>
          <w:highlight w:val="none"/>
        </w:rPr>
        <w:t xml:space="preserve">       委托代理人身份证</w:t>
      </w:r>
      <w:r>
        <w:rPr>
          <w:rFonts w:hint="eastAsia" w:eastAsia="黑体" w:cs="Times New Roman"/>
          <w:color w:val="auto"/>
          <w:sz w:val="24"/>
          <w:highlight w:val="none"/>
          <w:lang w:val="en-US" w:eastAsia="zh-CN"/>
        </w:rPr>
        <w:t>原件扫描件</w:t>
      </w: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180B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533DD282">
            <w:pPr>
              <w:topLinePunct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（国徽面）</w:t>
            </w:r>
          </w:p>
        </w:tc>
        <w:tc>
          <w:tcPr>
            <w:tcW w:w="4644" w:type="dxa"/>
            <w:vAlign w:val="center"/>
          </w:tcPr>
          <w:p w14:paraId="0AF0A39B">
            <w:pPr>
              <w:topLinePun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（国徽面）</w:t>
            </w:r>
          </w:p>
        </w:tc>
      </w:tr>
      <w:tr w14:paraId="65B1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8" w:hRule="atLeast"/>
        </w:trPr>
        <w:tc>
          <w:tcPr>
            <w:tcW w:w="4645" w:type="dxa"/>
            <w:vAlign w:val="center"/>
          </w:tcPr>
          <w:p w14:paraId="324AF608">
            <w:pPr>
              <w:topLinePunct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（人像面）</w:t>
            </w:r>
          </w:p>
        </w:tc>
        <w:tc>
          <w:tcPr>
            <w:tcW w:w="4644" w:type="dxa"/>
            <w:vAlign w:val="center"/>
          </w:tcPr>
          <w:p w14:paraId="3AD2A76E">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（人像面）</w:t>
            </w:r>
          </w:p>
        </w:tc>
      </w:tr>
    </w:tbl>
    <w:p w14:paraId="30406EEF">
      <w:pPr>
        <w:wordWrap w:val="0"/>
        <w:topLinePunct/>
        <w:spacing w:line="440" w:lineRule="exact"/>
        <w:rPr>
          <w:rFonts w:hint="default" w:ascii="Times New Roman" w:hAnsi="Times New Roman" w:cs="Times New Roman"/>
          <w:color w:val="auto"/>
          <w:sz w:val="24"/>
          <w:highlight w:val="none"/>
        </w:rPr>
      </w:pPr>
    </w:p>
    <w:p w14:paraId="016139AA">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w:t>
      </w:r>
      <w:r>
        <w:rPr>
          <w:rFonts w:hint="default" w:ascii="Times New Roman" w:hAnsi="Times New Roman" w:cs="Times New Roman"/>
          <w:color w:val="auto"/>
          <w:sz w:val="24"/>
          <w:highlight w:val="none"/>
          <w:lang w:val="en-US" w:eastAsia="zh-CN"/>
        </w:rPr>
        <w:t>盖单位电子印章</w:t>
      </w:r>
      <w:r>
        <w:rPr>
          <w:rFonts w:hint="default" w:ascii="Times New Roman" w:hAnsi="Times New Roman" w:cs="Times New Roman"/>
          <w:color w:val="auto"/>
          <w:sz w:val="24"/>
          <w:highlight w:val="none"/>
        </w:rPr>
        <w:t>）</w:t>
      </w:r>
    </w:p>
    <w:p w14:paraId="77B09FF1">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78BC1CEF">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1619D71B">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p>
    <w:p w14:paraId="1CA82D51">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279C8D52">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58A5B440">
      <w:pPr>
        <w:wordWrap w:val="0"/>
        <w:topLinePunct/>
        <w:spacing w:line="400" w:lineRule="atLeast"/>
        <w:ind w:left="418" w:leftChars="199" w:firstLine="3720" w:firstLineChars="155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w:t>
      </w:r>
    </w:p>
    <w:p w14:paraId="10BED935">
      <w:pPr>
        <w:wordWrap w:val="0"/>
        <w:topLinePunct/>
        <w:spacing w:line="400" w:lineRule="atLeast"/>
        <w:ind w:firstLine="420" w:firstLineChars="200"/>
        <w:rPr>
          <w:rFonts w:hint="default" w:ascii="Times New Roman" w:hAnsi="Times New Roman" w:eastAsia="黑体" w:cs="Times New Roman"/>
          <w:color w:val="auto"/>
          <w:szCs w:val="21"/>
          <w:highlight w:val="none"/>
        </w:rPr>
      </w:pPr>
    </w:p>
    <w:p w14:paraId="4CE436CF">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以联合体形式投标的，本授权委托书应由联合体牵头人的法定代表人按上述规定签署。</w:t>
      </w:r>
    </w:p>
    <w:p w14:paraId="14183C44">
      <w:pPr>
        <w:spacing w:line="360" w:lineRule="auto"/>
        <w:ind w:firstLine="3360"/>
        <w:jc w:val="right"/>
        <w:rPr>
          <w:rFonts w:hint="default" w:ascii="Times New Roman" w:hAnsi="Times New Roman" w:eastAsia="仿宋_GB2312" w:cs="Times New Roman"/>
          <w:color w:val="auto"/>
          <w:sz w:val="32"/>
          <w:szCs w:val="32"/>
          <w:highlight w:val="none"/>
        </w:rPr>
      </w:pPr>
    </w:p>
    <w:p w14:paraId="1A0AE75B">
      <w:pPr>
        <w:keepNext/>
        <w:keepLines/>
        <w:widowControl/>
        <w:tabs>
          <w:tab w:val="left" w:pos="1440"/>
        </w:tabs>
        <w:wordWrap w:val="0"/>
        <w:topLinePunct/>
        <w:spacing w:line="440" w:lineRule="exact"/>
        <w:jc w:val="center"/>
        <w:outlineLvl w:val="2"/>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bookmarkStart w:id="1936" w:name="_Toc5869"/>
      <w:r>
        <w:rPr>
          <w:rFonts w:hint="default" w:ascii="Times New Roman" w:hAnsi="Times New Roman" w:eastAsia="黑体" w:cs="Times New Roman"/>
          <w:bCs/>
          <w:color w:val="auto"/>
          <w:kern w:val="0"/>
          <w:sz w:val="24"/>
          <w:highlight w:val="none"/>
        </w:rPr>
        <w:t>（二）法定代表人身份证明</w:t>
      </w:r>
      <w:bookmarkEnd w:id="1933"/>
      <w:bookmarkEnd w:id="1934"/>
      <w:bookmarkEnd w:id="1935"/>
      <w:bookmarkEnd w:id="1936"/>
    </w:p>
    <w:p w14:paraId="331F0BCB">
      <w:pPr>
        <w:rPr>
          <w:rFonts w:hint="default" w:ascii="Times New Roman" w:hAnsi="Times New Roman" w:cs="Times New Roman"/>
          <w:color w:val="auto"/>
          <w:highlight w:val="none"/>
        </w:rPr>
      </w:pPr>
    </w:p>
    <w:p w14:paraId="1610D116">
      <w:pPr>
        <w:rPr>
          <w:rFonts w:hint="default" w:ascii="Times New Roman" w:hAnsi="Times New Roman" w:cs="Times New Roman"/>
          <w:color w:val="auto"/>
          <w:highlight w:val="none"/>
        </w:rPr>
      </w:pPr>
    </w:p>
    <w:p w14:paraId="28AA48B8">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759D11B1">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姓名：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bCs/>
          <w:color w:val="auto"/>
          <w:sz w:val="24"/>
          <w:highlight w:val="none"/>
          <w:u w:val="single"/>
        </w:rPr>
        <w:t>（法定代表人个人</w:t>
      </w:r>
      <w:r>
        <w:rPr>
          <w:rFonts w:hint="eastAsia" w:cs="Times New Roman"/>
          <w:bCs/>
          <w:color w:val="auto"/>
          <w:sz w:val="24"/>
          <w:highlight w:val="none"/>
          <w:u w:val="single"/>
          <w:lang w:eastAsia="zh-CN"/>
        </w:rPr>
        <w:t>电子签名</w:t>
      </w:r>
      <w:r>
        <w:rPr>
          <w:rFonts w:hint="default" w:ascii="Times New Roman" w:hAnsi="Times New Roman" w:cs="Times New Roman"/>
          <w:bCs/>
          <w:color w:val="auto"/>
          <w:sz w:val="24"/>
          <w:highlight w:val="none"/>
          <w:u w:val="single"/>
        </w:rPr>
        <w:t>或个人电子印章）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性别：</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职务：</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（投标人名称）的法定代表人。</w:t>
      </w:r>
    </w:p>
    <w:p w14:paraId="70CA9C66">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特此证明。</w:t>
      </w:r>
    </w:p>
    <w:p w14:paraId="5A19F51E">
      <w:pPr>
        <w:wordWrap w:val="0"/>
        <w:topLinePunct/>
        <w:spacing w:line="440" w:lineRule="exact"/>
        <w:rPr>
          <w:rFonts w:hint="default" w:ascii="Times New Roman" w:hAnsi="Times New Roman" w:cs="Times New Roman"/>
          <w:color w:val="auto"/>
          <w:sz w:val="24"/>
          <w:highlight w:val="none"/>
        </w:rPr>
      </w:pPr>
    </w:p>
    <w:p w14:paraId="1540AC19">
      <w:pPr>
        <w:topLinePunct/>
        <w:spacing w:line="440" w:lineRule="exact"/>
        <w:jc w:val="center"/>
        <w:outlineLvl w:val="9"/>
        <w:rPr>
          <w:rFonts w:hint="default" w:ascii="Times New Roman" w:hAnsi="Times New Roman" w:eastAsia="黑体" w:cs="Times New Roman"/>
          <w:color w:val="auto"/>
          <w:sz w:val="24"/>
          <w:highlight w:val="none"/>
          <w:lang w:val="en-US" w:eastAsia="zh-CN"/>
        </w:rPr>
      </w:pPr>
      <w:bookmarkStart w:id="1937" w:name="_Toc15500"/>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bookmarkEnd w:id="1937"/>
    </w:p>
    <w:p w14:paraId="76A39701">
      <w:pPr>
        <w:ind w:firstLine="420"/>
        <w:rPr>
          <w:rFonts w:hint="default" w:ascii="Times New Roman" w:hAnsi="Times New Roman" w:cs="Times New Roman"/>
          <w:color w:val="auto"/>
          <w:highlight w:val="none"/>
        </w:rPr>
      </w:pP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6DB4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4645" w:type="dxa"/>
            <w:vAlign w:val="center"/>
          </w:tcPr>
          <w:p w14:paraId="015F392B">
            <w:pPr>
              <w:wordWrap w:val="0"/>
              <w:topLinePunct/>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国徽面</w:t>
            </w:r>
            <w:r>
              <w:rPr>
                <w:rFonts w:hint="default" w:ascii="Times New Roman" w:hAnsi="Times New Roman" w:cs="Times New Roman"/>
                <w:color w:val="auto"/>
                <w:sz w:val="24"/>
                <w:highlight w:val="none"/>
              </w:rPr>
              <w:t>）</w:t>
            </w:r>
          </w:p>
        </w:tc>
        <w:tc>
          <w:tcPr>
            <w:tcW w:w="4644" w:type="dxa"/>
            <w:vAlign w:val="center"/>
          </w:tcPr>
          <w:p w14:paraId="2C274DE5">
            <w:pPr>
              <w:wordWrap w:val="0"/>
              <w:topLinePunct/>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人像面</w:t>
            </w:r>
            <w:r>
              <w:rPr>
                <w:rFonts w:hint="default" w:ascii="Times New Roman" w:hAnsi="Times New Roman" w:cs="Times New Roman"/>
                <w:color w:val="auto"/>
                <w:sz w:val="24"/>
                <w:highlight w:val="none"/>
              </w:rPr>
              <w:t>）</w:t>
            </w:r>
          </w:p>
        </w:tc>
      </w:tr>
    </w:tbl>
    <w:p w14:paraId="52D969B6">
      <w:pPr>
        <w:wordWrap w:val="0"/>
        <w:topLinePunct/>
        <w:spacing w:line="440" w:lineRule="exact"/>
        <w:rPr>
          <w:rFonts w:hint="default" w:ascii="Times New Roman" w:hAnsi="Times New Roman" w:cs="Times New Roman"/>
          <w:color w:val="auto"/>
          <w:sz w:val="24"/>
          <w:highlight w:val="none"/>
        </w:rPr>
      </w:pPr>
    </w:p>
    <w:p w14:paraId="74C4C95C">
      <w:pPr>
        <w:wordWrap w:val="0"/>
        <w:topLinePunct/>
        <w:spacing w:line="440" w:lineRule="exact"/>
        <w:rPr>
          <w:rFonts w:hint="default" w:ascii="Times New Roman" w:hAnsi="Times New Roman" w:cs="Times New Roman"/>
          <w:color w:val="auto"/>
          <w:sz w:val="24"/>
          <w:highlight w:val="none"/>
        </w:rPr>
      </w:pPr>
    </w:p>
    <w:p w14:paraId="2B66CEBA">
      <w:pPr>
        <w:wordWrap w:val="0"/>
        <w:topLinePunct/>
        <w:spacing w:line="440" w:lineRule="exact"/>
        <w:rPr>
          <w:rFonts w:hint="default" w:ascii="Times New Roman" w:hAnsi="Times New Roman" w:cs="Times New Roman"/>
          <w:color w:val="auto"/>
          <w:sz w:val="24"/>
          <w:highlight w:val="none"/>
        </w:rPr>
      </w:pPr>
    </w:p>
    <w:p w14:paraId="0A8E5046">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65E3231E">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F99FD9C">
      <w:pPr>
        <w:wordWrap w:val="0"/>
        <w:topLinePunct/>
        <w:spacing w:line="440" w:lineRule="exact"/>
        <w:rPr>
          <w:rFonts w:hint="default" w:ascii="Times New Roman" w:hAnsi="Times New Roman" w:eastAsia="黑体" w:cs="Times New Roman"/>
          <w:color w:val="auto"/>
          <w:sz w:val="24"/>
          <w:highlight w:val="none"/>
        </w:rPr>
      </w:pPr>
    </w:p>
    <w:p w14:paraId="744D0E21">
      <w:pPr>
        <w:wordWrap w:val="0"/>
        <w:topLinePunct/>
        <w:spacing w:line="440" w:lineRule="exact"/>
        <w:rPr>
          <w:rFonts w:hint="default" w:ascii="Times New Roman" w:hAnsi="Times New Roman" w:eastAsia="黑体" w:cs="Times New Roman"/>
          <w:color w:val="auto"/>
          <w:sz w:val="24"/>
          <w:highlight w:val="none"/>
        </w:rPr>
      </w:pPr>
    </w:p>
    <w:p w14:paraId="72FAD2AE">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以联合体形式投标的，本法定代表人身份证明应由联合体牵头人的法定代表人按上述规定签署。</w:t>
      </w:r>
    </w:p>
    <w:p w14:paraId="7B378424">
      <w:pPr>
        <w:pStyle w:val="2"/>
        <w:pageBreakBefore w:val="0"/>
        <w:kinsoku/>
        <w:wordWrap w:val="0"/>
        <w:overflowPunct/>
        <w:bidi w:val="0"/>
        <w:spacing w:beforeLines="150" w:afterLines="100" w:line="380" w:lineRule="atLeast"/>
        <w:jc w:val="center"/>
        <w:outlineLvl w:val="9"/>
        <w:rPr>
          <w:rFonts w:hint="default" w:ascii="Times New Roman" w:hAnsi="Times New Roman" w:eastAsia="黑体" w:cs="Times New Roman"/>
          <w:color w:val="auto"/>
          <w:sz w:val="28"/>
          <w:szCs w:val="28"/>
          <w:highlight w:val="none"/>
        </w:rPr>
        <w:sectPr>
          <w:headerReference r:id="rId48" w:type="even"/>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433B2795">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color w:val="auto"/>
          <w:sz w:val="28"/>
          <w:szCs w:val="28"/>
          <w:highlight w:val="none"/>
        </w:rPr>
      </w:pPr>
      <w:bookmarkStart w:id="1938" w:name="_Toc29148"/>
      <w:bookmarkStart w:id="1939" w:name="_Toc12038"/>
      <w:bookmarkStart w:id="1940" w:name="_Toc21278"/>
      <w:r>
        <w:rPr>
          <w:rFonts w:hint="default" w:ascii="Times New Roman" w:hAnsi="Times New Roman" w:eastAsia="黑体" w:cs="Times New Roman"/>
          <w:color w:val="auto"/>
          <w:sz w:val="28"/>
          <w:szCs w:val="28"/>
          <w:highlight w:val="none"/>
        </w:rPr>
        <w:t>三、</w:t>
      </w:r>
      <w:r>
        <w:rPr>
          <w:rFonts w:hint="default" w:ascii="Times New Roman" w:hAnsi="Times New Roman" w:eastAsia="黑体" w:cs="Times New Roman"/>
          <w:b w:val="0"/>
          <w:color w:val="auto"/>
          <w:sz w:val="28"/>
          <w:szCs w:val="28"/>
          <w:highlight w:val="none"/>
        </w:rPr>
        <w:t>联合体协议书</w:t>
      </w:r>
      <w:r>
        <w:rPr>
          <w:rStyle w:val="47"/>
          <w:rFonts w:hint="default" w:ascii="Times New Roman" w:hAnsi="Times New Roman" w:eastAsia="黑体" w:cs="Times New Roman"/>
          <w:color w:val="auto"/>
          <w:sz w:val="28"/>
          <w:szCs w:val="28"/>
          <w:highlight w:val="none"/>
        </w:rPr>
        <w:footnoteReference w:id="58"/>
      </w:r>
      <w:bookmarkEnd w:id="1921"/>
      <w:bookmarkEnd w:id="1938"/>
      <w:bookmarkEnd w:id="1939"/>
      <w:bookmarkEnd w:id="1940"/>
    </w:p>
    <w:p w14:paraId="4555BF17">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p w14:paraId="41BD7FD6">
      <w:pPr>
        <w:pageBreakBefore w:val="0"/>
        <w:kinsoku/>
        <w:wordWrap w:val="0"/>
        <w:bidi w:val="0"/>
        <w:spacing w:line="400" w:lineRule="atLeast"/>
        <w:ind w:firstLine="36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u w:val="single"/>
        </w:rPr>
        <w:t xml:space="preserve">                </w:t>
      </w:r>
      <w:r>
        <w:rPr>
          <w:rFonts w:hint="default" w:ascii="Times New Roman" w:hAnsi="Times New Roman" w:eastAsia="黑体" w:cs="Times New Roman"/>
          <w:color w:val="auto"/>
          <w:sz w:val="24"/>
          <w:highlight w:val="none"/>
        </w:rPr>
        <w:t>（</w:t>
      </w:r>
      <w:r>
        <w:rPr>
          <w:rFonts w:hint="default" w:ascii="Times New Roman" w:hAnsi="Times New Roman" w:cs="Times New Roman"/>
          <w:color w:val="auto"/>
          <w:sz w:val="24"/>
          <w:highlight w:val="none"/>
        </w:rPr>
        <w:t>所有成员单位名称）自愿组成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（联合体名称）联合体，共同参加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标段</w:t>
      </w:r>
      <w:r>
        <w:rPr>
          <w:rFonts w:hint="default" w:ascii="Times New Roman" w:hAnsi="Times New Roman" w:cs="Times New Roman"/>
          <w:color w:val="auto"/>
          <w:sz w:val="24"/>
          <w:highlight w:val="none"/>
        </w:rPr>
        <w:t>名称）施工投标。现就联合体投标事宜订立如下协议。</w:t>
      </w:r>
    </w:p>
    <w:p w14:paraId="5EF751F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（某成员单位名称）为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（联合体名称）牵头人。</w:t>
      </w:r>
    </w:p>
    <w:p w14:paraId="7086C5F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2.联合体各成员授权牵头人代表联合体参加投标活动，签署文件，提交和接收相</w:t>
      </w:r>
      <w:bookmarkStart w:id="1941" w:name="_Toc384308378"/>
      <w:bookmarkStart w:id="1942" w:name="_Toc144974859"/>
      <w:bookmarkStart w:id="1943" w:name="_Toc152042579"/>
      <w:bookmarkStart w:id="1944" w:name="_Toc300835212"/>
      <w:bookmarkStart w:id="1945" w:name="_Toc247514249"/>
      <w:bookmarkStart w:id="1946" w:name="_Toc247527830"/>
      <w:bookmarkStart w:id="1947" w:name="_Toc152045790"/>
      <w:bookmarkStart w:id="1948" w:name="_Toc361508755"/>
      <w:r>
        <w:rPr>
          <w:rFonts w:hint="default" w:ascii="Times New Roman" w:hAnsi="Times New Roman" w:cs="Times New Roman"/>
          <w:color w:val="auto"/>
          <w:sz w:val="24"/>
          <w:highlight w:val="none"/>
        </w:rPr>
        <w:t>关的</w:t>
      </w:r>
      <w:bookmarkStart w:id="1949" w:name="_Toc369531700"/>
      <w:bookmarkStart w:id="1950" w:name="_Toc352691664"/>
      <w:bookmarkStart w:id="1951" w:name="_Toc7749"/>
      <w:r>
        <w:rPr>
          <w:rFonts w:hint="default" w:ascii="Times New Roman" w:hAnsi="Times New Roman" w:cs="Times New Roman"/>
          <w:color w:val="auto"/>
          <w:sz w:val="24"/>
          <w:highlight w:val="none"/>
        </w:rPr>
        <w:t>资料、信息及</w:t>
      </w:r>
      <w:bookmarkEnd w:id="1949"/>
      <w:bookmarkEnd w:id="1950"/>
      <w:bookmarkEnd w:id="1951"/>
      <w:r>
        <w:rPr>
          <w:rFonts w:hint="default" w:ascii="Times New Roman" w:hAnsi="Times New Roman" w:cs="Times New Roman"/>
          <w:color w:val="auto"/>
          <w:sz w:val="24"/>
          <w:highlight w:val="none"/>
        </w:rPr>
        <w:t>指</w:t>
      </w:r>
      <w:bookmarkEnd w:id="1941"/>
      <w:bookmarkEnd w:id="1942"/>
      <w:bookmarkEnd w:id="1943"/>
      <w:bookmarkEnd w:id="1944"/>
      <w:bookmarkEnd w:id="1945"/>
      <w:bookmarkEnd w:id="1946"/>
      <w:bookmarkEnd w:id="1947"/>
      <w:bookmarkEnd w:id="1948"/>
      <w:r>
        <w:rPr>
          <w:rFonts w:hint="default" w:ascii="Times New Roman" w:hAnsi="Times New Roman" w:cs="Times New Roman"/>
          <w:color w:val="auto"/>
          <w:sz w:val="24"/>
          <w:highlight w:val="none"/>
        </w:rPr>
        <w:t>示，进行合同谈判活动，负责合同实施阶段的组织和协调工作，以及处理与本招标项目有关的一切事宜。</w:t>
      </w:r>
    </w:p>
    <w:p w14:paraId="202B3B0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02B2398B">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4.联合体各成员单位内部的职责分工如下：</w:t>
      </w:r>
      <w:r>
        <w:rPr>
          <w:rFonts w:hint="default" w:ascii="Times New Roman" w:hAnsi="Times New Roman" w:cs="Times New Roman"/>
          <w:color w:val="auto"/>
          <w:sz w:val="24"/>
          <w:highlight w:val="none"/>
          <w:u w:val="single"/>
        </w:rPr>
        <w:t>（牵头人名称）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Style w:val="47"/>
          <w:rFonts w:hint="default" w:ascii="Times New Roman" w:hAnsi="Times New Roman" w:cs="Times New Roman"/>
          <w:color w:val="auto"/>
          <w:sz w:val="24"/>
          <w:highlight w:val="none"/>
        </w:rPr>
        <w:footnoteReference w:id="59"/>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（成员一名称）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7DA4A5F2">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5.投标工作和联合体在中标后工程实施过程中的有关费用按各自承担的工作量分摊。</w:t>
      </w:r>
    </w:p>
    <w:p w14:paraId="2C39755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6.本协议书自所有成员单位法定代表人签字并加盖单位章之日起生效，合同履行完毕后自动失效。</w:t>
      </w:r>
    </w:p>
    <w:p w14:paraId="346686C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bookmarkStart w:id="1952" w:name="_Toc8257"/>
      <w:bookmarkStart w:id="1953" w:name="_Toc26822"/>
      <w:r>
        <w:rPr>
          <w:rFonts w:hint="default" w:ascii="Times New Roman" w:hAnsi="Times New Roman" w:cs="Times New Roman"/>
          <w:color w:val="auto"/>
          <w:sz w:val="24"/>
          <w:highlight w:val="none"/>
        </w:rPr>
        <w:t>7.本协议书一式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份，联合体成员和招标人各执一份。</w:t>
      </w:r>
      <w:bookmarkEnd w:id="1952"/>
      <w:bookmarkEnd w:id="1953"/>
    </w:p>
    <w:p w14:paraId="37F7392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3CA462E2">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联合体牵头人名称：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1F82F8DF">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425F7A9B">
      <w:pPr>
        <w:topLinePunct/>
        <w:spacing w:line="400" w:lineRule="atLeast"/>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3796C82D">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联合体成员名称：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26E88A75">
      <w:pPr>
        <w:pageBreakBefore w:val="0"/>
        <w:kinsoku/>
        <w:wordWrap w:val="0"/>
        <w:overflow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227813F4">
      <w:pPr>
        <w:pageBreakBefore w:val="0"/>
        <w:kinsoku/>
        <w:wordWrap w:val="0"/>
        <w:overflowPunct/>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w:t>
      </w:r>
    </w:p>
    <w:p w14:paraId="5463C395">
      <w:pPr>
        <w:pageBreakBefore w:val="0"/>
        <w:kinsoku/>
        <w:wordWrap w:val="0"/>
        <w:bidi w:val="0"/>
        <w:spacing w:line="400" w:lineRule="atLeast"/>
        <w:ind w:firstLine="4620" w:firstLineChars="1925"/>
        <w:rPr>
          <w:rFonts w:hint="default" w:ascii="Times New Roman" w:hAnsi="Times New Roman" w:eastAsia="黑体" w:cs="Times New Roman"/>
          <w:color w:val="auto"/>
          <w:sz w:val="24"/>
          <w:highlight w:val="none"/>
          <w:u w:val="singl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33C4BDDD">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rPr>
      </w:pPr>
      <w:bookmarkStart w:id="1954" w:name="_Toc234833262"/>
      <w:r>
        <w:rPr>
          <w:rFonts w:hint="default" w:ascii="Times New Roman" w:hAnsi="Times New Roman" w:eastAsia="黑体" w:cs="Times New Roman"/>
          <w:b w:val="0"/>
          <w:color w:val="auto"/>
          <w:sz w:val="28"/>
          <w:szCs w:val="28"/>
          <w:highlight w:val="none"/>
        </w:rPr>
        <w:br w:type="page"/>
      </w:r>
      <w:bookmarkStart w:id="1955" w:name="_Toc21516"/>
      <w:bookmarkStart w:id="1956" w:name="_Toc3440"/>
      <w:bookmarkStart w:id="1957" w:name="_Toc25301"/>
      <w:r>
        <w:rPr>
          <w:rFonts w:hint="default" w:ascii="Times New Roman" w:hAnsi="Times New Roman" w:eastAsia="黑体" w:cs="Times New Roman"/>
          <w:b w:val="0"/>
          <w:color w:val="auto"/>
          <w:sz w:val="28"/>
          <w:szCs w:val="28"/>
          <w:highlight w:val="none"/>
        </w:rPr>
        <w:t>四、投标保证金</w:t>
      </w:r>
      <w:bookmarkEnd w:id="1954"/>
      <w:bookmarkEnd w:id="1955"/>
      <w:bookmarkEnd w:id="1956"/>
      <w:bookmarkEnd w:id="1957"/>
    </w:p>
    <w:p w14:paraId="1B4F15C8">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4C1EA4DF">
      <w:pPr>
        <w:spacing w:line="400" w:lineRule="atLeast"/>
        <w:ind w:firstLine="508" w:firstLineChars="21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若采用现金，投标人应在此提供汇款凭证的</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w:t>
      </w:r>
    </w:p>
    <w:p w14:paraId="6B8B6226">
      <w:pPr>
        <w:spacing w:line="40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若采用电子保函，</w:t>
      </w:r>
      <w:r>
        <w:rPr>
          <w:rFonts w:hint="default" w:ascii="Times New Roman" w:hAnsi="Times New Roman" w:cs="Times New Roman"/>
          <w:color w:val="auto"/>
          <w:sz w:val="24"/>
          <w:highlight w:val="none"/>
        </w:rPr>
        <w:t>投标人应在此提供</w:t>
      </w:r>
      <w:r>
        <w:rPr>
          <w:rFonts w:hint="default" w:ascii="Times New Roman" w:hAnsi="Times New Roman" w:cs="Times New Roman"/>
          <w:b w:val="0"/>
          <w:bCs w:val="0"/>
          <w:color w:val="auto"/>
          <w:sz w:val="24"/>
          <w:szCs w:val="24"/>
          <w:highlight w:val="none"/>
          <w:lang w:val="en-US" w:eastAsia="zh-CN"/>
        </w:rPr>
        <w:t>电子化保函验真渠道和从投标人基本账户支出</w:t>
      </w:r>
      <w:r>
        <w:rPr>
          <w:rFonts w:hint="eastAsia" w:cs="Times New Roman"/>
          <w:b w:val="0"/>
          <w:bCs w:val="0"/>
          <w:color w:val="auto"/>
          <w:sz w:val="24"/>
          <w:szCs w:val="24"/>
          <w:highlight w:val="none"/>
          <w:lang w:val="en-US" w:eastAsia="zh-CN"/>
        </w:rPr>
        <w:t>的</w:t>
      </w:r>
      <w:r>
        <w:rPr>
          <w:rFonts w:hint="default" w:ascii="Times New Roman" w:hAnsi="Times New Roman" w:cs="Times New Roman"/>
          <w:b w:val="0"/>
          <w:bCs w:val="0"/>
          <w:color w:val="auto"/>
          <w:sz w:val="24"/>
          <w:szCs w:val="24"/>
          <w:highlight w:val="none"/>
          <w:lang w:val="en-US" w:eastAsia="zh-CN"/>
        </w:rPr>
        <w:t>保函财务费用支付</w:t>
      </w:r>
      <w:r>
        <w:rPr>
          <w:rFonts w:hint="eastAsia" w:cs="Times New Roman"/>
          <w:b w:val="0"/>
          <w:bCs w:val="0"/>
          <w:color w:val="auto"/>
          <w:sz w:val="24"/>
          <w:szCs w:val="24"/>
          <w:highlight w:val="none"/>
          <w:lang w:val="en-US" w:eastAsia="zh-CN"/>
        </w:rPr>
        <w:t>凭证</w:t>
      </w:r>
      <w:r>
        <w:rPr>
          <w:rFonts w:hint="default" w:ascii="Times New Roman" w:hAnsi="Times New Roman" w:cs="Times New Roman"/>
          <w:b w:val="0"/>
          <w:bCs w:val="0"/>
          <w:color w:val="auto"/>
          <w:sz w:val="24"/>
          <w:szCs w:val="24"/>
          <w:highlight w:val="none"/>
          <w:lang w:val="en-US" w:eastAsia="zh-CN"/>
        </w:rPr>
        <w:t>。</w:t>
      </w:r>
    </w:p>
    <w:p w14:paraId="3D706224">
      <w:pPr>
        <w:spacing w:line="400" w:lineRule="exac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lang w:val="en-US" w:eastAsia="zh-CN"/>
        </w:rPr>
        <w:t>若</w:t>
      </w:r>
      <w:r>
        <w:rPr>
          <w:rFonts w:hint="default" w:ascii="Times New Roman" w:hAnsi="Times New Roman" w:cs="Times New Roman"/>
          <w:color w:val="auto"/>
          <w:sz w:val="24"/>
          <w:highlight w:val="none"/>
        </w:rPr>
        <w:t>采用银行保函，投标人应在此提供银行保函</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，格式如下。</w:t>
      </w:r>
    </w:p>
    <w:p w14:paraId="5068F21D">
      <w:pPr>
        <w:spacing w:line="400" w:lineRule="exact"/>
        <w:ind w:firstLine="480" w:firstLineChars="200"/>
        <w:rPr>
          <w:rFonts w:hint="default" w:ascii="Times New Roman" w:hAnsi="Times New Roman" w:cs="Times New Roman"/>
          <w:color w:val="auto"/>
          <w:sz w:val="24"/>
          <w:highlight w:val="none"/>
        </w:rPr>
      </w:pPr>
    </w:p>
    <w:p w14:paraId="744560AF">
      <w:pPr>
        <w:spacing w:line="400" w:lineRule="exact"/>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投标保函</w:t>
      </w:r>
    </w:p>
    <w:p w14:paraId="7337287E">
      <w:pPr>
        <w:spacing w:line="400" w:lineRule="exact"/>
        <w:rPr>
          <w:rFonts w:hint="default" w:ascii="Times New Roman" w:hAnsi="Times New Roman" w:cs="Times New Roman"/>
          <w:color w:val="auto"/>
          <w:sz w:val="24"/>
          <w:highlight w:val="none"/>
          <w:u w:val="single"/>
        </w:rPr>
      </w:pPr>
    </w:p>
    <w:p w14:paraId="1272D38F">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你方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64EC3549">
      <w:pPr>
        <w:spacing w:line="400" w:lineRule="exact"/>
        <w:jc w:val="center"/>
        <w:rPr>
          <w:rFonts w:hint="default" w:ascii="Times New Roman" w:hAnsi="Times New Roman" w:cs="Times New Roman"/>
          <w:color w:val="auto"/>
          <w:sz w:val="24"/>
          <w:highlight w:val="none"/>
        </w:rPr>
      </w:pPr>
    </w:p>
    <w:p w14:paraId="2E6F8D92">
      <w:pPr>
        <w:wordWrap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（投标人名称）（以下称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eastAsia" w:cs="Times New Roman"/>
          <w:color w:val="auto"/>
          <w:sz w:val="24"/>
          <w:highlight w:val="none"/>
          <w:lang w:val="en-US" w:eastAsia="zh-CN"/>
        </w:rPr>
        <w:t>施工</w:t>
      </w:r>
      <w:r>
        <w:rPr>
          <w:rFonts w:hint="default" w:ascii="Times New Roman" w:hAnsi="Times New Roman" w:cs="Times New Roman"/>
          <w:color w:val="auto"/>
          <w:sz w:val="24"/>
          <w:highlight w:val="none"/>
        </w:rPr>
        <w:t>的投标，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（担保人名称，以下简称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我方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投标人发生以上任一情况时，收到你方书面通知后，我方在7日内向你方无条件支付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p>
    <w:p w14:paraId="007F8D10">
      <w:pPr>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本保函在投标有效期或经延长的投标有效期内保持有效。要求我方承担保证责任的通知应在上述期限内送达我方。你方延长投标有效期的决定，应通知我方。</w:t>
      </w:r>
    </w:p>
    <w:p w14:paraId="39E180DD">
      <w:pPr>
        <w:rPr>
          <w:rFonts w:hint="default" w:ascii="Times New Roman" w:hAnsi="Times New Roman" w:cs="Times New Roman"/>
          <w:color w:val="auto"/>
          <w:sz w:val="24"/>
          <w:highlight w:val="none"/>
        </w:rPr>
      </w:pPr>
    </w:p>
    <w:p w14:paraId="1C2DA9EB">
      <w:pPr>
        <w:rPr>
          <w:rFonts w:hint="default" w:ascii="Times New Roman" w:hAnsi="Times New Roman" w:cs="Times New Roman"/>
          <w:color w:val="auto"/>
          <w:sz w:val="24"/>
          <w:highlight w:val="none"/>
        </w:rPr>
      </w:pPr>
    </w:p>
    <w:p w14:paraId="029E7BF7">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7CF09442">
      <w:pPr>
        <w:autoSpaceDE w:val="0"/>
        <w:autoSpaceDN w:val="0"/>
        <w:adjustRightInd w:val="0"/>
        <w:spacing w:line="400" w:lineRule="atLeast"/>
        <w:ind w:firstLine="2400" w:firstLineChars="10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担保人法定代表人或其委托代理人（签字）：</w:t>
      </w:r>
      <w:r>
        <w:rPr>
          <w:rFonts w:hint="default" w:ascii="Times New Roman" w:hAnsi="Times New Roman" w:cs="Times New Roman"/>
          <w:color w:val="auto"/>
          <w:sz w:val="24"/>
          <w:highlight w:val="none"/>
          <w:u w:val="single"/>
        </w:rPr>
        <w:t xml:space="preserve">                 </w:t>
      </w:r>
    </w:p>
    <w:p w14:paraId="02F6ED37">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担保人地址：</w:t>
      </w:r>
      <w:r>
        <w:rPr>
          <w:rFonts w:hint="default" w:ascii="Times New Roman" w:hAnsi="Times New Roman" w:cs="Times New Roman"/>
          <w:color w:val="auto"/>
          <w:sz w:val="24"/>
          <w:highlight w:val="none"/>
          <w:u w:val="single"/>
        </w:rPr>
        <w:t xml:space="preserve">                                        </w:t>
      </w:r>
    </w:p>
    <w:p w14:paraId="398951B1">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担保人电话：</w:t>
      </w:r>
      <w:r>
        <w:rPr>
          <w:rFonts w:hint="default" w:ascii="Times New Roman" w:hAnsi="Times New Roman" w:cs="Times New Roman"/>
          <w:color w:val="auto"/>
          <w:sz w:val="24"/>
          <w:highlight w:val="none"/>
          <w:u w:val="single"/>
        </w:rPr>
        <w:t xml:space="preserve">                  </w:t>
      </w:r>
    </w:p>
    <w:p w14:paraId="1AE8CAAE">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担保人传真：</w:t>
      </w:r>
      <w:r>
        <w:rPr>
          <w:rFonts w:hint="default" w:ascii="Times New Roman" w:hAnsi="Times New Roman" w:cs="Times New Roman"/>
          <w:color w:val="auto"/>
          <w:sz w:val="24"/>
          <w:highlight w:val="none"/>
          <w:u w:val="single"/>
        </w:rPr>
        <w:t xml:space="preserve">                  </w:t>
      </w:r>
    </w:p>
    <w:p w14:paraId="25D21CB8">
      <w:pPr>
        <w:pageBreakBefore w:val="0"/>
        <w:kinsoku/>
        <w:wordWrap w:val="0"/>
        <w:overflowPunct/>
        <w:bidi w:val="0"/>
        <w:spacing w:line="440" w:lineRule="exact"/>
        <w:ind w:firstLine="5040" w:firstLineChars="2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5A541CD3">
      <w:pPr>
        <w:pageBreakBefore w:val="0"/>
        <w:kinsoku/>
        <w:wordWrap w:val="0"/>
        <w:bidi w:val="0"/>
        <w:spacing w:line="440" w:lineRule="exact"/>
        <w:rPr>
          <w:rFonts w:hint="default" w:ascii="Times New Roman" w:hAnsi="Times New Roman" w:cs="Times New Roman"/>
          <w:color w:val="auto"/>
          <w:sz w:val="24"/>
          <w:highlight w:val="none"/>
        </w:rPr>
      </w:pPr>
    </w:p>
    <w:p w14:paraId="0856AC06">
      <w:pPr>
        <w:pageBreakBefore w:val="0"/>
        <w:kinsoku/>
        <w:wordWrap w:val="0"/>
        <w:bidi w:val="0"/>
        <w:spacing w:line="440" w:lineRule="exact"/>
        <w:rPr>
          <w:rFonts w:hint="default" w:ascii="Times New Roman" w:hAnsi="Times New Roman" w:eastAsia="黑体" w:cs="Times New Roman"/>
          <w:color w:val="auto"/>
          <w:sz w:val="24"/>
          <w:highlight w:val="none"/>
        </w:rPr>
      </w:pPr>
    </w:p>
    <w:p w14:paraId="6B6EFAB5">
      <w:pPr>
        <w:pageBreakBefore w:val="0"/>
        <w:kinsoku/>
        <w:wordWrap w:val="0"/>
        <w:bidi w:val="0"/>
        <w:spacing w:line="440" w:lineRule="exact"/>
        <w:rPr>
          <w:rFonts w:hint="default" w:ascii="Times New Roman" w:hAnsi="Times New Roman" w:eastAsia="黑体" w:cs="Times New Roman"/>
          <w:color w:val="auto"/>
          <w:sz w:val="24"/>
          <w:highlight w:val="none"/>
        </w:rPr>
      </w:pPr>
    </w:p>
    <w:p w14:paraId="207018A3">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lang w:eastAsia="zh-CN"/>
        </w:rPr>
      </w:pPr>
      <w:bookmarkStart w:id="1958" w:name="_Toc234833264"/>
      <w:r>
        <w:rPr>
          <w:rFonts w:hint="default" w:ascii="Times New Roman" w:hAnsi="Times New Roman" w:eastAsia="黑体" w:cs="Times New Roman"/>
          <w:b w:val="0"/>
          <w:color w:val="auto"/>
          <w:sz w:val="28"/>
          <w:szCs w:val="28"/>
          <w:highlight w:val="none"/>
        </w:rPr>
        <w:br w:type="page"/>
      </w:r>
      <w:bookmarkStart w:id="1959" w:name="_Toc3268"/>
      <w:bookmarkStart w:id="1960" w:name="_Toc14539"/>
      <w:bookmarkStart w:id="1961" w:name="_Toc27090"/>
      <w:r>
        <w:rPr>
          <w:rFonts w:hint="default" w:ascii="Times New Roman" w:hAnsi="Times New Roman" w:eastAsia="黑体" w:cs="Times New Roman"/>
          <w:b w:val="0"/>
          <w:color w:val="auto"/>
          <w:sz w:val="28"/>
          <w:szCs w:val="28"/>
          <w:highlight w:val="none"/>
        </w:rPr>
        <w:t>五、施工组织设计</w:t>
      </w:r>
      <w:bookmarkEnd w:id="1959"/>
      <w:bookmarkEnd w:id="1960"/>
      <w:bookmarkEnd w:id="1961"/>
    </w:p>
    <w:p w14:paraId="2E10A23B">
      <w:pPr>
        <w:pageBreakBefore w:val="0"/>
        <w:kinsoku/>
        <w:wordWrap w:val="0"/>
        <w:bidi w:val="0"/>
        <w:jc w:val="center"/>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（适用于合理低价法和经评审的最低投标价法）</w:t>
      </w:r>
    </w:p>
    <w:p w14:paraId="3ACE575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562EC56">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投标人应按以下要点编制施工组织设计（文字宜精炼、内容具有针对性）：</w:t>
      </w:r>
    </w:p>
    <w:p w14:paraId="2A4470DC">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1.总体施工组织布置及规划</w:t>
      </w:r>
    </w:p>
    <w:p w14:paraId="2C87318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2.重点、关键和难点工程的施工方案</w:t>
      </w:r>
    </w:p>
    <w:p w14:paraId="07FD9D0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3.工期关键线路图及保证措施</w:t>
      </w:r>
    </w:p>
    <w:p w14:paraId="3558085A">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4.关键工程质量保证措施</w:t>
      </w:r>
    </w:p>
    <w:p w14:paraId="01CF1454">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5.安全保证措施</w:t>
      </w:r>
    </w:p>
    <w:p w14:paraId="5CE73016">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6.环境保护、水土保持、文明施工、文物保护保证措施</w:t>
      </w:r>
    </w:p>
    <w:p w14:paraId="049DEFD2">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7.项目风险预测与防范，事故应急预案</w:t>
      </w:r>
    </w:p>
    <w:p w14:paraId="195FD140">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8.其他应说明的事项</w:t>
      </w:r>
    </w:p>
    <w:p w14:paraId="2A234B4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p>
    <w:p w14:paraId="1DC3E517">
      <w:pPr>
        <w:pageBreakBefore w:val="0"/>
        <w:kinsoku/>
        <w:wordWrap w:val="0"/>
        <w:bidi w:val="0"/>
        <w:spacing w:before="0" w:after="0" w:line="380" w:lineRule="atLeast"/>
        <w:outlineLvl w:val="9"/>
        <w:rPr>
          <w:rFonts w:hint="default" w:ascii="Times New Roman" w:hAnsi="Times New Roman" w:eastAsia="黑体" w:cs="Times New Roman"/>
          <w:color w:val="auto"/>
          <w:sz w:val="27"/>
          <w:szCs w:val="27"/>
          <w:highlight w:val="none"/>
        </w:rPr>
      </w:pPr>
      <w:r>
        <w:rPr>
          <w:rFonts w:hint="default" w:ascii="Times New Roman" w:hAnsi="Times New Roman" w:eastAsia="黑体" w:cs="Times New Roman"/>
          <w:b w:val="0"/>
          <w:color w:val="auto"/>
          <w:sz w:val="28"/>
          <w:szCs w:val="28"/>
          <w:highlight w:val="none"/>
        </w:rPr>
        <w:br w:type="page"/>
      </w:r>
      <w:bookmarkEnd w:id="1958"/>
    </w:p>
    <w:p w14:paraId="345FFD36">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rPr>
      </w:pPr>
      <w:bookmarkStart w:id="1962" w:name="_Toc12366"/>
      <w:bookmarkStart w:id="1963" w:name="_Toc5183"/>
      <w:bookmarkStart w:id="1964" w:name="_Toc234833275"/>
      <w:bookmarkStart w:id="1965" w:name="_Toc7173"/>
      <w:r>
        <w:rPr>
          <w:rFonts w:hint="default" w:ascii="Times New Roman" w:hAnsi="Times New Roman" w:eastAsia="黑体" w:cs="Times New Roman"/>
          <w:b w:val="0"/>
          <w:color w:val="auto"/>
          <w:sz w:val="28"/>
          <w:szCs w:val="28"/>
          <w:highlight w:val="none"/>
        </w:rPr>
        <w:t>六、项目管理机构</w:t>
      </w:r>
      <w:bookmarkEnd w:id="1962"/>
      <w:bookmarkEnd w:id="1963"/>
      <w:bookmarkEnd w:id="1964"/>
      <w:bookmarkEnd w:id="1965"/>
    </w:p>
    <w:p w14:paraId="144E910B">
      <w:pPr>
        <w:pageBreakBefore w:val="0"/>
        <w:kinsoku/>
        <w:wordWrap w:val="0"/>
        <w:bidi w:val="0"/>
        <w:spacing w:before="0" w:after="0" w:line="380" w:lineRule="atLeast"/>
        <w:outlineLvl w:val="9"/>
        <w:rPr>
          <w:rFonts w:hint="default" w:ascii="Times New Roman" w:hAnsi="Times New Roman" w:eastAsia="黑体" w:cs="Times New Roman"/>
          <w:b w:val="0"/>
          <w:color w:val="auto"/>
          <w:sz w:val="28"/>
          <w:szCs w:val="28"/>
          <w:highlight w:val="none"/>
        </w:rPr>
      </w:pPr>
    </w:p>
    <w:p w14:paraId="1BFAB566">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tbl>
      <w:tblPr>
        <w:tblStyle w:val="3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4"/>
      </w:tblGrid>
      <w:tr w14:paraId="145D1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0" w:hRule="atLeast"/>
        </w:trPr>
        <w:tc>
          <w:tcPr>
            <w:tcW w:w="8724" w:type="dxa"/>
            <w:tcBorders>
              <w:bottom w:val="single" w:color="auto" w:sz="6" w:space="0"/>
            </w:tcBorders>
            <w:noWrap w:val="0"/>
            <w:vAlign w:val="top"/>
          </w:tcPr>
          <w:p w14:paraId="2259A31B">
            <w:pPr>
              <w:pageBreakBefore w:val="0"/>
              <w:kinsoku/>
              <w:wordWrap w:val="0"/>
              <w:bidi w:val="0"/>
              <w:spacing w:line="520" w:lineRule="atLeast"/>
              <w:ind w:left="266" w:hanging="266"/>
              <w:rPr>
                <w:rFonts w:hint="default" w:ascii="Times New Roman" w:hAnsi="Times New Roman" w:cs="Times New Roman"/>
                <w:color w:val="auto"/>
                <w:szCs w:val="21"/>
                <w:highlight w:val="none"/>
              </w:rPr>
            </w:pPr>
          </w:p>
          <w:p w14:paraId="71E59562">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拟为承包本标段工程设立的组织机构以框图方式表示。</w:t>
            </w:r>
          </w:p>
          <w:p w14:paraId="0C2396A2">
            <w:pPr>
              <w:pageBreakBefore w:val="0"/>
              <w:kinsoku/>
              <w:wordWrap w:val="0"/>
              <w:bidi w:val="0"/>
              <w:spacing w:line="520" w:lineRule="atLeast"/>
              <w:rPr>
                <w:rFonts w:hint="default" w:ascii="Times New Roman" w:hAnsi="Times New Roman" w:cs="Times New Roman"/>
                <w:color w:val="auto"/>
                <w:szCs w:val="21"/>
                <w:highlight w:val="none"/>
              </w:rPr>
            </w:pPr>
          </w:p>
          <w:p w14:paraId="6188410A">
            <w:pPr>
              <w:pageBreakBefore w:val="0"/>
              <w:kinsoku/>
              <w:wordWrap w:val="0"/>
              <w:bidi w:val="0"/>
              <w:spacing w:line="520" w:lineRule="atLeast"/>
              <w:rPr>
                <w:rFonts w:hint="default" w:ascii="Times New Roman" w:hAnsi="Times New Roman" w:cs="Times New Roman"/>
                <w:color w:val="auto"/>
                <w:szCs w:val="21"/>
                <w:highlight w:val="none"/>
              </w:rPr>
            </w:pPr>
          </w:p>
          <w:p w14:paraId="70C81EF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560B9AC4">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718554DF">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09270658">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3E0E4F62">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5BAF2EA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1791A0FA">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2C2E095D">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6B78BD7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7B31DAAD">
            <w:pPr>
              <w:pageBreakBefore w:val="0"/>
              <w:kinsoku/>
              <w:wordWrap w:val="0"/>
              <w:bidi w:val="0"/>
              <w:spacing w:line="520" w:lineRule="atLeast"/>
              <w:rPr>
                <w:rFonts w:hint="default" w:ascii="Times New Roman" w:hAnsi="Times New Roman" w:cs="Times New Roman"/>
                <w:color w:val="auto"/>
                <w:szCs w:val="21"/>
                <w:highlight w:val="none"/>
              </w:rPr>
            </w:pPr>
          </w:p>
          <w:p w14:paraId="3D2DC79F">
            <w:pPr>
              <w:pageBreakBefore w:val="0"/>
              <w:kinsoku/>
              <w:wordWrap w:val="0"/>
              <w:bidi w:val="0"/>
              <w:spacing w:line="520" w:lineRule="atLeast"/>
              <w:rPr>
                <w:rFonts w:hint="default" w:ascii="Times New Roman" w:hAnsi="Times New Roman" w:cs="Times New Roman"/>
                <w:color w:val="auto"/>
                <w:szCs w:val="21"/>
                <w:highlight w:val="none"/>
              </w:rPr>
            </w:pPr>
          </w:p>
        </w:tc>
      </w:tr>
      <w:tr w14:paraId="5F1FC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05" w:hRule="atLeast"/>
        </w:trPr>
        <w:tc>
          <w:tcPr>
            <w:tcW w:w="8724" w:type="dxa"/>
            <w:noWrap w:val="0"/>
            <w:vAlign w:val="top"/>
          </w:tcPr>
          <w:p w14:paraId="169C0A65">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7F520A8D">
            <w:pPr>
              <w:pageBreakBefore w:val="0"/>
              <w:kinsoku/>
              <w:wordWrap w:val="0"/>
              <w:bidi w:val="0"/>
              <w:spacing w:line="520" w:lineRule="atLeast"/>
              <w:jc w:val="center"/>
              <w:rPr>
                <w:rFonts w:hint="default" w:ascii="Times New Roman" w:hAnsi="Times New Roman" w:cs="Times New Roman"/>
                <w:color w:val="auto"/>
                <w:szCs w:val="21"/>
                <w:highlight w:val="none"/>
              </w:rPr>
            </w:pPr>
          </w:p>
          <w:p w14:paraId="347AD212">
            <w:pPr>
              <w:pageBreakBefore w:val="0"/>
              <w:kinsoku/>
              <w:wordWrap w:val="0"/>
              <w:bidi w:val="0"/>
              <w:spacing w:line="520" w:lineRule="atLeast"/>
              <w:jc w:val="center"/>
              <w:rPr>
                <w:rFonts w:hint="default" w:ascii="Times New Roman" w:hAnsi="Times New Roman" w:cs="Times New Roman"/>
                <w:color w:val="auto"/>
                <w:szCs w:val="21"/>
                <w:highlight w:val="none"/>
              </w:rPr>
            </w:pPr>
          </w:p>
          <w:p w14:paraId="2A2189AB">
            <w:pPr>
              <w:pageBreakBefore w:val="0"/>
              <w:kinsoku/>
              <w:wordWrap w:val="0"/>
              <w:bidi w:val="0"/>
              <w:spacing w:line="520" w:lineRule="atLeast"/>
              <w:jc w:val="center"/>
              <w:rPr>
                <w:rFonts w:hint="default" w:ascii="Times New Roman" w:hAnsi="Times New Roman" w:cs="Times New Roman"/>
                <w:color w:val="auto"/>
                <w:szCs w:val="21"/>
                <w:highlight w:val="none"/>
              </w:rPr>
            </w:pPr>
          </w:p>
          <w:p w14:paraId="62C93544">
            <w:pPr>
              <w:pageBreakBefore w:val="0"/>
              <w:kinsoku/>
              <w:wordWrap w:val="0"/>
              <w:bidi w:val="0"/>
              <w:spacing w:line="520" w:lineRule="atLeast"/>
              <w:jc w:val="center"/>
              <w:rPr>
                <w:rFonts w:hint="default" w:ascii="Times New Roman" w:hAnsi="Times New Roman" w:cs="Times New Roman"/>
                <w:color w:val="auto"/>
                <w:szCs w:val="21"/>
                <w:highlight w:val="none"/>
              </w:rPr>
            </w:pPr>
          </w:p>
        </w:tc>
      </w:tr>
    </w:tbl>
    <w:p w14:paraId="6D10CAD6">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p w14:paraId="6C1D7A9B">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21E38D17">
      <w:pPr>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left"/>
        <w:textAlignment w:val="auto"/>
        <w:outlineLvl w:val="9"/>
        <w:rPr>
          <w:rFonts w:hint="eastAsia" w:eastAsia="黑体" w:cs="Times New Roman"/>
          <w:b w:val="0"/>
          <w:bCs/>
          <w:color w:val="auto"/>
          <w:kern w:val="44"/>
          <w:sz w:val="28"/>
          <w:szCs w:val="28"/>
          <w:highlight w:val="none"/>
          <w:lang w:val="en-US" w:eastAsia="zh-CN"/>
        </w:rPr>
      </w:pPr>
      <w:bookmarkStart w:id="1966" w:name="_Toc234833278"/>
      <w:bookmarkStart w:id="1967" w:name="_Toc9573"/>
      <w:r>
        <w:rPr>
          <w:rFonts w:hint="eastAsia" w:eastAsia="黑体" w:cs="Times New Roman"/>
          <w:b w:val="0"/>
          <w:bCs/>
          <w:color w:val="auto"/>
          <w:kern w:val="44"/>
          <w:sz w:val="28"/>
          <w:szCs w:val="28"/>
          <w:highlight w:val="none"/>
          <w:lang w:val="en-US" w:eastAsia="zh-CN"/>
        </w:rPr>
        <w:br w:type="page"/>
      </w:r>
    </w:p>
    <w:p w14:paraId="7B46A73E">
      <w:pPr>
        <w:pStyle w:val="3"/>
        <w:wordWrap w:val="0"/>
        <w:spacing w:before="0" w:after="0" w:line="380" w:lineRule="atLeast"/>
        <w:jc w:val="center"/>
        <w:outlineLvl w:val="1"/>
        <w:rPr>
          <w:i w:val="0"/>
          <w:iCs w:val="0"/>
          <w:color w:val="auto"/>
          <w:sz w:val="28"/>
          <w:szCs w:val="28"/>
          <w:highlight w:val="none"/>
        </w:rPr>
      </w:pPr>
      <w:bookmarkStart w:id="1968" w:name="_Toc26668"/>
      <w:bookmarkStart w:id="1969" w:name="_Toc234833276"/>
      <w:bookmarkStart w:id="1970" w:name="_Toc1872"/>
      <w:r>
        <w:rPr>
          <w:i w:val="0"/>
          <w:iCs w:val="0"/>
          <w:color w:val="auto"/>
          <w:sz w:val="28"/>
          <w:szCs w:val="28"/>
          <w:highlight w:val="none"/>
        </w:rPr>
        <w:t>七、拟分包项目情况表</w:t>
      </w:r>
      <w:bookmarkEnd w:id="1968"/>
      <w:bookmarkEnd w:id="1969"/>
      <w:bookmarkEnd w:id="1970"/>
    </w:p>
    <w:p w14:paraId="20D95EB5">
      <w:pPr>
        <w:wordWrap w:val="0"/>
        <w:spacing w:line="440" w:lineRule="exact"/>
        <w:rPr>
          <w:rFonts w:eastAsia="黑体"/>
          <w:color w:val="auto"/>
          <w:sz w:val="20"/>
          <w:szCs w:val="20"/>
          <w:highlight w:val="none"/>
        </w:rPr>
      </w:pPr>
      <w:r>
        <w:rPr>
          <w:rFonts w:eastAsia="黑体"/>
          <w:color w:val="auto"/>
          <w:sz w:val="20"/>
          <w:szCs w:val="20"/>
          <w:highlight w:val="none"/>
        </w:rPr>
        <w:t xml:space="preserve">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56"/>
        <w:gridCol w:w="1864"/>
        <w:gridCol w:w="2582"/>
      </w:tblGrid>
      <w:tr w14:paraId="10D3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vAlign w:val="center"/>
          </w:tcPr>
          <w:p w14:paraId="10E1AC85">
            <w:pPr>
              <w:wordWrap w:val="0"/>
              <w:spacing w:line="440" w:lineRule="exact"/>
              <w:jc w:val="center"/>
              <w:rPr>
                <w:color w:val="auto"/>
                <w:szCs w:val="21"/>
                <w:highlight w:val="none"/>
              </w:rPr>
            </w:pPr>
            <w:r>
              <w:rPr>
                <w:color w:val="auto"/>
                <w:szCs w:val="21"/>
                <w:highlight w:val="none"/>
              </w:rPr>
              <w:t>拟分包的工程项目</w:t>
            </w:r>
          </w:p>
        </w:tc>
        <w:tc>
          <w:tcPr>
            <w:tcW w:w="2456" w:type="dxa"/>
            <w:vAlign w:val="center"/>
          </w:tcPr>
          <w:p w14:paraId="2587673C">
            <w:pPr>
              <w:wordWrap w:val="0"/>
              <w:spacing w:line="440" w:lineRule="exact"/>
              <w:jc w:val="center"/>
              <w:rPr>
                <w:color w:val="auto"/>
                <w:szCs w:val="21"/>
                <w:highlight w:val="none"/>
              </w:rPr>
            </w:pPr>
            <w:r>
              <w:rPr>
                <w:color w:val="auto"/>
                <w:szCs w:val="21"/>
                <w:highlight w:val="none"/>
              </w:rPr>
              <w:t>主要工程内容</w:t>
            </w:r>
          </w:p>
        </w:tc>
        <w:tc>
          <w:tcPr>
            <w:tcW w:w="1864" w:type="dxa"/>
            <w:vAlign w:val="center"/>
          </w:tcPr>
          <w:p w14:paraId="7C51AC3D">
            <w:pPr>
              <w:wordWrap w:val="0"/>
              <w:spacing w:line="440" w:lineRule="exact"/>
              <w:jc w:val="center"/>
              <w:rPr>
                <w:color w:val="auto"/>
                <w:szCs w:val="21"/>
                <w:highlight w:val="none"/>
              </w:rPr>
            </w:pPr>
            <w:r>
              <w:rPr>
                <w:color w:val="auto"/>
                <w:szCs w:val="21"/>
                <w:highlight w:val="none"/>
              </w:rPr>
              <w:t>预计造价（万元）</w:t>
            </w:r>
          </w:p>
        </w:tc>
        <w:tc>
          <w:tcPr>
            <w:tcW w:w="2582" w:type="dxa"/>
            <w:vAlign w:val="center"/>
          </w:tcPr>
          <w:p w14:paraId="5CC25D38">
            <w:pPr>
              <w:wordWrap w:val="0"/>
              <w:spacing w:line="440" w:lineRule="exact"/>
              <w:jc w:val="center"/>
              <w:rPr>
                <w:color w:val="auto"/>
                <w:szCs w:val="21"/>
                <w:highlight w:val="none"/>
              </w:rPr>
            </w:pPr>
            <w:r>
              <w:rPr>
                <w:color w:val="auto"/>
                <w:szCs w:val="21"/>
                <w:highlight w:val="none"/>
              </w:rPr>
              <w:t>备 注</w:t>
            </w:r>
          </w:p>
        </w:tc>
      </w:tr>
      <w:tr w14:paraId="5177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989" w:type="dxa"/>
            <w:vAlign w:val="center"/>
          </w:tcPr>
          <w:p w14:paraId="4FB155FE">
            <w:pPr>
              <w:wordWrap w:val="0"/>
              <w:spacing w:line="440" w:lineRule="exact"/>
              <w:jc w:val="center"/>
              <w:rPr>
                <w:color w:val="auto"/>
                <w:szCs w:val="21"/>
                <w:highlight w:val="none"/>
              </w:rPr>
            </w:pPr>
          </w:p>
        </w:tc>
        <w:tc>
          <w:tcPr>
            <w:tcW w:w="2456" w:type="dxa"/>
            <w:vAlign w:val="center"/>
          </w:tcPr>
          <w:p w14:paraId="2ED6DF2A">
            <w:pPr>
              <w:wordWrap w:val="0"/>
              <w:spacing w:line="440" w:lineRule="exact"/>
              <w:jc w:val="center"/>
              <w:rPr>
                <w:color w:val="auto"/>
                <w:szCs w:val="21"/>
                <w:highlight w:val="none"/>
              </w:rPr>
            </w:pPr>
          </w:p>
        </w:tc>
        <w:tc>
          <w:tcPr>
            <w:tcW w:w="1864" w:type="dxa"/>
            <w:vAlign w:val="center"/>
          </w:tcPr>
          <w:p w14:paraId="6EA4229C">
            <w:pPr>
              <w:wordWrap w:val="0"/>
              <w:spacing w:line="440" w:lineRule="exact"/>
              <w:jc w:val="center"/>
              <w:rPr>
                <w:color w:val="auto"/>
                <w:szCs w:val="21"/>
                <w:highlight w:val="none"/>
              </w:rPr>
            </w:pPr>
          </w:p>
        </w:tc>
        <w:tc>
          <w:tcPr>
            <w:tcW w:w="2582" w:type="dxa"/>
            <w:vMerge w:val="restart"/>
            <w:vAlign w:val="center"/>
          </w:tcPr>
          <w:p w14:paraId="04D74189">
            <w:pPr>
              <w:wordWrap w:val="0"/>
              <w:spacing w:line="440" w:lineRule="exact"/>
              <w:rPr>
                <w:color w:val="auto"/>
                <w:szCs w:val="21"/>
                <w:highlight w:val="none"/>
              </w:rPr>
            </w:pPr>
            <w:r>
              <w:rPr>
                <w:color w:val="auto"/>
                <w:szCs w:val="21"/>
                <w:highlight w:val="none"/>
              </w:rPr>
              <w:t>注：若无分包计划，则投标人应在本表填写</w:t>
            </w:r>
            <w:r>
              <w:rPr>
                <w:rFonts w:hint="eastAsia" w:ascii="宋体" w:hAnsi="宋体" w:eastAsia="宋体" w:cs="宋体"/>
                <w:color w:val="auto"/>
                <w:szCs w:val="21"/>
                <w:highlight w:val="none"/>
              </w:rPr>
              <w:t>“</w:t>
            </w:r>
            <w:r>
              <w:rPr>
                <w:color w:val="auto"/>
                <w:szCs w:val="21"/>
                <w:highlight w:val="none"/>
              </w:rPr>
              <w:t>无</w:t>
            </w:r>
            <w:r>
              <w:rPr>
                <w:rFonts w:hint="eastAsia" w:ascii="宋体" w:hAnsi="宋体" w:eastAsia="宋体" w:cs="宋体"/>
                <w:color w:val="auto"/>
                <w:szCs w:val="21"/>
                <w:highlight w:val="none"/>
              </w:rPr>
              <w:t>”</w:t>
            </w:r>
          </w:p>
        </w:tc>
      </w:tr>
      <w:tr w14:paraId="39B6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989" w:type="dxa"/>
            <w:vAlign w:val="center"/>
          </w:tcPr>
          <w:p w14:paraId="14BA808C">
            <w:pPr>
              <w:wordWrap w:val="0"/>
              <w:spacing w:line="440" w:lineRule="exact"/>
              <w:jc w:val="center"/>
              <w:rPr>
                <w:color w:val="auto"/>
                <w:szCs w:val="21"/>
                <w:highlight w:val="none"/>
              </w:rPr>
            </w:pPr>
          </w:p>
        </w:tc>
        <w:tc>
          <w:tcPr>
            <w:tcW w:w="2456" w:type="dxa"/>
            <w:vAlign w:val="center"/>
          </w:tcPr>
          <w:p w14:paraId="0567194E">
            <w:pPr>
              <w:wordWrap w:val="0"/>
              <w:spacing w:line="440" w:lineRule="exact"/>
              <w:jc w:val="center"/>
              <w:rPr>
                <w:color w:val="auto"/>
                <w:szCs w:val="21"/>
                <w:highlight w:val="none"/>
              </w:rPr>
            </w:pPr>
          </w:p>
        </w:tc>
        <w:tc>
          <w:tcPr>
            <w:tcW w:w="1864" w:type="dxa"/>
            <w:vAlign w:val="center"/>
          </w:tcPr>
          <w:p w14:paraId="5CAD30C3">
            <w:pPr>
              <w:wordWrap w:val="0"/>
              <w:spacing w:line="440" w:lineRule="exact"/>
              <w:jc w:val="center"/>
              <w:rPr>
                <w:color w:val="auto"/>
                <w:szCs w:val="21"/>
                <w:highlight w:val="none"/>
              </w:rPr>
            </w:pPr>
          </w:p>
        </w:tc>
        <w:tc>
          <w:tcPr>
            <w:tcW w:w="2582" w:type="dxa"/>
            <w:vMerge w:val="continue"/>
            <w:vAlign w:val="center"/>
          </w:tcPr>
          <w:p w14:paraId="6BF7AE6D">
            <w:pPr>
              <w:wordWrap w:val="0"/>
              <w:spacing w:line="440" w:lineRule="exact"/>
              <w:jc w:val="center"/>
              <w:rPr>
                <w:color w:val="auto"/>
                <w:szCs w:val="21"/>
                <w:highlight w:val="none"/>
              </w:rPr>
            </w:pPr>
          </w:p>
        </w:tc>
      </w:tr>
      <w:tr w14:paraId="1ED4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4EF0BEB">
            <w:pPr>
              <w:wordWrap w:val="0"/>
              <w:spacing w:line="440" w:lineRule="exact"/>
              <w:jc w:val="center"/>
              <w:rPr>
                <w:color w:val="auto"/>
                <w:szCs w:val="21"/>
                <w:highlight w:val="none"/>
              </w:rPr>
            </w:pPr>
          </w:p>
        </w:tc>
        <w:tc>
          <w:tcPr>
            <w:tcW w:w="2456" w:type="dxa"/>
            <w:vAlign w:val="center"/>
          </w:tcPr>
          <w:p w14:paraId="1F911D5C">
            <w:pPr>
              <w:wordWrap w:val="0"/>
              <w:spacing w:line="440" w:lineRule="exact"/>
              <w:jc w:val="center"/>
              <w:rPr>
                <w:color w:val="auto"/>
                <w:szCs w:val="21"/>
                <w:highlight w:val="none"/>
              </w:rPr>
            </w:pPr>
          </w:p>
        </w:tc>
        <w:tc>
          <w:tcPr>
            <w:tcW w:w="1864" w:type="dxa"/>
            <w:vAlign w:val="center"/>
          </w:tcPr>
          <w:p w14:paraId="53CAA873">
            <w:pPr>
              <w:wordWrap w:val="0"/>
              <w:spacing w:line="440" w:lineRule="exact"/>
              <w:jc w:val="center"/>
              <w:rPr>
                <w:color w:val="auto"/>
                <w:szCs w:val="21"/>
                <w:highlight w:val="none"/>
              </w:rPr>
            </w:pPr>
          </w:p>
        </w:tc>
        <w:tc>
          <w:tcPr>
            <w:tcW w:w="2582" w:type="dxa"/>
            <w:vMerge w:val="continue"/>
            <w:vAlign w:val="center"/>
          </w:tcPr>
          <w:p w14:paraId="3E92022A">
            <w:pPr>
              <w:wordWrap w:val="0"/>
              <w:spacing w:line="440" w:lineRule="exact"/>
              <w:jc w:val="center"/>
              <w:rPr>
                <w:color w:val="auto"/>
                <w:szCs w:val="21"/>
                <w:highlight w:val="none"/>
              </w:rPr>
            </w:pPr>
          </w:p>
        </w:tc>
      </w:tr>
      <w:tr w14:paraId="2820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989" w:type="dxa"/>
            <w:vAlign w:val="center"/>
          </w:tcPr>
          <w:p w14:paraId="30CA502D">
            <w:pPr>
              <w:wordWrap w:val="0"/>
              <w:spacing w:line="440" w:lineRule="exact"/>
              <w:jc w:val="center"/>
              <w:rPr>
                <w:color w:val="auto"/>
                <w:szCs w:val="21"/>
                <w:highlight w:val="none"/>
              </w:rPr>
            </w:pPr>
          </w:p>
        </w:tc>
        <w:tc>
          <w:tcPr>
            <w:tcW w:w="2456" w:type="dxa"/>
            <w:vAlign w:val="center"/>
          </w:tcPr>
          <w:p w14:paraId="4AA9C896">
            <w:pPr>
              <w:wordWrap w:val="0"/>
              <w:spacing w:line="440" w:lineRule="exact"/>
              <w:jc w:val="center"/>
              <w:rPr>
                <w:color w:val="auto"/>
                <w:szCs w:val="21"/>
                <w:highlight w:val="none"/>
              </w:rPr>
            </w:pPr>
          </w:p>
        </w:tc>
        <w:tc>
          <w:tcPr>
            <w:tcW w:w="1864" w:type="dxa"/>
            <w:vAlign w:val="center"/>
          </w:tcPr>
          <w:p w14:paraId="50C7913F">
            <w:pPr>
              <w:wordWrap w:val="0"/>
              <w:spacing w:line="440" w:lineRule="exact"/>
              <w:jc w:val="center"/>
              <w:rPr>
                <w:color w:val="auto"/>
                <w:szCs w:val="21"/>
                <w:highlight w:val="none"/>
              </w:rPr>
            </w:pPr>
          </w:p>
        </w:tc>
        <w:tc>
          <w:tcPr>
            <w:tcW w:w="2582" w:type="dxa"/>
            <w:vMerge w:val="continue"/>
            <w:vAlign w:val="center"/>
          </w:tcPr>
          <w:p w14:paraId="0F659B43">
            <w:pPr>
              <w:wordWrap w:val="0"/>
              <w:spacing w:line="440" w:lineRule="exact"/>
              <w:jc w:val="center"/>
              <w:rPr>
                <w:color w:val="auto"/>
                <w:szCs w:val="21"/>
                <w:highlight w:val="none"/>
              </w:rPr>
            </w:pPr>
          </w:p>
        </w:tc>
      </w:tr>
      <w:tr w14:paraId="3BF9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9" w:type="dxa"/>
            <w:vAlign w:val="center"/>
          </w:tcPr>
          <w:p w14:paraId="052F7938">
            <w:pPr>
              <w:wordWrap w:val="0"/>
              <w:spacing w:line="440" w:lineRule="exact"/>
              <w:jc w:val="center"/>
              <w:rPr>
                <w:color w:val="auto"/>
                <w:szCs w:val="21"/>
                <w:highlight w:val="none"/>
              </w:rPr>
            </w:pPr>
          </w:p>
        </w:tc>
        <w:tc>
          <w:tcPr>
            <w:tcW w:w="2456" w:type="dxa"/>
            <w:vAlign w:val="center"/>
          </w:tcPr>
          <w:p w14:paraId="2B0A2D25">
            <w:pPr>
              <w:wordWrap w:val="0"/>
              <w:spacing w:line="440" w:lineRule="exact"/>
              <w:jc w:val="center"/>
              <w:rPr>
                <w:color w:val="auto"/>
                <w:szCs w:val="21"/>
                <w:highlight w:val="none"/>
              </w:rPr>
            </w:pPr>
          </w:p>
        </w:tc>
        <w:tc>
          <w:tcPr>
            <w:tcW w:w="1864" w:type="dxa"/>
            <w:vAlign w:val="center"/>
          </w:tcPr>
          <w:p w14:paraId="0F205CBA">
            <w:pPr>
              <w:wordWrap w:val="0"/>
              <w:spacing w:line="440" w:lineRule="exact"/>
              <w:jc w:val="center"/>
              <w:rPr>
                <w:color w:val="auto"/>
                <w:szCs w:val="21"/>
                <w:highlight w:val="none"/>
              </w:rPr>
            </w:pPr>
          </w:p>
        </w:tc>
        <w:tc>
          <w:tcPr>
            <w:tcW w:w="2582" w:type="dxa"/>
            <w:vMerge w:val="continue"/>
            <w:vAlign w:val="center"/>
          </w:tcPr>
          <w:p w14:paraId="61C97398">
            <w:pPr>
              <w:wordWrap w:val="0"/>
              <w:spacing w:line="440" w:lineRule="exact"/>
              <w:jc w:val="center"/>
              <w:rPr>
                <w:color w:val="auto"/>
                <w:szCs w:val="21"/>
                <w:highlight w:val="none"/>
              </w:rPr>
            </w:pPr>
          </w:p>
        </w:tc>
      </w:tr>
      <w:tr w14:paraId="64BF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4BB1E689">
            <w:pPr>
              <w:wordWrap w:val="0"/>
              <w:spacing w:line="440" w:lineRule="exact"/>
              <w:jc w:val="center"/>
              <w:rPr>
                <w:color w:val="auto"/>
                <w:szCs w:val="21"/>
                <w:highlight w:val="none"/>
              </w:rPr>
            </w:pPr>
          </w:p>
        </w:tc>
        <w:tc>
          <w:tcPr>
            <w:tcW w:w="2456" w:type="dxa"/>
            <w:vAlign w:val="center"/>
          </w:tcPr>
          <w:p w14:paraId="68B0F703">
            <w:pPr>
              <w:wordWrap w:val="0"/>
              <w:spacing w:line="440" w:lineRule="exact"/>
              <w:jc w:val="center"/>
              <w:rPr>
                <w:color w:val="auto"/>
                <w:szCs w:val="21"/>
                <w:highlight w:val="none"/>
              </w:rPr>
            </w:pPr>
          </w:p>
        </w:tc>
        <w:tc>
          <w:tcPr>
            <w:tcW w:w="1864" w:type="dxa"/>
            <w:vAlign w:val="center"/>
          </w:tcPr>
          <w:p w14:paraId="0A2BC9C8">
            <w:pPr>
              <w:wordWrap w:val="0"/>
              <w:spacing w:line="440" w:lineRule="exact"/>
              <w:jc w:val="center"/>
              <w:rPr>
                <w:color w:val="auto"/>
                <w:szCs w:val="21"/>
                <w:highlight w:val="none"/>
              </w:rPr>
            </w:pPr>
          </w:p>
        </w:tc>
        <w:tc>
          <w:tcPr>
            <w:tcW w:w="2582" w:type="dxa"/>
            <w:vMerge w:val="continue"/>
            <w:vAlign w:val="center"/>
          </w:tcPr>
          <w:p w14:paraId="1F8247D0">
            <w:pPr>
              <w:wordWrap w:val="0"/>
              <w:spacing w:line="440" w:lineRule="exact"/>
              <w:jc w:val="center"/>
              <w:rPr>
                <w:color w:val="auto"/>
                <w:szCs w:val="21"/>
                <w:highlight w:val="none"/>
              </w:rPr>
            </w:pPr>
          </w:p>
        </w:tc>
      </w:tr>
      <w:tr w14:paraId="1F50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917C10C">
            <w:pPr>
              <w:wordWrap w:val="0"/>
              <w:spacing w:line="440" w:lineRule="exact"/>
              <w:jc w:val="center"/>
              <w:rPr>
                <w:color w:val="auto"/>
                <w:szCs w:val="21"/>
                <w:highlight w:val="none"/>
              </w:rPr>
            </w:pPr>
          </w:p>
        </w:tc>
        <w:tc>
          <w:tcPr>
            <w:tcW w:w="2456" w:type="dxa"/>
            <w:vAlign w:val="center"/>
          </w:tcPr>
          <w:p w14:paraId="7A8F3C98">
            <w:pPr>
              <w:wordWrap w:val="0"/>
              <w:spacing w:line="440" w:lineRule="exact"/>
              <w:jc w:val="center"/>
              <w:rPr>
                <w:color w:val="auto"/>
                <w:szCs w:val="21"/>
                <w:highlight w:val="none"/>
              </w:rPr>
            </w:pPr>
          </w:p>
        </w:tc>
        <w:tc>
          <w:tcPr>
            <w:tcW w:w="1864" w:type="dxa"/>
            <w:vAlign w:val="center"/>
          </w:tcPr>
          <w:p w14:paraId="1D382B38">
            <w:pPr>
              <w:wordWrap w:val="0"/>
              <w:spacing w:line="440" w:lineRule="exact"/>
              <w:jc w:val="center"/>
              <w:rPr>
                <w:color w:val="auto"/>
                <w:szCs w:val="21"/>
                <w:highlight w:val="none"/>
              </w:rPr>
            </w:pPr>
          </w:p>
        </w:tc>
        <w:tc>
          <w:tcPr>
            <w:tcW w:w="2582" w:type="dxa"/>
            <w:vMerge w:val="continue"/>
            <w:vAlign w:val="center"/>
          </w:tcPr>
          <w:p w14:paraId="191F6891">
            <w:pPr>
              <w:wordWrap w:val="0"/>
              <w:spacing w:line="440" w:lineRule="exact"/>
              <w:jc w:val="center"/>
              <w:rPr>
                <w:color w:val="auto"/>
                <w:szCs w:val="21"/>
                <w:highlight w:val="none"/>
              </w:rPr>
            </w:pPr>
          </w:p>
        </w:tc>
      </w:tr>
      <w:tr w14:paraId="4B46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07BCE01">
            <w:pPr>
              <w:wordWrap w:val="0"/>
              <w:spacing w:line="440" w:lineRule="exact"/>
              <w:jc w:val="center"/>
              <w:rPr>
                <w:color w:val="auto"/>
                <w:szCs w:val="21"/>
                <w:highlight w:val="none"/>
              </w:rPr>
            </w:pPr>
          </w:p>
        </w:tc>
        <w:tc>
          <w:tcPr>
            <w:tcW w:w="2456" w:type="dxa"/>
            <w:vAlign w:val="center"/>
          </w:tcPr>
          <w:p w14:paraId="4BDFE9DE">
            <w:pPr>
              <w:wordWrap w:val="0"/>
              <w:spacing w:line="440" w:lineRule="exact"/>
              <w:jc w:val="center"/>
              <w:rPr>
                <w:color w:val="auto"/>
                <w:szCs w:val="21"/>
                <w:highlight w:val="none"/>
              </w:rPr>
            </w:pPr>
          </w:p>
        </w:tc>
        <w:tc>
          <w:tcPr>
            <w:tcW w:w="1864" w:type="dxa"/>
            <w:vAlign w:val="center"/>
          </w:tcPr>
          <w:p w14:paraId="45783A30">
            <w:pPr>
              <w:wordWrap w:val="0"/>
              <w:spacing w:line="440" w:lineRule="exact"/>
              <w:jc w:val="center"/>
              <w:rPr>
                <w:color w:val="auto"/>
                <w:szCs w:val="21"/>
                <w:highlight w:val="none"/>
              </w:rPr>
            </w:pPr>
          </w:p>
        </w:tc>
        <w:tc>
          <w:tcPr>
            <w:tcW w:w="2582" w:type="dxa"/>
            <w:vMerge w:val="continue"/>
            <w:vAlign w:val="center"/>
          </w:tcPr>
          <w:p w14:paraId="79B26971">
            <w:pPr>
              <w:wordWrap w:val="0"/>
              <w:spacing w:line="440" w:lineRule="exact"/>
              <w:jc w:val="center"/>
              <w:rPr>
                <w:color w:val="auto"/>
                <w:szCs w:val="21"/>
                <w:highlight w:val="none"/>
              </w:rPr>
            </w:pPr>
          </w:p>
        </w:tc>
      </w:tr>
      <w:tr w14:paraId="64CE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A70C7D8">
            <w:pPr>
              <w:wordWrap w:val="0"/>
              <w:spacing w:line="440" w:lineRule="exact"/>
              <w:jc w:val="center"/>
              <w:rPr>
                <w:color w:val="auto"/>
                <w:szCs w:val="21"/>
                <w:highlight w:val="none"/>
              </w:rPr>
            </w:pPr>
          </w:p>
        </w:tc>
        <w:tc>
          <w:tcPr>
            <w:tcW w:w="2456" w:type="dxa"/>
            <w:vAlign w:val="center"/>
          </w:tcPr>
          <w:p w14:paraId="22F82A50">
            <w:pPr>
              <w:wordWrap w:val="0"/>
              <w:spacing w:line="440" w:lineRule="exact"/>
              <w:jc w:val="center"/>
              <w:rPr>
                <w:color w:val="auto"/>
                <w:szCs w:val="21"/>
                <w:highlight w:val="none"/>
              </w:rPr>
            </w:pPr>
          </w:p>
        </w:tc>
        <w:tc>
          <w:tcPr>
            <w:tcW w:w="1864" w:type="dxa"/>
            <w:vAlign w:val="center"/>
          </w:tcPr>
          <w:p w14:paraId="22A63B4A">
            <w:pPr>
              <w:wordWrap w:val="0"/>
              <w:spacing w:line="440" w:lineRule="exact"/>
              <w:jc w:val="center"/>
              <w:rPr>
                <w:color w:val="auto"/>
                <w:szCs w:val="21"/>
                <w:highlight w:val="none"/>
              </w:rPr>
            </w:pPr>
          </w:p>
        </w:tc>
        <w:tc>
          <w:tcPr>
            <w:tcW w:w="2582" w:type="dxa"/>
            <w:vMerge w:val="continue"/>
            <w:vAlign w:val="center"/>
          </w:tcPr>
          <w:p w14:paraId="4A352E63">
            <w:pPr>
              <w:wordWrap w:val="0"/>
              <w:spacing w:line="440" w:lineRule="exact"/>
              <w:jc w:val="center"/>
              <w:rPr>
                <w:color w:val="auto"/>
                <w:szCs w:val="21"/>
                <w:highlight w:val="none"/>
              </w:rPr>
            </w:pPr>
          </w:p>
        </w:tc>
      </w:tr>
      <w:tr w14:paraId="29C1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F056F6A">
            <w:pPr>
              <w:wordWrap w:val="0"/>
              <w:spacing w:line="440" w:lineRule="exact"/>
              <w:jc w:val="center"/>
              <w:rPr>
                <w:color w:val="auto"/>
                <w:szCs w:val="21"/>
                <w:highlight w:val="none"/>
              </w:rPr>
            </w:pPr>
          </w:p>
        </w:tc>
        <w:tc>
          <w:tcPr>
            <w:tcW w:w="2456" w:type="dxa"/>
            <w:vAlign w:val="center"/>
          </w:tcPr>
          <w:p w14:paraId="71FF8EF6">
            <w:pPr>
              <w:wordWrap w:val="0"/>
              <w:spacing w:line="440" w:lineRule="exact"/>
              <w:jc w:val="center"/>
              <w:rPr>
                <w:color w:val="auto"/>
                <w:szCs w:val="21"/>
                <w:highlight w:val="none"/>
              </w:rPr>
            </w:pPr>
          </w:p>
        </w:tc>
        <w:tc>
          <w:tcPr>
            <w:tcW w:w="1864" w:type="dxa"/>
            <w:vAlign w:val="center"/>
          </w:tcPr>
          <w:p w14:paraId="25E1EA97">
            <w:pPr>
              <w:wordWrap w:val="0"/>
              <w:spacing w:line="440" w:lineRule="exact"/>
              <w:jc w:val="center"/>
              <w:rPr>
                <w:color w:val="auto"/>
                <w:szCs w:val="21"/>
                <w:highlight w:val="none"/>
              </w:rPr>
            </w:pPr>
          </w:p>
        </w:tc>
        <w:tc>
          <w:tcPr>
            <w:tcW w:w="2582" w:type="dxa"/>
            <w:vMerge w:val="continue"/>
            <w:vAlign w:val="center"/>
          </w:tcPr>
          <w:p w14:paraId="3B0FC6C4">
            <w:pPr>
              <w:wordWrap w:val="0"/>
              <w:spacing w:line="440" w:lineRule="exact"/>
              <w:jc w:val="center"/>
              <w:rPr>
                <w:color w:val="auto"/>
                <w:szCs w:val="21"/>
                <w:highlight w:val="none"/>
              </w:rPr>
            </w:pPr>
          </w:p>
        </w:tc>
      </w:tr>
      <w:tr w14:paraId="6651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FF68133">
            <w:pPr>
              <w:wordWrap w:val="0"/>
              <w:spacing w:line="440" w:lineRule="exact"/>
              <w:jc w:val="center"/>
              <w:rPr>
                <w:color w:val="auto"/>
                <w:szCs w:val="21"/>
                <w:highlight w:val="none"/>
              </w:rPr>
            </w:pPr>
          </w:p>
        </w:tc>
        <w:tc>
          <w:tcPr>
            <w:tcW w:w="2456" w:type="dxa"/>
            <w:vAlign w:val="center"/>
          </w:tcPr>
          <w:p w14:paraId="5AE25D66">
            <w:pPr>
              <w:wordWrap w:val="0"/>
              <w:spacing w:line="440" w:lineRule="exact"/>
              <w:jc w:val="center"/>
              <w:rPr>
                <w:color w:val="auto"/>
                <w:szCs w:val="21"/>
                <w:highlight w:val="none"/>
              </w:rPr>
            </w:pPr>
          </w:p>
        </w:tc>
        <w:tc>
          <w:tcPr>
            <w:tcW w:w="1864" w:type="dxa"/>
            <w:vAlign w:val="center"/>
          </w:tcPr>
          <w:p w14:paraId="4AA52F57">
            <w:pPr>
              <w:wordWrap w:val="0"/>
              <w:spacing w:line="440" w:lineRule="exact"/>
              <w:jc w:val="center"/>
              <w:rPr>
                <w:color w:val="auto"/>
                <w:szCs w:val="21"/>
                <w:highlight w:val="none"/>
              </w:rPr>
            </w:pPr>
          </w:p>
        </w:tc>
        <w:tc>
          <w:tcPr>
            <w:tcW w:w="2582" w:type="dxa"/>
            <w:vMerge w:val="continue"/>
            <w:vAlign w:val="center"/>
          </w:tcPr>
          <w:p w14:paraId="22F2AABE">
            <w:pPr>
              <w:wordWrap w:val="0"/>
              <w:spacing w:line="440" w:lineRule="exact"/>
              <w:jc w:val="center"/>
              <w:rPr>
                <w:color w:val="auto"/>
                <w:szCs w:val="21"/>
                <w:highlight w:val="none"/>
              </w:rPr>
            </w:pPr>
          </w:p>
        </w:tc>
      </w:tr>
      <w:tr w14:paraId="593E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0AB2DDF">
            <w:pPr>
              <w:wordWrap w:val="0"/>
              <w:spacing w:line="440" w:lineRule="exact"/>
              <w:jc w:val="center"/>
              <w:rPr>
                <w:color w:val="auto"/>
                <w:szCs w:val="21"/>
                <w:highlight w:val="none"/>
              </w:rPr>
            </w:pPr>
          </w:p>
        </w:tc>
        <w:tc>
          <w:tcPr>
            <w:tcW w:w="2456" w:type="dxa"/>
            <w:vAlign w:val="center"/>
          </w:tcPr>
          <w:p w14:paraId="59191606">
            <w:pPr>
              <w:wordWrap w:val="0"/>
              <w:spacing w:line="440" w:lineRule="exact"/>
              <w:jc w:val="center"/>
              <w:rPr>
                <w:color w:val="auto"/>
                <w:szCs w:val="21"/>
                <w:highlight w:val="none"/>
              </w:rPr>
            </w:pPr>
          </w:p>
        </w:tc>
        <w:tc>
          <w:tcPr>
            <w:tcW w:w="1864" w:type="dxa"/>
            <w:vAlign w:val="center"/>
          </w:tcPr>
          <w:p w14:paraId="4419CAD8">
            <w:pPr>
              <w:wordWrap w:val="0"/>
              <w:spacing w:line="440" w:lineRule="exact"/>
              <w:jc w:val="center"/>
              <w:rPr>
                <w:color w:val="auto"/>
                <w:szCs w:val="21"/>
                <w:highlight w:val="none"/>
              </w:rPr>
            </w:pPr>
          </w:p>
        </w:tc>
        <w:tc>
          <w:tcPr>
            <w:tcW w:w="2582" w:type="dxa"/>
            <w:vMerge w:val="continue"/>
            <w:vAlign w:val="center"/>
          </w:tcPr>
          <w:p w14:paraId="17F95C63">
            <w:pPr>
              <w:wordWrap w:val="0"/>
              <w:spacing w:line="440" w:lineRule="exact"/>
              <w:jc w:val="center"/>
              <w:rPr>
                <w:color w:val="auto"/>
                <w:szCs w:val="21"/>
                <w:highlight w:val="none"/>
              </w:rPr>
            </w:pPr>
          </w:p>
        </w:tc>
      </w:tr>
      <w:tr w14:paraId="05F2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A6E1A96">
            <w:pPr>
              <w:wordWrap w:val="0"/>
              <w:spacing w:line="440" w:lineRule="exact"/>
              <w:jc w:val="center"/>
              <w:rPr>
                <w:color w:val="auto"/>
                <w:szCs w:val="21"/>
                <w:highlight w:val="none"/>
              </w:rPr>
            </w:pPr>
          </w:p>
        </w:tc>
        <w:tc>
          <w:tcPr>
            <w:tcW w:w="2456" w:type="dxa"/>
            <w:vAlign w:val="center"/>
          </w:tcPr>
          <w:p w14:paraId="25E85C97">
            <w:pPr>
              <w:wordWrap w:val="0"/>
              <w:spacing w:line="440" w:lineRule="exact"/>
              <w:jc w:val="center"/>
              <w:rPr>
                <w:color w:val="auto"/>
                <w:szCs w:val="21"/>
                <w:highlight w:val="none"/>
              </w:rPr>
            </w:pPr>
          </w:p>
        </w:tc>
        <w:tc>
          <w:tcPr>
            <w:tcW w:w="1864" w:type="dxa"/>
            <w:vAlign w:val="center"/>
          </w:tcPr>
          <w:p w14:paraId="215C8FF4">
            <w:pPr>
              <w:wordWrap w:val="0"/>
              <w:spacing w:line="440" w:lineRule="exact"/>
              <w:jc w:val="center"/>
              <w:rPr>
                <w:color w:val="auto"/>
                <w:szCs w:val="21"/>
                <w:highlight w:val="none"/>
              </w:rPr>
            </w:pPr>
          </w:p>
        </w:tc>
        <w:tc>
          <w:tcPr>
            <w:tcW w:w="2582" w:type="dxa"/>
            <w:vMerge w:val="continue"/>
            <w:vAlign w:val="center"/>
          </w:tcPr>
          <w:p w14:paraId="6B2EB109">
            <w:pPr>
              <w:wordWrap w:val="0"/>
              <w:spacing w:line="440" w:lineRule="exact"/>
              <w:jc w:val="center"/>
              <w:rPr>
                <w:color w:val="auto"/>
                <w:szCs w:val="21"/>
                <w:highlight w:val="none"/>
              </w:rPr>
            </w:pPr>
          </w:p>
        </w:tc>
      </w:tr>
      <w:tr w14:paraId="7F3B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AB38A8B">
            <w:pPr>
              <w:wordWrap w:val="0"/>
              <w:spacing w:line="440" w:lineRule="exact"/>
              <w:jc w:val="center"/>
              <w:rPr>
                <w:color w:val="auto"/>
                <w:szCs w:val="21"/>
                <w:highlight w:val="none"/>
              </w:rPr>
            </w:pPr>
          </w:p>
        </w:tc>
        <w:tc>
          <w:tcPr>
            <w:tcW w:w="2456" w:type="dxa"/>
            <w:vAlign w:val="center"/>
          </w:tcPr>
          <w:p w14:paraId="04A29851">
            <w:pPr>
              <w:wordWrap w:val="0"/>
              <w:spacing w:line="440" w:lineRule="exact"/>
              <w:jc w:val="center"/>
              <w:rPr>
                <w:color w:val="auto"/>
                <w:szCs w:val="21"/>
                <w:highlight w:val="none"/>
              </w:rPr>
            </w:pPr>
          </w:p>
        </w:tc>
        <w:tc>
          <w:tcPr>
            <w:tcW w:w="1864" w:type="dxa"/>
            <w:vAlign w:val="center"/>
          </w:tcPr>
          <w:p w14:paraId="6F5524B6">
            <w:pPr>
              <w:wordWrap w:val="0"/>
              <w:spacing w:line="440" w:lineRule="exact"/>
              <w:jc w:val="center"/>
              <w:rPr>
                <w:color w:val="auto"/>
                <w:szCs w:val="21"/>
                <w:highlight w:val="none"/>
              </w:rPr>
            </w:pPr>
          </w:p>
        </w:tc>
        <w:tc>
          <w:tcPr>
            <w:tcW w:w="2582" w:type="dxa"/>
            <w:vMerge w:val="continue"/>
            <w:vAlign w:val="center"/>
          </w:tcPr>
          <w:p w14:paraId="07959298">
            <w:pPr>
              <w:wordWrap w:val="0"/>
              <w:spacing w:line="440" w:lineRule="exact"/>
              <w:jc w:val="center"/>
              <w:rPr>
                <w:color w:val="auto"/>
                <w:szCs w:val="21"/>
                <w:highlight w:val="none"/>
              </w:rPr>
            </w:pPr>
          </w:p>
        </w:tc>
      </w:tr>
      <w:tr w14:paraId="44F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FA8DBD1">
            <w:pPr>
              <w:wordWrap w:val="0"/>
              <w:spacing w:line="440" w:lineRule="exact"/>
              <w:jc w:val="center"/>
              <w:rPr>
                <w:color w:val="auto"/>
                <w:szCs w:val="21"/>
                <w:highlight w:val="none"/>
              </w:rPr>
            </w:pPr>
          </w:p>
        </w:tc>
        <w:tc>
          <w:tcPr>
            <w:tcW w:w="2456" w:type="dxa"/>
            <w:vAlign w:val="center"/>
          </w:tcPr>
          <w:p w14:paraId="2A398186">
            <w:pPr>
              <w:wordWrap w:val="0"/>
              <w:spacing w:line="440" w:lineRule="exact"/>
              <w:jc w:val="center"/>
              <w:rPr>
                <w:color w:val="auto"/>
                <w:szCs w:val="21"/>
                <w:highlight w:val="none"/>
              </w:rPr>
            </w:pPr>
          </w:p>
        </w:tc>
        <w:tc>
          <w:tcPr>
            <w:tcW w:w="1864" w:type="dxa"/>
            <w:vAlign w:val="center"/>
          </w:tcPr>
          <w:p w14:paraId="56077977">
            <w:pPr>
              <w:wordWrap w:val="0"/>
              <w:spacing w:line="440" w:lineRule="exact"/>
              <w:jc w:val="center"/>
              <w:rPr>
                <w:color w:val="auto"/>
                <w:szCs w:val="21"/>
                <w:highlight w:val="none"/>
              </w:rPr>
            </w:pPr>
          </w:p>
        </w:tc>
        <w:tc>
          <w:tcPr>
            <w:tcW w:w="2582" w:type="dxa"/>
            <w:vMerge w:val="continue"/>
            <w:vAlign w:val="center"/>
          </w:tcPr>
          <w:p w14:paraId="30509A03">
            <w:pPr>
              <w:wordWrap w:val="0"/>
              <w:spacing w:line="440" w:lineRule="exact"/>
              <w:jc w:val="center"/>
              <w:rPr>
                <w:color w:val="auto"/>
                <w:szCs w:val="21"/>
                <w:highlight w:val="none"/>
              </w:rPr>
            </w:pPr>
          </w:p>
        </w:tc>
      </w:tr>
      <w:tr w14:paraId="6236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F9F425D">
            <w:pPr>
              <w:wordWrap w:val="0"/>
              <w:spacing w:line="440" w:lineRule="exact"/>
              <w:jc w:val="center"/>
              <w:rPr>
                <w:color w:val="auto"/>
                <w:szCs w:val="21"/>
                <w:highlight w:val="none"/>
              </w:rPr>
            </w:pPr>
          </w:p>
        </w:tc>
        <w:tc>
          <w:tcPr>
            <w:tcW w:w="2456" w:type="dxa"/>
            <w:vAlign w:val="center"/>
          </w:tcPr>
          <w:p w14:paraId="7251B132">
            <w:pPr>
              <w:wordWrap w:val="0"/>
              <w:spacing w:line="440" w:lineRule="exact"/>
              <w:jc w:val="center"/>
              <w:rPr>
                <w:color w:val="auto"/>
                <w:szCs w:val="21"/>
                <w:highlight w:val="none"/>
              </w:rPr>
            </w:pPr>
          </w:p>
        </w:tc>
        <w:tc>
          <w:tcPr>
            <w:tcW w:w="1864" w:type="dxa"/>
            <w:vAlign w:val="center"/>
          </w:tcPr>
          <w:p w14:paraId="0FF17C32">
            <w:pPr>
              <w:wordWrap w:val="0"/>
              <w:spacing w:line="440" w:lineRule="exact"/>
              <w:jc w:val="center"/>
              <w:rPr>
                <w:color w:val="auto"/>
                <w:szCs w:val="21"/>
                <w:highlight w:val="none"/>
              </w:rPr>
            </w:pPr>
          </w:p>
        </w:tc>
        <w:tc>
          <w:tcPr>
            <w:tcW w:w="2582" w:type="dxa"/>
            <w:vMerge w:val="continue"/>
            <w:vAlign w:val="center"/>
          </w:tcPr>
          <w:p w14:paraId="60CF0D75">
            <w:pPr>
              <w:wordWrap w:val="0"/>
              <w:spacing w:line="440" w:lineRule="exact"/>
              <w:jc w:val="center"/>
              <w:rPr>
                <w:color w:val="auto"/>
                <w:szCs w:val="21"/>
                <w:highlight w:val="none"/>
              </w:rPr>
            </w:pPr>
          </w:p>
        </w:tc>
      </w:tr>
      <w:tr w14:paraId="7DB7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4303D1E">
            <w:pPr>
              <w:wordWrap w:val="0"/>
              <w:spacing w:line="440" w:lineRule="exact"/>
              <w:jc w:val="center"/>
              <w:rPr>
                <w:color w:val="auto"/>
                <w:szCs w:val="21"/>
                <w:highlight w:val="none"/>
              </w:rPr>
            </w:pPr>
          </w:p>
        </w:tc>
        <w:tc>
          <w:tcPr>
            <w:tcW w:w="2456" w:type="dxa"/>
            <w:vAlign w:val="center"/>
          </w:tcPr>
          <w:p w14:paraId="5B54957F">
            <w:pPr>
              <w:wordWrap w:val="0"/>
              <w:spacing w:line="440" w:lineRule="exact"/>
              <w:jc w:val="center"/>
              <w:rPr>
                <w:color w:val="auto"/>
                <w:szCs w:val="21"/>
                <w:highlight w:val="none"/>
              </w:rPr>
            </w:pPr>
          </w:p>
        </w:tc>
        <w:tc>
          <w:tcPr>
            <w:tcW w:w="1864" w:type="dxa"/>
            <w:vAlign w:val="center"/>
          </w:tcPr>
          <w:p w14:paraId="6DCB80E9">
            <w:pPr>
              <w:wordWrap w:val="0"/>
              <w:spacing w:line="440" w:lineRule="exact"/>
              <w:jc w:val="center"/>
              <w:rPr>
                <w:color w:val="auto"/>
                <w:szCs w:val="21"/>
                <w:highlight w:val="none"/>
              </w:rPr>
            </w:pPr>
          </w:p>
        </w:tc>
        <w:tc>
          <w:tcPr>
            <w:tcW w:w="2582" w:type="dxa"/>
            <w:vMerge w:val="continue"/>
            <w:vAlign w:val="center"/>
          </w:tcPr>
          <w:p w14:paraId="642D4E82">
            <w:pPr>
              <w:wordWrap w:val="0"/>
              <w:spacing w:line="440" w:lineRule="exact"/>
              <w:jc w:val="center"/>
              <w:rPr>
                <w:color w:val="auto"/>
                <w:szCs w:val="21"/>
                <w:highlight w:val="none"/>
              </w:rPr>
            </w:pPr>
          </w:p>
        </w:tc>
      </w:tr>
      <w:tr w14:paraId="096D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2591F9E1">
            <w:pPr>
              <w:wordWrap w:val="0"/>
              <w:spacing w:line="440" w:lineRule="exact"/>
              <w:jc w:val="center"/>
              <w:rPr>
                <w:color w:val="auto"/>
                <w:szCs w:val="21"/>
                <w:highlight w:val="none"/>
              </w:rPr>
            </w:pPr>
          </w:p>
        </w:tc>
        <w:tc>
          <w:tcPr>
            <w:tcW w:w="2456" w:type="dxa"/>
            <w:vAlign w:val="center"/>
          </w:tcPr>
          <w:p w14:paraId="0E20FB2B">
            <w:pPr>
              <w:wordWrap w:val="0"/>
              <w:spacing w:line="440" w:lineRule="exact"/>
              <w:jc w:val="center"/>
              <w:rPr>
                <w:color w:val="auto"/>
                <w:szCs w:val="21"/>
                <w:highlight w:val="none"/>
              </w:rPr>
            </w:pPr>
          </w:p>
        </w:tc>
        <w:tc>
          <w:tcPr>
            <w:tcW w:w="1864" w:type="dxa"/>
            <w:vAlign w:val="center"/>
          </w:tcPr>
          <w:p w14:paraId="289C3660">
            <w:pPr>
              <w:wordWrap w:val="0"/>
              <w:spacing w:line="440" w:lineRule="exact"/>
              <w:jc w:val="center"/>
              <w:rPr>
                <w:color w:val="auto"/>
                <w:szCs w:val="21"/>
                <w:highlight w:val="none"/>
              </w:rPr>
            </w:pPr>
          </w:p>
        </w:tc>
        <w:tc>
          <w:tcPr>
            <w:tcW w:w="2582" w:type="dxa"/>
            <w:vMerge w:val="continue"/>
            <w:vAlign w:val="center"/>
          </w:tcPr>
          <w:p w14:paraId="11D2AEFD">
            <w:pPr>
              <w:wordWrap w:val="0"/>
              <w:spacing w:line="440" w:lineRule="exact"/>
              <w:jc w:val="center"/>
              <w:rPr>
                <w:color w:val="auto"/>
                <w:szCs w:val="21"/>
                <w:highlight w:val="none"/>
              </w:rPr>
            </w:pPr>
          </w:p>
        </w:tc>
      </w:tr>
      <w:tr w14:paraId="5374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0BBCAFE">
            <w:pPr>
              <w:wordWrap w:val="0"/>
              <w:spacing w:line="440" w:lineRule="exact"/>
              <w:jc w:val="center"/>
              <w:rPr>
                <w:color w:val="auto"/>
                <w:szCs w:val="21"/>
                <w:highlight w:val="none"/>
              </w:rPr>
            </w:pPr>
          </w:p>
        </w:tc>
        <w:tc>
          <w:tcPr>
            <w:tcW w:w="2456" w:type="dxa"/>
            <w:vAlign w:val="center"/>
          </w:tcPr>
          <w:p w14:paraId="70752306">
            <w:pPr>
              <w:wordWrap w:val="0"/>
              <w:spacing w:line="440" w:lineRule="exact"/>
              <w:jc w:val="center"/>
              <w:rPr>
                <w:color w:val="auto"/>
                <w:szCs w:val="21"/>
                <w:highlight w:val="none"/>
              </w:rPr>
            </w:pPr>
          </w:p>
        </w:tc>
        <w:tc>
          <w:tcPr>
            <w:tcW w:w="1864" w:type="dxa"/>
            <w:vAlign w:val="center"/>
          </w:tcPr>
          <w:p w14:paraId="41936F2B">
            <w:pPr>
              <w:wordWrap w:val="0"/>
              <w:spacing w:line="440" w:lineRule="exact"/>
              <w:jc w:val="center"/>
              <w:rPr>
                <w:color w:val="auto"/>
                <w:szCs w:val="21"/>
                <w:highlight w:val="none"/>
              </w:rPr>
            </w:pPr>
          </w:p>
        </w:tc>
        <w:tc>
          <w:tcPr>
            <w:tcW w:w="2582" w:type="dxa"/>
            <w:vMerge w:val="continue"/>
            <w:vAlign w:val="center"/>
          </w:tcPr>
          <w:p w14:paraId="27892CE1">
            <w:pPr>
              <w:wordWrap w:val="0"/>
              <w:spacing w:line="440" w:lineRule="exact"/>
              <w:jc w:val="center"/>
              <w:rPr>
                <w:color w:val="auto"/>
                <w:szCs w:val="21"/>
                <w:highlight w:val="none"/>
              </w:rPr>
            </w:pPr>
          </w:p>
        </w:tc>
      </w:tr>
      <w:tr w14:paraId="6023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445" w:type="dxa"/>
            <w:gridSpan w:val="2"/>
            <w:vAlign w:val="center"/>
          </w:tcPr>
          <w:p w14:paraId="5DDC5397">
            <w:pPr>
              <w:wordWrap w:val="0"/>
              <w:spacing w:line="440" w:lineRule="exact"/>
              <w:jc w:val="center"/>
              <w:rPr>
                <w:color w:val="auto"/>
                <w:szCs w:val="21"/>
                <w:highlight w:val="none"/>
              </w:rPr>
            </w:pPr>
            <w:r>
              <w:rPr>
                <w:color w:val="auto"/>
                <w:szCs w:val="21"/>
                <w:highlight w:val="none"/>
              </w:rPr>
              <w:t>拟分包工程造价合计（万元）</w:t>
            </w:r>
          </w:p>
        </w:tc>
        <w:tc>
          <w:tcPr>
            <w:tcW w:w="1864" w:type="dxa"/>
            <w:vAlign w:val="center"/>
          </w:tcPr>
          <w:p w14:paraId="13EE1328">
            <w:pPr>
              <w:wordWrap w:val="0"/>
              <w:spacing w:line="440" w:lineRule="exact"/>
              <w:jc w:val="center"/>
              <w:rPr>
                <w:color w:val="auto"/>
                <w:szCs w:val="21"/>
                <w:highlight w:val="none"/>
              </w:rPr>
            </w:pPr>
          </w:p>
        </w:tc>
        <w:tc>
          <w:tcPr>
            <w:tcW w:w="2582" w:type="dxa"/>
            <w:vMerge w:val="continue"/>
            <w:vAlign w:val="center"/>
          </w:tcPr>
          <w:p w14:paraId="3A7058FA">
            <w:pPr>
              <w:wordWrap w:val="0"/>
              <w:spacing w:line="440" w:lineRule="exact"/>
              <w:jc w:val="center"/>
              <w:rPr>
                <w:color w:val="auto"/>
                <w:szCs w:val="21"/>
                <w:highlight w:val="none"/>
              </w:rPr>
            </w:pPr>
          </w:p>
        </w:tc>
      </w:tr>
    </w:tbl>
    <w:p w14:paraId="70A5DCB6">
      <w:pPr>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left"/>
        <w:textAlignment w:val="auto"/>
        <w:outlineLvl w:val="9"/>
        <w:rPr>
          <w:rFonts w:hint="eastAsia" w:eastAsia="黑体" w:cs="Times New Roman"/>
          <w:b w:val="0"/>
          <w:bCs/>
          <w:color w:val="auto"/>
          <w:kern w:val="44"/>
          <w:sz w:val="28"/>
          <w:szCs w:val="28"/>
          <w:highlight w:val="none"/>
          <w:lang w:val="en-US" w:eastAsia="zh-CN"/>
        </w:rPr>
      </w:pPr>
      <w:r>
        <w:rPr>
          <w:rFonts w:hint="eastAsia" w:eastAsia="黑体" w:cs="Times New Roman"/>
          <w:b w:val="0"/>
          <w:bCs/>
          <w:color w:val="auto"/>
          <w:kern w:val="44"/>
          <w:sz w:val="28"/>
          <w:szCs w:val="28"/>
          <w:highlight w:val="none"/>
          <w:lang w:val="en-US" w:eastAsia="zh-CN"/>
        </w:rPr>
        <w:br w:type="page"/>
      </w:r>
    </w:p>
    <w:p w14:paraId="01C6C1AD">
      <w:pPr>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center"/>
        <w:textAlignment w:val="auto"/>
        <w:outlineLvl w:val="1"/>
        <w:rPr>
          <w:rFonts w:hint="default" w:ascii="Times New Roman" w:hAnsi="Times New Roman" w:eastAsia="黑体" w:cs="Times New Roman"/>
          <w:b w:val="0"/>
          <w:bCs/>
          <w:color w:val="auto"/>
          <w:kern w:val="44"/>
          <w:sz w:val="28"/>
          <w:szCs w:val="28"/>
          <w:highlight w:val="none"/>
        </w:rPr>
      </w:pPr>
      <w:bookmarkStart w:id="1971" w:name="_Toc18949"/>
      <w:r>
        <w:rPr>
          <w:rFonts w:hint="eastAsia" w:eastAsia="黑体" w:cs="Times New Roman"/>
          <w:b w:val="0"/>
          <w:bCs/>
          <w:color w:val="auto"/>
          <w:kern w:val="44"/>
          <w:sz w:val="28"/>
          <w:szCs w:val="28"/>
          <w:highlight w:val="none"/>
          <w:lang w:val="en-US" w:eastAsia="zh-CN"/>
        </w:rPr>
        <w:t>八</w:t>
      </w:r>
      <w:r>
        <w:rPr>
          <w:rFonts w:hint="default" w:ascii="Times New Roman" w:hAnsi="Times New Roman" w:eastAsia="黑体" w:cs="Times New Roman"/>
          <w:b w:val="0"/>
          <w:bCs/>
          <w:color w:val="auto"/>
          <w:kern w:val="44"/>
          <w:sz w:val="28"/>
          <w:szCs w:val="28"/>
          <w:highlight w:val="none"/>
        </w:rPr>
        <w:t>、资格审查资料</w:t>
      </w:r>
      <w:bookmarkEnd w:id="1966"/>
      <w:bookmarkEnd w:id="1967"/>
      <w:bookmarkEnd w:id="1971"/>
    </w:p>
    <w:p w14:paraId="3BE8F4F0">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8"/>
          <w:szCs w:val="28"/>
          <w:highlight w:val="none"/>
        </w:rPr>
      </w:pPr>
    </w:p>
    <w:p w14:paraId="69AA23B7">
      <w:pPr>
        <w:pStyle w:val="2"/>
        <w:pageBreakBefore w:val="0"/>
        <w:kinsoku/>
        <w:wordWrap w:val="0"/>
        <w:bidi w:val="0"/>
        <w:spacing w:before="0" w:after="0" w:line="380" w:lineRule="atLeast"/>
        <w:jc w:val="center"/>
        <w:outlineLvl w:val="2"/>
        <w:rPr>
          <w:rFonts w:hint="default" w:ascii="Times New Roman" w:hAnsi="Times New Roman" w:eastAsia="黑体" w:cs="Times New Roman"/>
          <w:color w:val="auto"/>
          <w:sz w:val="23"/>
          <w:szCs w:val="23"/>
          <w:highlight w:val="none"/>
        </w:rPr>
      </w:pPr>
      <w:bookmarkStart w:id="1972" w:name="_Toc15892"/>
      <w:bookmarkStart w:id="1973" w:name="_Toc8645"/>
      <w:bookmarkStart w:id="1974" w:name="_Toc234833279"/>
      <w:bookmarkStart w:id="1975" w:name="_Toc10802"/>
      <w:r>
        <w:rPr>
          <w:rFonts w:hint="default" w:ascii="Times New Roman" w:hAnsi="Times New Roman" w:eastAsia="黑体" w:cs="Times New Roman"/>
          <w:b w:val="0"/>
          <w:color w:val="auto"/>
          <w:sz w:val="24"/>
          <w:szCs w:val="24"/>
          <w:highlight w:val="none"/>
        </w:rPr>
        <w:t>（一）投标人基本情况表</w:t>
      </w:r>
      <w:bookmarkEnd w:id="1972"/>
      <w:bookmarkEnd w:id="1973"/>
      <w:bookmarkEnd w:id="1974"/>
      <w:bookmarkEnd w:id="1975"/>
    </w:p>
    <w:tbl>
      <w:tblPr>
        <w:tblStyle w:val="3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7"/>
        <w:gridCol w:w="900"/>
        <w:gridCol w:w="1080"/>
        <w:gridCol w:w="529"/>
        <w:gridCol w:w="731"/>
        <w:gridCol w:w="1078"/>
        <w:gridCol w:w="182"/>
        <w:gridCol w:w="901"/>
        <w:gridCol w:w="1620"/>
      </w:tblGrid>
      <w:tr w14:paraId="70E0B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ED81AF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投标人名称</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68D7FE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107B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24419B9">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注册地址</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14:paraId="264CB84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F7E9827">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邮政编码</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35A3EC9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E89D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restart"/>
            <w:tcBorders>
              <w:top w:val="single" w:color="auto" w:sz="4" w:space="0"/>
              <w:left w:val="single" w:color="auto" w:sz="4" w:space="0"/>
              <w:bottom w:val="single" w:color="auto" w:sz="4" w:space="0"/>
              <w:right w:val="single" w:color="auto" w:sz="4" w:space="0"/>
            </w:tcBorders>
            <w:noWrap w:val="0"/>
            <w:vAlign w:val="center"/>
          </w:tcPr>
          <w:p w14:paraId="6AE3005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11414BC">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2A8C17A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E7243B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 话</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61D8019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1746B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continue"/>
            <w:tcBorders>
              <w:top w:val="single" w:color="auto" w:sz="4" w:space="0"/>
              <w:left w:val="single" w:color="auto" w:sz="4" w:space="0"/>
              <w:bottom w:val="single" w:color="auto" w:sz="4" w:space="0"/>
              <w:right w:val="single" w:color="auto" w:sz="4" w:space="0"/>
            </w:tcBorders>
            <w:noWrap w:val="0"/>
            <w:vAlign w:val="center"/>
          </w:tcPr>
          <w:p w14:paraId="5190877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6E5BDC3">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传  真</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1C2954A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51D941F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电子邮件</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6BB9BF4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12287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44627B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法定代表人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4417D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77E113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3F19988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62E8E9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E49FD4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49BAA4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44AEF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22DE0D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1DA2AC7">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0426D0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53CADB52">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B93EFB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29B92D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FBF4BB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1B81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4CDB775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营业执照号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16078C9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041" w:type="dxa"/>
            <w:gridSpan w:val="6"/>
            <w:tcBorders>
              <w:top w:val="single" w:color="auto" w:sz="4" w:space="0"/>
              <w:left w:val="single" w:color="auto" w:sz="4" w:space="0"/>
              <w:bottom w:val="single" w:color="auto" w:sz="4" w:space="0"/>
              <w:right w:val="single" w:color="auto" w:sz="4" w:space="0"/>
            </w:tcBorders>
            <w:noWrap w:val="0"/>
            <w:vAlign w:val="center"/>
          </w:tcPr>
          <w:p w14:paraId="7020C15D">
            <w:pPr>
              <w:pageBreakBefore w:val="0"/>
              <w:kinsoku/>
              <w:wordWrap w:val="0"/>
              <w:topLinePunct/>
              <w:bidi w:val="0"/>
              <w:spacing w:line="440" w:lineRule="exact"/>
              <w:ind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员工总人数：</w:t>
            </w:r>
          </w:p>
        </w:tc>
      </w:tr>
      <w:tr w14:paraId="61DD9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D346BA2">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企业资质等级</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049DAA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restart"/>
            <w:tcBorders>
              <w:top w:val="single" w:color="auto" w:sz="4" w:space="0"/>
              <w:left w:val="single" w:color="auto" w:sz="4" w:space="0"/>
              <w:bottom w:val="single" w:color="auto" w:sz="4" w:space="0"/>
              <w:right w:val="single" w:color="auto" w:sz="4" w:space="0"/>
            </w:tcBorders>
            <w:noWrap w:val="0"/>
            <w:vAlign w:val="center"/>
          </w:tcPr>
          <w:p w14:paraId="2CF2B3C1">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其中</w:t>
            </w: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2BBD02D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38BEF72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4E11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B985CE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注册资本</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B0BF64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1B3991C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1C40081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高级职称人员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99399C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11B0A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47B23CB6">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成立日期</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7D4117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08B30261">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F01016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6672B4F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ED5C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03735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基本账户开户银行</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85A5FC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520546B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AE16C19">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初级职称人员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026AEC0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297FD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46747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基本账户银行账号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5348C0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7F28730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708BD689">
            <w:pPr>
              <w:pStyle w:val="28"/>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技工</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317778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03A53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right w:val="single" w:color="auto" w:sz="4" w:space="0"/>
            </w:tcBorders>
            <w:noWrap w:val="0"/>
            <w:vAlign w:val="center"/>
          </w:tcPr>
          <w:p w14:paraId="6E3633AA">
            <w:pPr>
              <w:pageBreakBefore w:val="0"/>
              <w:kinsoku/>
              <w:wordWrap w:val="0"/>
              <w:topLinePunct/>
              <w:bidi w:val="0"/>
              <w:spacing w:line="440" w:lineRule="exact"/>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经营范围</w:t>
            </w:r>
          </w:p>
        </w:tc>
        <w:tc>
          <w:tcPr>
            <w:tcW w:w="7021" w:type="dxa"/>
            <w:gridSpan w:val="8"/>
            <w:tcBorders>
              <w:top w:val="single" w:color="auto" w:sz="4" w:space="0"/>
              <w:left w:val="single" w:color="auto" w:sz="4" w:space="0"/>
              <w:right w:val="single" w:color="auto" w:sz="4" w:space="0"/>
            </w:tcBorders>
            <w:noWrap w:val="0"/>
            <w:vAlign w:val="center"/>
          </w:tcPr>
          <w:p w14:paraId="54E06F8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1EC9BCA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1B78801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20FCC711">
            <w:pPr>
              <w:pageBreakBefore w:val="0"/>
              <w:kinsoku/>
              <w:wordWrap w:val="0"/>
              <w:topLinePunct/>
              <w:bidi w:val="0"/>
              <w:spacing w:line="440" w:lineRule="exact"/>
              <w:rPr>
                <w:rFonts w:hint="default" w:ascii="Times New Roman" w:hAnsi="Times New Roman" w:cs="Times New Roman"/>
                <w:color w:val="auto"/>
                <w:szCs w:val="21"/>
                <w:highlight w:val="none"/>
              </w:rPr>
            </w:pPr>
          </w:p>
        </w:tc>
      </w:tr>
      <w:tr w14:paraId="2650B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A81F3D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投标人关联企业情况</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B3525F7">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投标人应提供关联企业情况，包括：</w:t>
            </w:r>
          </w:p>
          <w:p w14:paraId="7E8E0892">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（1）投标人的所有股东名称及相应股权（出资额）比例；如投标人为上市公司，投标人应提供股权占公司股份总数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%以上的所有股东名称及相应股权比例；</w:t>
            </w:r>
          </w:p>
          <w:p w14:paraId="3E3CF0BE">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（2）投标人投资（控股）或管理的下属企业名称、持有股权（出资额）比例；</w:t>
            </w:r>
          </w:p>
          <w:p w14:paraId="04E51B55">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（3）与投标人单位负责人（即法定代表人）为同一人的其他单位名称</w:t>
            </w:r>
          </w:p>
          <w:p w14:paraId="4AB04CD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0B1C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048B33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23F039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bl>
    <w:p w14:paraId="365D191D">
      <w:pPr>
        <w:pageBreakBefore w:val="0"/>
        <w:widowControl/>
        <w:kinsoku/>
        <w:wordWrap w:val="0"/>
        <w:autoSpaceDE w:val="0"/>
        <w:autoSpaceDN w:val="0"/>
        <w:bidi w:val="0"/>
        <w:spacing w:line="400" w:lineRule="atLeast"/>
        <w:ind w:left="630" w:hanging="630" w:hangingChars="300"/>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第3.5.1项的要求在本表后附相关证明材料。</w:t>
      </w:r>
    </w:p>
    <w:p w14:paraId="434A41F1">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2.以联合体形式参与投标的，联合体各成员应分别填写。</w:t>
      </w:r>
    </w:p>
    <w:p w14:paraId="7578FAF7">
      <w:pPr>
        <w:pageBreakBefore w:val="0"/>
        <w:kinsoku/>
        <w:wordWrap w:val="0"/>
        <w:bidi w:val="0"/>
        <w:spacing w:line="440" w:lineRule="exact"/>
        <w:jc w:val="center"/>
        <w:rPr>
          <w:rFonts w:hint="default" w:ascii="Times New Roman" w:hAnsi="Times New Roman" w:cs="Times New Roman"/>
          <w:color w:val="auto"/>
          <w:szCs w:val="21"/>
          <w:highlight w:val="none"/>
        </w:rPr>
      </w:pPr>
    </w:p>
    <w:p w14:paraId="7802496E">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76" w:name="_Toc234833280"/>
      <w:bookmarkStart w:id="1977" w:name="_Toc11366"/>
      <w:bookmarkStart w:id="1978" w:name="_Toc32655"/>
      <w:bookmarkStart w:id="1979" w:name="_Toc18039"/>
      <w:r>
        <w:rPr>
          <w:rFonts w:hint="default" w:ascii="Times New Roman" w:hAnsi="Times New Roman" w:eastAsia="黑体" w:cs="Times New Roman"/>
          <w:b w:val="0"/>
          <w:color w:val="auto"/>
          <w:sz w:val="24"/>
          <w:szCs w:val="24"/>
          <w:highlight w:val="none"/>
        </w:rPr>
        <w:t>（二）投标人企业组织机构框图</w:t>
      </w:r>
      <w:bookmarkEnd w:id="1976"/>
      <w:bookmarkEnd w:id="1977"/>
      <w:bookmarkEnd w:id="1978"/>
      <w:bookmarkEnd w:id="1979"/>
    </w:p>
    <w:p w14:paraId="16573E89">
      <w:pPr>
        <w:pageBreakBefore w:val="0"/>
        <w:widowControl/>
        <w:kinsoku/>
        <w:wordWrap w:val="0"/>
        <w:autoSpaceDE w:val="0"/>
        <w:autoSpaceDN w:val="0"/>
        <w:bidi w:val="0"/>
        <w:spacing w:line="400" w:lineRule="atLeast"/>
        <w:ind w:left="180"/>
        <w:jc w:val="center"/>
        <w:textAlignment w:val="bottom"/>
        <w:rPr>
          <w:rFonts w:hint="default" w:ascii="Times New Roman" w:hAnsi="Times New Roman" w:cs="Times New Roman"/>
          <w:color w:val="auto"/>
          <w:sz w:val="20"/>
          <w:szCs w:val="20"/>
          <w:highlight w:val="none"/>
        </w:rPr>
      </w:pPr>
    </w:p>
    <w:p w14:paraId="38D27C46">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tbl>
      <w:tblPr>
        <w:tblStyle w:val="3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1"/>
      </w:tblGrid>
      <w:tr w14:paraId="028ED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24" w:hRule="atLeast"/>
        </w:trPr>
        <w:tc>
          <w:tcPr>
            <w:tcW w:w="8891" w:type="dxa"/>
            <w:tcBorders>
              <w:bottom w:val="single" w:color="auto" w:sz="6" w:space="0"/>
            </w:tcBorders>
            <w:noWrap w:val="0"/>
            <w:vAlign w:val="top"/>
          </w:tcPr>
          <w:p w14:paraId="23408388">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6CCC0A46">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以框图方式表示。</w:t>
            </w:r>
          </w:p>
          <w:p w14:paraId="0A8AB62B">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5DAEC112">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468F2319">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73C5D8A7">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5010966F">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195D66E8">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678AD1F5">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062FA168">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133EE981">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tc>
      </w:tr>
      <w:tr w14:paraId="1E57E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2" w:hRule="atLeast"/>
        </w:trPr>
        <w:tc>
          <w:tcPr>
            <w:tcW w:w="8891" w:type="dxa"/>
            <w:tcBorders>
              <w:bottom w:val="single" w:color="auto" w:sz="6" w:space="0"/>
            </w:tcBorders>
            <w:noWrap w:val="0"/>
            <w:vAlign w:val="top"/>
          </w:tcPr>
          <w:p w14:paraId="13FA90B3">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0F854CB2">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375116EF">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6D448608">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57147CCE">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tc>
      </w:tr>
    </w:tbl>
    <w:p w14:paraId="08EE2041">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p w14:paraId="15E000F4">
      <w:pPr>
        <w:pageBreakBefore w:val="0"/>
        <w:kinsoku/>
        <w:wordWrap w:val="0"/>
        <w:topLinePunct/>
        <w:bidi w:val="0"/>
        <w:spacing w:line="34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 xml:space="preserve"> </w:t>
      </w:r>
    </w:p>
    <w:p w14:paraId="4099C2B6">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980" w:name="_Toc234833282"/>
      <w:bookmarkStart w:id="1981" w:name="_Toc5424"/>
      <w:bookmarkStart w:id="1982" w:name="_Toc10365"/>
      <w:bookmarkStart w:id="1983" w:name="_Toc9070"/>
      <w:bookmarkStart w:id="1984" w:name="_Toc234833281"/>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三</w:t>
      </w:r>
      <w:r>
        <w:rPr>
          <w:rFonts w:hint="default" w:ascii="Times New Roman" w:hAnsi="Times New Roman" w:eastAsia="黑体" w:cs="Times New Roman"/>
          <w:b w:val="0"/>
          <w:color w:val="auto"/>
          <w:sz w:val="24"/>
          <w:szCs w:val="24"/>
          <w:highlight w:val="none"/>
        </w:rPr>
        <w:t>）近年财务状况</w:t>
      </w:r>
      <w:bookmarkEnd w:id="1980"/>
      <w:bookmarkEnd w:id="1981"/>
      <w:bookmarkEnd w:id="1982"/>
      <w:bookmarkEnd w:id="1983"/>
    </w:p>
    <w:p w14:paraId="0527150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6BE0150">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财务状况表</w:t>
      </w:r>
    </w:p>
    <w:p w14:paraId="70D234CB">
      <w:pPr>
        <w:pageBreakBefore w:val="0"/>
        <w:kinsoku/>
        <w:wordWrap w:val="0"/>
        <w:bidi w:val="0"/>
        <w:spacing w:line="320" w:lineRule="atLeast"/>
        <w:jc w:val="center"/>
        <w:rPr>
          <w:rFonts w:hint="default" w:ascii="Times New Roman" w:hAnsi="Times New Roman" w:eastAsia="黑体" w:cs="Times New Roman"/>
          <w:b/>
          <w:color w:val="auto"/>
          <w:sz w:val="28"/>
          <w:highlight w:val="none"/>
        </w:rPr>
      </w:pPr>
    </w:p>
    <w:tbl>
      <w:tblPr>
        <w:tblStyle w:val="39"/>
        <w:tblW w:w="0" w:type="auto"/>
        <w:tblInd w:w="-77" w:type="dxa"/>
        <w:tblLayout w:type="fixed"/>
        <w:tblCellMar>
          <w:top w:w="0" w:type="dxa"/>
          <w:left w:w="28" w:type="dxa"/>
          <w:bottom w:w="0" w:type="dxa"/>
          <w:right w:w="28" w:type="dxa"/>
        </w:tblCellMar>
      </w:tblPr>
      <w:tblGrid>
        <w:gridCol w:w="4065"/>
        <w:gridCol w:w="900"/>
        <w:gridCol w:w="1320"/>
        <w:gridCol w:w="1320"/>
        <w:gridCol w:w="1320"/>
      </w:tblGrid>
      <w:tr w14:paraId="3C39448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21F3B49">
            <w:pPr>
              <w:pageBreakBefore w:val="0"/>
              <w:widowControl/>
              <w:kinsoku/>
              <w:wordWrap w:val="0"/>
              <w:autoSpaceDE w:val="0"/>
              <w:autoSpaceDN w:val="0"/>
              <w:bidi w:val="0"/>
              <w:spacing w:before="120" w:beforeLines="50" w:after="120" w:afterLines="50" w:line="320" w:lineRule="atLeast"/>
              <w:ind w:left="113"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项目或指标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9B8C4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E019EE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2EBBB38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07063B8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r>
      <w:tr w14:paraId="65FE7BC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727BE81">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 注册资本</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112F3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9E224E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58C348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D44E45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9FF2EE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1976377">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 净资产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46C55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27DF4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5A5C4C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CA34AF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F78CE0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55DD495">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 总资产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17B2D5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C8151A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B59B45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FBA93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22CBE9A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8CA751F">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 固定资产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A4BA20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86D6FA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3E28F0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7CCF67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3D8C5B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5831855">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 流动资产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E2BD6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2473E8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39D2F2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7CF164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9F049BB">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FCBB910">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 流动负债</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E8F92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5D045C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67110F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581DC9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D30EA9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38FF6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七、 负债合计</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D84B8F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351B7A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C861D5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CF5E7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755114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53A9089">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八、 营业收入</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BC72135">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3F758C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8017D5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2E834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4DBC54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9172B29">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九、 净利润</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D8E17B">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42D9E8F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AC500D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AB0DBF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42BAFB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0B90F0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 现金流量净额</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0BDA7C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0366A8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134628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9C2BD8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D2C765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F6323F4">
            <w:pPr>
              <w:pageBreakBefore w:val="0"/>
              <w:widowControl/>
              <w:kinsoku/>
              <w:wordWrap w:val="0"/>
              <w:autoSpaceDE w:val="0"/>
              <w:autoSpaceDN w:val="0"/>
              <w:bidi w:val="0"/>
              <w:spacing w:before="120" w:beforeLines="50" w:after="120" w:afterLines="50" w:line="320" w:lineRule="atLeast"/>
              <w:ind w:left="840" w:hanging="714"/>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十一、 主要财务指标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91FFC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4" w:space="0"/>
              <w:bottom w:val="single" w:color="auto" w:sz="6" w:space="0"/>
              <w:right w:val="single" w:color="auto" w:sz="6" w:space="0"/>
            </w:tcBorders>
            <w:noWrap w:val="0"/>
            <w:vAlign w:val="top"/>
          </w:tcPr>
          <w:p w14:paraId="78EB8A8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07A044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B25D3B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38FB69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A3F8387">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净资产收益率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B0498F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BEC9DE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CC9FAD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75B7E4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073F370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64C65BE">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总资产报酬率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E97B81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2C4CD9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32AD12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027D64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E54092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785A916">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主营业务利润率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DF22C4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511E5B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A38CD3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72A5D5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919F57A">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B5E089">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资产负债率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A90B4F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4724037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DAD5CA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C6D9EA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405CDD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3AC5301">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流动比率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2F1F88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BC1E34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B41D3A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0BB516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8B0FD9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B8D09CF">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速动比率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41373E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E44E9C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210F82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2682B3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bl>
    <w:p w14:paraId="6DAD3EBE">
      <w:pPr>
        <w:pageBreakBefore w:val="0"/>
        <w:kinsoku/>
        <w:wordWrap w:val="0"/>
        <w:bidi w:val="0"/>
        <w:spacing w:line="400" w:lineRule="atLeast"/>
        <w:ind w:left="735" w:hanging="735" w:hangingChars="35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第3.5.2项的要求在本表后附相关证明材料。</w:t>
      </w:r>
    </w:p>
    <w:p w14:paraId="33A17488">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2.本表所列数据必须与本表各附件中的数据相一致。</w:t>
      </w:r>
    </w:p>
    <w:p w14:paraId="09BCA035">
      <w:pPr>
        <w:pageBreakBefore w:val="0"/>
        <w:kinsoku/>
        <w:wordWrap w:val="0"/>
        <w:bidi w:val="0"/>
        <w:spacing w:line="400" w:lineRule="atLeast"/>
        <w:ind w:left="399" w:leftChars="19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前附表附录2要求及第三章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2AB7D601">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4"/>
          <w:highlight w:val="none"/>
        </w:rPr>
        <w:t>银行信贷证明</w:t>
      </w:r>
      <w:r>
        <w:rPr>
          <w:rStyle w:val="47"/>
          <w:rFonts w:hint="default" w:ascii="Times New Roman" w:hAnsi="Times New Roman" w:eastAsia="黑体" w:cs="Times New Roman"/>
          <w:color w:val="auto"/>
          <w:sz w:val="24"/>
          <w:highlight w:val="none"/>
        </w:rPr>
        <w:footnoteReference w:id="60"/>
      </w:r>
    </w:p>
    <w:p w14:paraId="10AB1D1E">
      <w:pPr>
        <w:pageBreakBefore w:val="0"/>
        <w:kinsoku/>
        <w:wordWrap w:val="0"/>
        <w:bidi w:val="0"/>
        <w:spacing w:line="360" w:lineRule="atLeast"/>
        <w:jc w:val="center"/>
        <w:rPr>
          <w:rFonts w:hint="default" w:ascii="Times New Roman" w:hAnsi="Times New Roman" w:cs="Times New Roman"/>
          <w:color w:val="auto"/>
          <w:sz w:val="24"/>
          <w:highlight w:val="none"/>
        </w:rPr>
      </w:pPr>
    </w:p>
    <w:p w14:paraId="1B62BE0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银行名称：________________________________</w:t>
      </w:r>
    </w:p>
    <w:p w14:paraId="6A1B9CC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址：________________________________</w:t>
      </w:r>
    </w:p>
    <w:p w14:paraId="3DDB32E4">
      <w:pPr>
        <w:pageBreakBefore w:val="0"/>
        <w:kinsoku/>
        <w:wordWrap w:val="0"/>
        <w:autoSpaceDE w:val="0"/>
        <w:autoSpaceDN w:val="0"/>
        <w:bidi w:val="0"/>
        <w:adjustRightInd w:val="0"/>
        <w:spacing w:line="520" w:lineRule="atLeast"/>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日期：_____________ </w:t>
      </w:r>
    </w:p>
    <w:p w14:paraId="1BACC66E">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60C2306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 xml:space="preserve">    （招标人全称）    </w:t>
      </w:r>
    </w:p>
    <w:p w14:paraId="714259B8">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191C6DEA">
      <w:pPr>
        <w:pageBreakBefore w:val="0"/>
        <w:kinsoku/>
        <w:wordWrap w:val="0"/>
        <w:autoSpaceDE w:val="0"/>
        <w:autoSpaceDN w:val="0"/>
        <w:bidi w:val="0"/>
        <w:adjustRightInd w:val="0"/>
        <w:spacing w:line="40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兹开具最高限额为人民币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万元的银行信贷，供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（投标人注册地点）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日之前，在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（项目名称）需要时使用。我行保证由____________（投标人名称）提供的财务报表中所开列的作为流动资产的各项中无一项包含在上述提到的银行信贷中。</w:t>
      </w:r>
    </w:p>
    <w:p w14:paraId="3A6B9E9B">
      <w:pPr>
        <w:pageBreakBefore w:val="0"/>
        <w:kinsoku/>
        <w:wordWrap w:val="0"/>
        <w:autoSpaceDE w:val="0"/>
        <w:autoSpaceDN w:val="0"/>
        <w:bidi w:val="0"/>
        <w:adjustRightInd w:val="0"/>
        <w:spacing w:line="52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此项目若未中标，该信贷证明自动失效，无须退回我行。</w:t>
      </w:r>
    </w:p>
    <w:p w14:paraId="6F5B77C6">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775581C4">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          行（盖单位章）：</w:t>
      </w:r>
      <w:r>
        <w:rPr>
          <w:rFonts w:hint="default" w:ascii="Times New Roman" w:hAnsi="Times New Roman" w:cs="Times New Roman"/>
          <w:color w:val="auto"/>
          <w:sz w:val="24"/>
          <w:highlight w:val="none"/>
          <w:u w:val="single"/>
        </w:rPr>
        <w:t xml:space="preserve">                 </w:t>
      </w:r>
    </w:p>
    <w:p w14:paraId="3AF9EA60">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银行主要负责人（签字）：</w:t>
      </w:r>
      <w:r>
        <w:rPr>
          <w:rFonts w:hint="default" w:ascii="Times New Roman" w:hAnsi="Times New Roman" w:cs="Times New Roman"/>
          <w:color w:val="auto"/>
          <w:sz w:val="24"/>
          <w:highlight w:val="none"/>
          <w:u w:val="single"/>
        </w:rPr>
        <w:t xml:space="preserve">                     </w:t>
      </w:r>
    </w:p>
    <w:p w14:paraId="05AD56AF">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银行主要负责人姓名、职务：</w:t>
      </w:r>
      <w:r>
        <w:rPr>
          <w:rFonts w:hint="default" w:ascii="Times New Roman" w:hAnsi="Times New Roman" w:cs="Times New Roman"/>
          <w:color w:val="auto"/>
          <w:sz w:val="24"/>
          <w:highlight w:val="none"/>
          <w:u w:val="single"/>
        </w:rPr>
        <w:t xml:space="preserve">     （打印）    </w:t>
      </w:r>
    </w:p>
    <w:p w14:paraId="24D4291B">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电    话：</w:t>
      </w:r>
      <w:r>
        <w:rPr>
          <w:rFonts w:hint="default" w:ascii="Times New Roman" w:hAnsi="Times New Roman" w:cs="Times New Roman"/>
          <w:color w:val="auto"/>
          <w:sz w:val="24"/>
          <w:highlight w:val="none"/>
          <w:u w:val="single"/>
        </w:rPr>
        <w:t xml:space="preserve">                    </w:t>
      </w:r>
    </w:p>
    <w:p w14:paraId="486D26B6">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传    真：</w:t>
      </w:r>
      <w:r>
        <w:rPr>
          <w:rFonts w:hint="default" w:ascii="Times New Roman" w:hAnsi="Times New Roman" w:cs="Times New Roman"/>
          <w:color w:val="auto"/>
          <w:sz w:val="24"/>
          <w:highlight w:val="none"/>
          <w:u w:val="single"/>
        </w:rPr>
        <w:t xml:space="preserve">                    </w:t>
      </w:r>
    </w:p>
    <w:p w14:paraId="11D80433">
      <w:pPr>
        <w:pageBreakBefore w:val="0"/>
        <w:kinsoku/>
        <w:wordWrap w:val="0"/>
        <w:bidi w:val="0"/>
        <w:spacing w:line="320" w:lineRule="atLeast"/>
        <w:jc w:val="center"/>
        <w:rPr>
          <w:rFonts w:hint="default" w:ascii="Times New Roman" w:hAnsi="Times New Roman" w:cs="Times New Roman"/>
          <w:color w:val="auto"/>
          <w:sz w:val="24"/>
          <w:highlight w:val="none"/>
        </w:rPr>
      </w:pPr>
    </w:p>
    <w:p w14:paraId="4BE6F83A">
      <w:pPr>
        <w:pageBreakBefore w:val="0"/>
        <w:kinsoku/>
        <w:wordWrap w:val="0"/>
        <w:bidi w:val="0"/>
        <w:spacing w:line="320" w:lineRule="atLeast"/>
        <w:jc w:val="center"/>
        <w:rPr>
          <w:rFonts w:hint="default" w:ascii="Times New Roman" w:hAnsi="Times New Roman" w:cs="Times New Roman"/>
          <w:color w:val="auto"/>
          <w:sz w:val="24"/>
          <w:highlight w:val="none"/>
        </w:rPr>
      </w:pPr>
    </w:p>
    <w:p w14:paraId="030A3B5C">
      <w:pPr>
        <w:pStyle w:val="30"/>
        <w:pageBreakBefore w:val="0"/>
        <w:kinsoku/>
        <w:wordWrap w:val="0"/>
        <w:bidi w:val="0"/>
        <w:spacing w:line="320" w:lineRule="atLeast"/>
        <w:ind w:left="1084" w:leftChars="216" w:hanging="630" w:hangingChars="3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注：允许投标人实际开具的银行信贷证明的格式与《</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》提供的格式有所不同，但不得更改《</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》提供的银行信贷证明格式中的实质性内容。</w:t>
      </w:r>
    </w:p>
    <w:p w14:paraId="5EFCF949">
      <w:pPr>
        <w:pageBreakBefore w:val="0"/>
        <w:kinsoku/>
        <w:wordWrap w:val="0"/>
        <w:bidi w:val="0"/>
        <w:spacing w:line="320" w:lineRule="atLeast"/>
        <w:ind w:left="1155" w:leftChars="400" w:hanging="315" w:hangingChars="150"/>
        <w:rPr>
          <w:rFonts w:hint="default" w:ascii="Times New Roman" w:hAnsi="Times New Roman" w:cs="Times New Roman"/>
          <w:color w:val="auto"/>
          <w:szCs w:val="21"/>
          <w:highlight w:val="none"/>
        </w:rPr>
      </w:pPr>
    </w:p>
    <w:p w14:paraId="4106A125">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985" w:name="_Toc234833283"/>
      <w:bookmarkStart w:id="1986" w:name="_Toc11478"/>
      <w:bookmarkStart w:id="1987" w:name="_Toc26877"/>
      <w:bookmarkStart w:id="1988" w:name="_Toc21134"/>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四</w:t>
      </w:r>
      <w:r>
        <w:rPr>
          <w:rFonts w:hint="default" w:ascii="Times New Roman" w:hAnsi="Times New Roman" w:eastAsia="黑体" w:cs="Times New Roman"/>
          <w:b w:val="0"/>
          <w:color w:val="auto"/>
          <w:sz w:val="24"/>
          <w:szCs w:val="24"/>
          <w:highlight w:val="none"/>
        </w:rPr>
        <w:t>）近年完成的类似项目情况表</w:t>
      </w:r>
      <w:bookmarkEnd w:id="1985"/>
      <w:bookmarkEnd w:id="1986"/>
      <w:bookmarkEnd w:id="1987"/>
      <w:bookmarkEnd w:id="1988"/>
    </w:p>
    <w:p w14:paraId="0DFD8809">
      <w:pPr>
        <w:pageBreakBefore w:val="0"/>
        <w:kinsoku/>
        <w:wordWrap w:val="0"/>
        <w:bidi w:val="0"/>
        <w:spacing w:line="440" w:lineRule="exact"/>
        <w:jc w:val="center"/>
        <w:rPr>
          <w:rFonts w:hint="default" w:ascii="Times New Roman" w:hAnsi="Times New Roman" w:eastAsia="黑体" w:cs="Times New Roman"/>
          <w:color w:val="auto"/>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524"/>
      </w:tblGrid>
      <w:tr w14:paraId="3F3D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225EC37B">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Cs w:val="21"/>
                <w:highlight w:val="none"/>
              </w:rPr>
              <w:t>序    号</w:t>
            </w:r>
          </w:p>
        </w:tc>
        <w:tc>
          <w:tcPr>
            <w:tcW w:w="6524" w:type="dxa"/>
            <w:noWrap w:val="0"/>
            <w:vAlign w:val="top"/>
          </w:tcPr>
          <w:p w14:paraId="0F10548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D2D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2CFE504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项目名称</w:t>
            </w:r>
          </w:p>
        </w:tc>
        <w:tc>
          <w:tcPr>
            <w:tcW w:w="6524" w:type="dxa"/>
            <w:noWrap w:val="0"/>
            <w:vAlign w:val="top"/>
          </w:tcPr>
          <w:p w14:paraId="472B67F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C81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67" w:type="dxa"/>
            <w:noWrap w:val="0"/>
            <w:vAlign w:val="center"/>
          </w:tcPr>
          <w:p w14:paraId="7010AB17">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项目所在地</w:t>
            </w:r>
          </w:p>
        </w:tc>
        <w:tc>
          <w:tcPr>
            <w:tcW w:w="6524" w:type="dxa"/>
            <w:noWrap w:val="0"/>
            <w:vAlign w:val="top"/>
          </w:tcPr>
          <w:p w14:paraId="57E07AE3">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3D4B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67" w:type="dxa"/>
            <w:noWrap w:val="0"/>
            <w:vAlign w:val="center"/>
          </w:tcPr>
          <w:p w14:paraId="70D48B5A">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发包人名称</w:t>
            </w:r>
          </w:p>
        </w:tc>
        <w:tc>
          <w:tcPr>
            <w:tcW w:w="6524" w:type="dxa"/>
            <w:noWrap w:val="0"/>
            <w:vAlign w:val="top"/>
          </w:tcPr>
          <w:p w14:paraId="4864BC73">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710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67" w:type="dxa"/>
            <w:noWrap w:val="0"/>
            <w:vAlign w:val="center"/>
          </w:tcPr>
          <w:p w14:paraId="7F0B628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发包人地址</w:t>
            </w:r>
          </w:p>
        </w:tc>
        <w:tc>
          <w:tcPr>
            <w:tcW w:w="6524" w:type="dxa"/>
            <w:noWrap w:val="0"/>
            <w:vAlign w:val="top"/>
          </w:tcPr>
          <w:p w14:paraId="3AA9F02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E74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67" w:type="dxa"/>
            <w:noWrap w:val="0"/>
            <w:vAlign w:val="center"/>
          </w:tcPr>
          <w:p w14:paraId="061EE3EF">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发包人电话</w:t>
            </w:r>
          </w:p>
        </w:tc>
        <w:tc>
          <w:tcPr>
            <w:tcW w:w="6524" w:type="dxa"/>
            <w:noWrap w:val="0"/>
            <w:vAlign w:val="top"/>
          </w:tcPr>
          <w:p w14:paraId="7D051E7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39A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0B73D14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合同价格</w:t>
            </w:r>
          </w:p>
        </w:tc>
        <w:tc>
          <w:tcPr>
            <w:tcW w:w="6524" w:type="dxa"/>
            <w:noWrap w:val="0"/>
            <w:vAlign w:val="top"/>
          </w:tcPr>
          <w:p w14:paraId="615D2EB9">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CFD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3B74418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开工日期</w:t>
            </w:r>
          </w:p>
        </w:tc>
        <w:tc>
          <w:tcPr>
            <w:tcW w:w="6524" w:type="dxa"/>
            <w:noWrap w:val="0"/>
            <w:vAlign w:val="top"/>
          </w:tcPr>
          <w:p w14:paraId="7427075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523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67" w:type="dxa"/>
            <w:noWrap w:val="0"/>
            <w:vAlign w:val="center"/>
          </w:tcPr>
          <w:p w14:paraId="41A93791">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交工日期</w:t>
            </w:r>
          </w:p>
        </w:tc>
        <w:tc>
          <w:tcPr>
            <w:tcW w:w="6524" w:type="dxa"/>
            <w:noWrap w:val="0"/>
            <w:vAlign w:val="top"/>
          </w:tcPr>
          <w:p w14:paraId="554EE8D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CC8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67" w:type="dxa"/>
            <w:noWrap w:val="0"/>
            <w:vAlign w:val="center"/>
          </w:tcPr>
          <w:p w14:paraId="1888DBD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承担的工作</w:t>
            </w:r>
          </w:p>
        </w:tc>
        <w:tc>
          <w:tcPr>
            <w:tcW w:w="6524" w:type="dxa"/>
            <w:noWrap w:val="0"/>
            <w:vAlign w:val="top"/>
          </w:tcPr>
          <w:p w14:paraId="39DA7006">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782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7" w:type="dxa"/>
            <w:noWrap w:val="0"/>
            <w:vAlign w:val="center"/>
          </w:tcPr>
          <w:p w14:paraId="22535357">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工程质量</w:t>
            </w:r>
          </w:p>
        </w:tc>
        <w:tc>
          <w:tcPr>
            <w:tcW w:w="6524" w:type="dxa"/>
            <w:noWrap w:val="0"/>
            <w:vAlign w:val="top"/>
          </w:tcPr>
          <w:p w14:paraId="76951866">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3F53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67" w:type="dxa"/>
            <w:noWrap w:val="0"/>
            <w:vAlign w:val="center"/>
          </w:tcPr>
          <w:p w14:paraId="186F588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项目经理</w:t>
            </w:r>
          </w:p>
        </w:tc>
        <w:tc>
          <w:tcPr>
            <w:tcW w:w="6524" w:type="dxa"/>
            <w:noWrap w:val="0"/>
            <w:vAlign w:val="top"/>
          </w:tcPr>
          <w:p w14:paraId="16B386F8">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FC4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67" w:type="dxa"/>
            <w:noWrap w:val="0"/>
            <w:vAlign w:val="center"/>
          </w:tcPr>
          <w:p w14:paraId="0ACE3DBE">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项目总工</w:t>
            </w:r>
          </w:p>
        </w:tc>
        <w:tc>
          <w:tcPr>
            <w:tcW w:w="6524" w:type="dxa"/>
            <w:noWrap w:val="0"/>
            <w:vAlign w:val="top"/>
          </w:tcPr>
          <w:p w14:paraId="356F66EB">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59F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5687CF1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总监理工程师及电话</w:t>
            </w:r>
          </w:p>
        </w:tc>
        <w:tc>
          <w:tcPr>
            <w:tcW w:w="6524" w:type="dxa"/>
            <w:noWrap w:val="0"/>
            <w:vAlign w:val="top"/>
          </w:tcPr>
          <w:p w14:paraId="57659DAC">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2AA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67" w:type="dxa"/>
            <w:noWrap w:val="0"/>
            <w:vAlign w:val="center"/>
          </w:tcPr>
          <w:p w14:paraId="2649B5B8">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项目描述</w:t>
            </w:r>
          </w:p>
        </w:tc>
        <w:tc>
          <w:tcPr>
            <w:tcW w:w="6524" w:type="dxa"/>
            <w:noWrap w:val="0"/>
            <w:vAlign w:val="top"/>
          </w:tcPr>
          <w:p w14:paraId="0F039D46">
            <w:pPr>
              <w:pageBreakBefore w:val="0"/>
              <w:kinsoku/>
              <w:wordWrap w:val="0"/>
              <w:topLinePunct/>
              <w:bidi w:val="0"/>
              <w:spacing w:line="440" w:lineRule="exact"/>
              <w:rPr>
                <w:rFonts w:hint="default" w:ascii="Times New Roman" w:hAnsi="Times New Roman" w:cs="Times New Roman"/>
                <w:color w:val="auto"/>
                <w:sz w:val="20"/>
                <w:szCs w:val="20"/>
                <w:highlight w:val="none"/>
              </w:rPr>
            </w:pPr>
          </w:p>
          <w:p w14:paraId="470358C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A19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2E529C3A">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备注</w:t>
            </w:r>
          </w:p>
        </w:tc>
        <w:tc>
          <w:tcPr>
            <w:tcW w:w="6524" w:type="dxa"/>
            <w:noWrap w:val="0"/>
            <w:vAlign w:val="top"/>
          </w:tcPr>
          <w:p w14:paraId="0A99BDD1">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bl>
    <w:p w14:paraId="3F2C4FF2">
      <w:pPr>
        <w:pageBreakBefore w:val="0"/>
        <w:kinsoku/>
        <w:wordWrap w:val="0"/>
        <w:bidi w:val="0"/>
        <w:spacing w:line="400" w:lineRule="atLeast"/>
        <w:ind w:left="735"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注：1.每张表格只填写一个项目，并标明序号。</w:t>
      </w:r>
    </w:p>
    <w:p w14:paraId="63D57CF8">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第3.5.3项的要求在本表后附相关证明材料。</w:t>
      </w:r>
    </w:p>
    <w:p w14:paraId="30B36AB1">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3.如近年来，投标人法人机构发生合法变更或重组或法人名称变更时，应提供相关部门的合法批件或其他相关证明材料来证明其所附业绩的继承性。</w:t>
      </w:r>
    </w:p>
    <w:p w14:paraId="523D0CC0">
      <w:pPr>
        <w:pageBreakBefore w:val="0"/>
        <w:kinsoku/>
        <w:wordWrap w:val="0"/>
        <w:bidi w:val="0"/>
        <w:spacing w:line="400" w:lineRule="atLeast"/>
        <w:ind w:left="609" w:leftChars="190" w:hanging="210" w:hanging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前附表附录3要求及第三章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51AB2A06">
      <w:pPr>
        <w:pageBreakBefore w:val="0"/>
        <w:kinsoku/>
        <w:wordWrap w:val="0"/>
        <w:bidi w:val="0"/>
        <w:spacing w:line="280" w:lineRule="exact"/>
        <w:rPr>
          <w:rFonts w:hint="default" w:ascii="Times New Roman" w:hAnsi="Times New Roman" w:eastAsia="黑体" w:cs="Times New Roman"/>
          <w:color w:val="auto"/>
          <w:sz w:val="23"/>
          <w:szCs w:val="23"/>
          <w:highlight w:val="none"/>
        </w:rPr>
      </w:pPr>
      <w:r>
        <w:rPr>
          <w:rFonts w:hint="default" w:ascii="Times New Roman" w:hAnsi="Times New Roman" w:eastAsia="黑体" w:cs="Times New Roman"/>
          <w:color w:val="auto"/>
          <w:sz w:val="23"/>
          <w:szCs w:val="23"/>
          <w:highlight w:val="none"/>
        </w:rPr>
        <w:br w:type="page"/>
      </w:r>
    </w:p>
    <w:p w14:paraId="1DFF9D83">
      <w:pPr>
        <w:pStyle w:val="2"/>
        <w:pageBreakBefore w:val="0"/>
        <w:numPr>
          <w:ilvl w:val="0"/>
          <w:numId w:val="1"/>
        </w:numPr>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89" w:name="_Toc2693"/>
      <w:bookmarkStart w:id="1990" w:name="_Toc17918"/>
      <w:bookmarkStart w:id="1991" w:name="_Toc26533"/>
      <w:bookmarkStart w:id="1992" w:name="_Toc234833285"/>
      <w:r>
        <w:rPr>
          <w:rFonts w:hint="default" w:ascii="Times New Roman" w:hAnsi="Times New Roman" w:eastAsia="黑体" w:cs="Times New Roman"/>
          <w:b w:val="0"/>
          <w:color w:val="auto"/>
          <w:sz w:val="24"/>
          <w:szCs w:val="24"/>
          <w:highlight w:val="none"/>
        </w:rPr>
        <w:t>投标人的信誉情况表</w:t>
      </w:r>
      <w:bookmarkEnd w:id="1989"/>
      <w:bookmarkEnd w:id="1990"/>
      <w:bookmarkEnd w:id="1991"/>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3F2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261" w:type="dxa"/>
            <w:noWrap w:val="0"/>
            <w:vAlign w:val="center"/>
          </w:tcPr>
          <w:p w14:paraId="01D9FDF4">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 目</w:t>
            </w:r>
          </w:p>
        </w:tc>
        <w:tc>
          <w:tcPr>
            <w:tcW w:w="4261" w:type="dxa"/>
            <w:noWrap w:val="0"/>
            <w:vAlign w:val="center"/>
          </w:tcPr>
          <w:p w14:paraId="17E62E68">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投标人情况说明</w:t>
            </w:r>
          </w:p>
        </w:tc>
      </w:tr>
      <w:tr w14:paraId="6DDA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6E802B43">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459D5E71">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1007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34353CB9">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0608AC5F">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5FBE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137FE42">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FD5112D">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218B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39E2B02">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53DAEA39">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0945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2C50DB3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EEA8C1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4BDB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D2E3A2F">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DDFD1E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3228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E4826FE">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72ED0E2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0ABE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BB4F75C">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2FBFB6D4">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bl>
    <w:p w14:paraId="4CC66E75">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注：1.投标人应按照招标文件第二章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前附表附录4和</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正文第1.4.4项规定，逐条说明其信誉情况。</w:t>
      </w:r>
      <w:bookmarkEnd w:id="1992"/>
    </w:p>
    <w:p w14:paraId="65D31368">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bookmarkStart w:id="1993" w:name="_Hlk493477915"/>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第3.5.4项的要求在本表后附相关证明材料。</w:t>
      </w:r>
      <w:bookmarkEnd w:id="1993"/>
    </w:p>
    <w:p w14:paraId="4F26CEBF">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3.以联合体形式参与投标的，联合体各成员应分别填写。</w:t>
      </w:r>
    </w:p>
    <w:p w14:paraId="6714ECC4">
      <w:pPr>
        <w:pStyle w:val="2"/>
        <w:pageBreakBefore w:val="0"/>
        <w:kinsoku/>
        <w:wordWrap w:val="0"/>
        <w:bidi w:val="0"/>
        <w:spacing w:before="0" w:after="0" w:line="380" w:lineRule="atLeast"/>
        <w:jc w:val="center"/>
        <w:outlineLvl w:val="9"/>
        <w:rPr>
          <w:rFonts w:hint="default" w:ascii="Times New Roman" w:hAnsi="Times New Roman" w:cs="Times New Roman"/>
          <w:b w:val="0"/>
          <w:bCs w:val="0"/>
          <w:color w:val="auto"/>
          <w:kern w:val="2"/>
          <w:sz w:val="21"/>
          <w:szCs w:val="21"/>
          <w:highlight w:val="none"/>
          <w:lang w:val="en-US" w:eastAsia="zh-CN"/>
        </w:rPr>
        <w:sectPr>
          <w:headerReference r:id="rId49" w:type="default"/>
          <w:footerReference r:id="rId50" w:type="default"/>
          <w:footnotePr>
            <w:numFmt w:val="decimalEnclosedCircleChinese"/>
            <w:numRestart w:val="eachPage"/>
          </w:footnotePr>
          <w:type w:val="continuous"/>
          <w:pgSz w:w="11907" w:h="16840"/>
          <w:pgMar w:top="1588" w:right="1588" w:bottom="1474" w:left="1644" w:header="851" w:footer="851" w:gutter="0"/>
          <w:pgNumType w:fmt="decimal"/>
          <w:cols w:space="720" w:num="1"/>
          <w:docGrid w:linePitch="312" w:charSpace="0"/>
        </w:sectPr>
      </w:pPr>
    </w:p>
    <w:p w14:paraId="679F533B">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zh-CN" w:bidi="zh-CN"/>
        </w:rPr>
      </w:pPr>
      <w:r>
        <w:rPr>
          <w:rFonts w:hint="default" w:ascii="Times New Roman" w:hAnsi="Times New Roman" w:eastAsia="黑体" w:cs="Times New Roman"/>
          <w:bCs/>
          <w:color w:val="auto"/>
          <w:kern w:val="0"/>
          <w:sz w:val="28"/>
          <w:szCs w:val="28"/>
          <w:highlight w:val="none"/>
          <w:lang w:val="zh-CN" w:bidi="zh-CN"/>
        </w:rPr>
        <w:t>无行贿犯罪行为承诺函（格式）</w:t>
      </w:r>
    </w:p>
    <w:p w14:paraId="58BFCCA0">
      <w:pPr>
        <w:spacing w:line="360" w:lineRule="auto"/>
        <w:ind w:firstLine="480" w:firstLineChars="200"/>
        <w:rPr>
          <w:rFonts w:hint="default" w:ascii="Times New Roman" w:hAnsi="Times New Roman" w:cs="Times New Roman"/>
          <w:color w:val="auto"/>
          <w:sz w:val="24"/>
          <w:szCs w:val="22"/>
          <w:highlight w:val="none"/>
        </w:rPr>
      </w:pPr>
    </w:p>
    <w:p w14:paraId="1DDF6889">
      <w:pPr>
        <w:spacing w:line="360" w:lineRule="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致：</w:t>
      </w:r>
      <w:r>
        <w:rPr>
          <w:rFonts w:hint="default" w:ascii="Times New Roman" w:hAnsi="Times New Roman" w:cs="Times New Roman"/>
          <w:color w:val="auto"/>
          <w:sz w:val="24"/>
          <w:szCs w:val="22"/>
          <w:highlight w:val="none"/>
          <w:u w:val="single"/>
        </w:rPr>
        <w:t xml:space="preserve">  （招标人全称）  </w:t>
      </w:r>
    </w:p>
    <w:p w14:paraId="13B90F1E">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我单位承诺：在近三年内（</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年</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月</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日至投标文件递交截止日），</w:t>
      </w:r>
      <w:r>
        <w:rPr>
          <w:rFonts w:hint="default" w:ascii="Times New Roman" w:hAnsi="Times New Roman" w:cs="Times New Roman"/>
          <w:color w:val="auto"/>
          <w:sz w:val="24"/>
          <w:szCs w:val="22"/>
          <w:highlight w:val="none"/>
          <w:u w:val="single"/>
        </w:rPr>
        <w:t xml:space="preserve">  （投标人单位名称及统一社会信用代码）  </w:t>
      </w:r>
      <w:r>
        <w:rPr>
          <w:rFonts w:hint="default" w:ascii="Times New Roman" w:hAnsi="Times New Roman" w:cs="Times New Roman"/>
          <w:color w:val="auto"/>
          <w:sz w:val="24"/>
          <w:szCs w:val="22"/>
          <w:highlight w:val="none"/>
        </w:rPr>
        <w:t>及法定代表人</w:t>
      </w:r>
      <w:r>
        <w:rPr>
          <w:rFonts w:hint="default" w:ascii="Times New Roman" w:hAnsi="Times New Roman" w:cs="Times New Roman"/>
          <w:color w:val="auto"/>
          <w:sz w:val="24"/>
          <w:szCs w:val="22"/>
          <w:highlight w:val="none"/>
          <w:u w:val="single"/>
        </w:rPr>
        <w:t xml:space="preserve">  （法定代表人姓名及身份证号码）  </w:t>
      </w:r>
      <w:r>
        <w:rPr>
          <w:rFonts w:hint="default" w:ascii="Times New Roman" w:hAnsi="Times New Roman" w:cs="Times New Roman"/>
          <w:color w:val="auto"/>
          <w:sz w:val="24"/>
          <w:szCs w:val="22"/>
          <w:highlight w:val="none"/>
        </w:rPr>
        <w:t>、拟委任的项目</w:t>
      </w:r>
      <w:r>
        <w:rPr>
          <w:rFonts w:hint="default" w:ascii="Times New Roman" w:hAnsi="Times New Roman" w:cs="Times New Roman"/>
          <w:color w:val="auto"/>
          <w:sz w:val="24"/>
          <w:szCs w:val="22"/>
          <w:highlight w:val="none"/>
          <w:lang w:val="en-US" w:eastAsia="zh-CN"/>
        </w:rPr>
        <w:t>经理</w:t>
      </w:r>
      <w:r>
        <w:rPr>
          <w:rFonts w:hint="default" w:ascii="Times New Roman" w:hAnsi="Times New Roman" w:cs="Times New Roman"/>
          <w:color w:val="auto"/>
          <w:sz w:val="24"/>
          <w:szCs w:val="22"/>
          <w:highlight w:val="none"/>
          <w:u w:val="single"/>
        </w:rPr>
        <w:t xml:space="preserve">   （项目</w:t>
      </w:r>
      <w:r>
        <w:rPr>
          <w:rFonts w:hint="default" w:ascii="Times New Roman" w:hAnsi="Times New Roman" w:cs="Times New Roman"/>
          <w:color w:val="auto"/>
          <w:sz w:val="24"/>
          <w:szCs w:val="22"/>
          <w:highlight w:val="none"/>
          <w:u w:val="single"/>
          <w:lang w:val="en-US" w:eastAsia="zh-CN"/>
        </w:rPr>
        <w:t>经理</w:t>
      </w:r>
      <w:r>
        <w:rPr>
          <w:rFonts w:hint="default" w:ascii="Times New Roman" w:hAnsi="Times New Roman" w:cs="Times New Roman"/>
          <w:color w:val="auto"/>
          <w:sz w:val="24"/>
          <w:szCs w:val="22"/>
          <w:highlight w:val="none"/>
          <w:u w:val="single"/>
        </w:rPr>
        <w:t xml:space="preserve">姓名及身份证号码）   </w:t>
      </w:r>
      <w:r>
        <w:rPr>
          <w:rFonts w:hint="default" w:ascii="Times New Roman" w:hAnsi="Times New Roman" w:cs="Times New Roman"/>
          <w:color w:val="auto"/>
          <w:sz w:val="24"/>
          <w:szCs w:val="22"/>
          <w:highlight w:val="none"/>
        </w:rPr>
        <w:t>均无行贿犯罪行为。</w:t>
      </w:r>
    </w:p>
    <w:p w14:paraId="63C4F5AF">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如经招标人或评标委员会核实我单位出具的该承诺存在弄虚作假，承诺不实的情形，</w:t>
      </w:r>
      <w:r>
        <w:rPr>
          <w:rFonts w:hint="eastAsia" w:cs="Times New Roman"/>
          <w:color w:val="auto"/>
          <w:sz w:val="24"/>
          <w:szCs w:val="22"/>
          <w:highlight w:val="none"/>
          <w:lang w:eastAsia="zh-CN"/>
        </w:rPr>
        <w:t>评标委员会</w:t>
      </w:r>
      <w:r>
        <w:rPr>
          <w:rFonts w:hint="default" w:ascii="Times New Roman" w:hAnsi="Times New Roman" w:cs="Times New Roman"/>
          <w:color w:val="auto"/>
          <w:sz w:val="24"/>
          <w:szCs w:val="22"/>
          <w:highlight w:val="none"/>
        </w:rPr>
        <w:t>有权否决我单位投标资格或招标人取消我单位中标资格，并由招标人上报上级行政主管部门，作为不良记录纳入信用信息管理系统。</w:t>
      </w:r>
    </w:p>
    <w:p w14:paraId="7D49C4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特此承诺！</w:t>
      </w:r>
    </w:p>
    <w:p w14:paraId="3B7F010B">
      <w:pPr>
        <w:spacing w:line="360" w:lineRule="auto"/>
        <w:ind w:firstLine="480" w:firstLineChars="200"/>
        <w:rPr>
          <w:rFonts w:hint="default" w:ascii="Times New Roman" w:hAnsi="Times New Roman" w:cs="Times New Roman"/>
          <w:color w:val="auto"/>
          <w:sz w:val="24"/>
          <w:szCs w:val="22"/>
          <w:highlight w:val="none"/>
        </w:rPr>
      </w:pPr>
    </w:p>
    <w:p w14:paraId="411A9A59">
      <w:pPr>
        <w:spacing w:line="360" w:lineRule="auto"/>
        <w:ind w:firstLine="480" w:firstLineChars="200"/>
        <w:rPr>
          <w:rFonts w:hint="default" w:ascii="Times New Roman" w:hAnsi="Times New Roman" w:cs="Times New Roman"/>
          <w:color w:val="auto"/>
          <w:sz w:val="24"/>
          <w:szCs w:val="22"/>
          <w:highlight w:val="none"/>
        </w:rPr>
      </w:pPr>
    </w:p>
    <w:p w14:paraId="5A904E76">
      <w:pPr>
        <w:spacing w:line="360" w:lineRule="auto"/>
        <w:ind w:left="2520" w:leftChars="1200" w:firstLine="1920" w:firstLineChars="800"/>
        <w:rPr>
          <w:rFonts w:hint="default" w:ascii="Times New Roman" w:hAnsi="Times New Roman" w:cs="Times New Roman"/>
          <w:color w:val="auto"/>
          <w:sz w:val="24"/>
          <w:szCs w:val="22"/>
          <w:highlight w:val="none"/>
        </w:rPr>
      </w:pPr>
    </w:p>
    <w:p w14:paraId="62DABFF5">
      <w:pPr>
        <w:wordWrap w:val="0"/>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color w:val="auto"/>
          <w:sz w:val="24"/>
          <w:szCs w:val="24"/>
          <w:highlight w:val="none"/>
        </w:rPr>
        <w:t xml:space="preserve">   投标人：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（全称）</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盖单位电子印章</w:t>
      </w:r>
      <w:r>
        <w:rPr>
          <w:rFonts w:hint="default" w:ascii="Times New Roman" w:hAnsi="Times New Roman" w:cs="Times New Roman"/>
          <w:color w:val="auto"/>
          <w:sz w:val="24"/>
          <w:szCs w:val="24"/>
          <w:highlight w:val="none"/>
          <w:u w:val="none"/>
        </w:rPr>
        <w:t>）</w:t>
      </w:r>
    </w:p>
    <w:p w14:paraId="411F8DFA">
      <w:pPr>
        <w:spacing w:line="360" w:lineRule="auto"/>
        <w:ind w:left="2520" w:leftChars="1200" w:firstLine="1920" w:firstLineChars="800"/>
        <w:rPr>
          <w:rFonts w:hint="default" w:ascii="Times New Roman" w:hAnsi="Times New Roman" w:cs="Times New Roman"/>
          <w:color w:val="auto"/>
          <w:sz w:val="24"/>
          <w:szCs w:val="24"/>
          <w:highlight w:val="none"/>
        </w:rPr>
      </w:pPr>
    </w:p>
    <w:p w14:paraId="3E1B4EFF">
      <w:pPr>
        <w:spacing w:line="360" w:lineRule="auto"/>
        <w:ind w:left="2520" w:leftChars="1200" w:firstLine="1920" w:firstLineChars="8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4"/>
          <w:highlight w:val="none"/>
        </w:rPr>
        <w:t>日期：</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p w14:paraId="77124AF6">
      <w:pPr>
        <w:pStyle w:val="16"/>
        <w:rPr>
          <w:rFonts w:hint="default" w:ascii="Times New Roman" w:hAnsi="Times New Roman" w:cs="Times New Roman"/>
          <w:color w:val="auto"/>
          <w:highlight w:val="none"/>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4A4D6E82">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94" w:name="_Toc14547"/>
      <w:bookmarkStart w:id="1995" w:name="_Toc24695"/>
      <w:bookmarkStart w:id="1996" w:name="_Toc13882"/>
      <w:r>
        <w:rPr>
          <w:rFonts w:hint="default" w:ascii="Times New Roman" w:hAnsi="Times New Roman" w:eastAsia="黑体" w:cs="Times New Roman"/>
          <w:b w:val="0"/>
          <w:color w:val="auto"/>
          <w:sz w:val="24"/>
          <w:szCs w:val="24"/>
          <w:highlight w:val="none"/>
        </w:rPr>
        <w:t>（六）拟委任的项目经理和项目总工资历表</w:t>
      </w:r>
      <w:bookmarkEnd w:id="1984"/>
      <w:bookmarkEnd w:id="1994"/>
      <w:bookmarkEnd w:id="1995"/>
      <w:bookmarkEnd w:id="1996"/>
    </w:p>
    <w:p w14:paraId="60E868FE">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67D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noWrap w:val="0"/>
            <w:vAlign w:val="center"/>
          </w:tcPr>
          <w:p w14:paraId="79AB62D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    名</w:t>
            </w:r>
          </w:p>
        </w:tc>
        <w:tc>
          <w:tcPr>
            <w:tcW w:w="1506" w:type="dxa"/>
            <w:gridSpan w:val="3"/>
            <w:noWrap w:val="0"/>
            <w:vAlign w:val="center"/>
          </w:tcPr>
          <w:p w14:paraId="6CBB7EE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2FA4B78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    龄</w:t>
            </w:r>
          </w:p>
        </w:tc>
        <w:tc>
          <w:tcPr>
            <w:tcW w:w="1381" w:type="dxa"/>
            <w:noWrap w:val="0"/>
            <w:vAlign w:val="top"/>
          </w:tcPr>
          <w:p w14:paraId="071E6D0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0CFD5C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    业</w:t>
            </w:r>
          </w:p>
        </w:tc>
        <w:tc>
          <w:tcPr>
            <w:tcW w:w="1669" w:type="dxa"/>
            <w:gridSpan w:val="2"/>
            <w:noWrap w:val="0"/>
            <w:vAlign w:val="top"/>
          </w:tcPr>
          <w:p w14:paraId="487670D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A0C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4846238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noWrap w:val="0"/>
            <w:vAlign w:val="center"/>
          </w:tcPr>
          <w:p w14:paraId="3D8B291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63D77B5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    历</w:t>
            </w:r>
          </w:p>
        </w:tc>
        <w:tc>
          <w:tcPr>
            <w:tcW w:w="1381" w:type="dxa"/>
            <w:noWrap w:val="0"/>
            <w:vAlign w:val="top"/>
          </w:tcPr>
          <w:p w14:paraId="575C06D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790AE83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57CF308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noWrap w:val="0"/>
            <w:vAlign w:val="top"/>
          </w:tcPr>
          <w:p w14:paraId="41F85DC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D81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287948C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37D7BDF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2155FB7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24045D6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619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3BEC6AA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7FAB1D54">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5CA9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87AECE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00A8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F89052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3CC98B6C">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05F6C5B3">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4205364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1C25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13FD51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495287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6CABF4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B55847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35A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CD35E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A6D4CB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D5A0E2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9B0771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A49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3B72D3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A096D9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FC5ADD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351030C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9F3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4F4FD1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7E298E3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02E9C5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44201A7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A50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DB9B1C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97FF0B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1C7DB2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35A61D8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2B8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9332CB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9751E6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33C7B7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F7CA87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9FB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C95C7E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30C4519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36C2A3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1654DE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6CB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5FA31F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04485F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6AA1C3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25E91B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5A5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C5742C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760B51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E9B241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12A6C7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869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485CCBD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7C471A9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235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00FCED4E">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6766A91D">
            <w:pPr>
              <w:pStyle w:val="15"/>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209ABDAB">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498A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42AC9DD3">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c>
          <w:tcPr>
            <w:tcW w:w="6094" w:type="dxa"/>
            <w:gridSpan w:val="7"/>
            <w:noWrap w:val="0"/>
            <w:vAlign w:val="top"/>
          </w:tcPr>
          <w:p w14:paraId="4E1B0C04">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p>
        </w:tc>
      </w:tr>
    </w:tbl>
    <w:p w14:paraId="1FD139E2">
      <w:pPr>
        <w:pStyle w:val="17"/>
        <w:pageBreakBefore w:val="0"/>
        <w:kinsoku/>
        <w:wordWrap w:val="0"/>
        <w:bidi w:val="0"/>
        <w:spacing w:after="0" w:line="400" w:lineRule="atLeast"/>
        <w:ind w:left="699" w:leftChars="0" w:hanging="699" w:hangingChars="333"/>
        <w:rPr>
          <w:rFonts w:hint="default" w:ascii="Times New Roman" w:hAnsi="Times New Roman" w:cs="Times New Roman"/>
          <w:color w:val="auto"/>
          <w:highlight w:val="none"/>
        </w:rPr>
      </w:pPr>
      <w:r>
        <w:rPr>
          <w:rFonts w:hint="default" w:ascii="Times New Roman" w:hAnsi="Times New Roman" w:cs="Times New Roman"/>
          <w:color w:val="auto"/>
          <w:highlight w:val="none"/>
        </w:rPr>
        <w:t>注：1.本表应填写项目经理和项目总工相关情况。</w:t>
      </w:r>
    </w:p>
    <w:p w14:paraId="2000A595">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2.投标人应根据招标文件第二章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第3.5.5项的要求在本表后附相关证明材料。</w:t>
      </w:r>
    </w:p>
    <w:p w14:paraId="1644EFAD">
      <w:pPr>
        <w:pageBreakBefore w:val="0"/>
        <w:kinsoku/>
        <w:wordWrap/>
        <w:bidi w:val="0"/>
        <w:spacing w:line="240" w:lineRule="auto"/>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p w14:paraId="2B3A01E5">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97" w:name="_Toc15670"/>
      <w:bookmarkStart w:id="1998" w:name="_Toc30763"/>
      <w:bookmarkStart w:id="1999" w:name="_Toc234833286"/>
      <w:bookmarkStart w:id="2000" w:name="_Toc26510"/>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七</w:t>
      </w:r>
      <w:r>
        <w:rPr>
          <w:rFonts w:hint="default" w:ascii="Times New Roman" w:hAnsi="Times New Roman" w:eastAsia="黑体" w:cs="Times New Roman"/>
          <w:b w:val="0"/>
          <w:color w:val="auto"/>
          <w:sz w:val="24"/>
          <w:szCs w:val="24"/>
          <w:highlight w:val="none"/>
        </w:rPr>
        <w:t>）拟委任的其他管理和技术人员汇总表</w:t>
      </w:r>
      <w:r>
        <w:rPr>
          <w:rFonts w:hint="default" w:ascii="Times New Roman" w:hAnsi="Times New Roman" w:eastAsia="黑体" w:cs="Times New Roman"/>
          <w:b w:val="0"/>
          <w:color w:val="auto"/>
          <w:sz w:val="24"/>
          <w:szCs w:val="24"/>
          <w:highlight w:val="none"/>
          <w:vertAlign w:val="superscript"/>
        </w:rPr>
        <w:footnoteReference w:id="61"/>
      </w:r>
      <w:bookmarkEnd w:id="1997"/>
      <w:bookmarkEnd w:id="1998"/>
      <w:bookmarkEnd w:id="1999"/>
      <w:bookmarkEnd w:id="2000"/>
    </w:p>
    <w:p w14:paraId="55ED1300">
      <w:pPr>
        <w:pageBreakBefore w:val="0"/>
        <w:kinsoku/>
        <w:wordWrap w:val="0"/>
        <w:bidi w:val="0"/>
        <w:spacing w:line="400" w:lineRule="atLeast"/>
        <w:rPr>
          <w:rFonts w:hint="default" w:ascii="Times New Roman" w:hAnsi="Times New Roman" w:cs="Times New Roman"/>
          <w:color w:val="auto"/>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26"/>
        <w:gridCol w:w="2682"/>
        <w:gridCol w:w="1101"/>
        <w:gridCol w:w="1307"/>
        <w:gridCol w:w="1942"/>
      </w:tblGrid>
      <w:tr w14:paraId="0CB8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33" w:type="dxa"/>
            <w:noWrap w:val="0"/>
            <w:vAlign w:val="center"/>
          </w:tcPr>
          <w:p w14:paraId="46A0EF4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926" w:type="dxa"/>
            <w:noWrap w:val="0"/>
            <w:vAlign w:val="center"/>
          </w:tcPr>
          <w:p w14:paraId="45ACA244">
            <w:pPr>
              <w:pStyle w:val="75"/>
              <w:pageBreakBefore w:val="0"/>
              <w:kinsoku/>
              <w:wordWrap w:val="0"/>
              <w:autoSpaceDE/>
              <w:autoSpaceDN/>
              <w:bidi w:val="0"/>
              <w:adjustRightInd/>
              <w:snapToGrid/>
              <w:spacing w:line="400" w:lineRule="atLeast"/>
              <w:textAlignment w:val="auto"/>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年龄</w:t>
            </w:r>
          </w:p>
        </w:tc>
        <w:tc>
          <w:tcPr>
            <w:tcW w:w="2682" w:type="dxa"/>
            <w:noWrap w:val="0"/>
            <w:vAlign w:val="center"/>
          </w:tcPr>
          <w:p w14:paraId="76973EE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拟在本标段工程任职</w:t>
            </w:r>
          </w:p>
        </w:tc>
        <w:tc>
          <w:tcPr>
            <w:tcW w:w="1101" w:type="dxa"/>
            <w:noWrap w:val="0"/>
            <w:vAlign w:val="center"/>
          </w:tcPr>
          <w:p w14:paraId="6185B6A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307" w:type="dxa"/>
            <w:noWrap w:val="0"/>
            <w:vAlign w:val="center"/>
          </w:tcPr>
          <w:p w14:paraId="616E1FB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1942" w:type="dxa"/>
            <w:noWrap w:val="0"/>
            <w:vAlign w:val="center"/>
          </w:tcPr>
          <w:p w14:paraId="4B3FF7A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r>
      <w:tr w14:paraId="1469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3" w:type="dxa"/>
            <w:noWrap w:val="0"/>
            <w:vAlign w:val="center"/>
          </w:tcPr>
          <w:p w14:paraId="79A52437">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736E2C3A">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CF781CC">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9D62083">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18A77816">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F2081AA">
            <w:pPr>
              <w:pageBreakBefore w:val="0"/>
              <w:kinsoku/>
              <w:wordWrap w:val="0"/>
              <w:bidi w:val="0"/>
              <w:spacing w:line="400" w:lineRule="atLeast"/>
              <w:jc w:val="center"/>
              <w:rPr>
                <w:rFonts w:hint="default" w:ascii="Times New Roman" w:hAnsi="Times New Roman" w:cs="Times New Roman"/>
                <w:color w:val="auto"/>
                <w:highlight w:val="none"/>
              </w:rPr>
            </w:pPr>
          </w:p>
        </w:tc>
      </w:tr>
      <w:tr w14:paraId="129D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3" w:type="dxa"/>
            <w:noWrap w:val="0"/>
            <w:vAlign w:val="center"/>
          </w:tcPr>
          <w:p w14:paraId="31AFCCAF">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4921EAA1">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F1104E0">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E849BE5">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FCE431A">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3011F10">
            <w:pPr>
              <w:pageBreakBefore w:val="0"/>
              <w:kinsoku/>
              <w:wordWrap w:val="0"/>
              <w:bidi w:val="0"/>
              <w:spacing w:line="400" w:lineRule="atLeast"/>
              <w:jc w:val="center"/>
              <w:rPr>
                <w:rFonts w:hint="default" w:ascii="Times New Roman" w:hAnsi="Times New Roman" w:cs="Times New Roman"/>
                <w:color w:val="auto"/>
                <w:highlight w:val="none"/>
              </w:rPr>
            </w:pPr>
          </w:p>
        </w:tc>
      </w:tr>
      <w:tr w14:paraId="0481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3" w:type="dxa"/>
            <w:noWrap w:val="0"/>
            <w:vAlign w:val="center"/>
          </w:tcPr>
          <w:p w14:paraId="7F558560">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4E587B8">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BEA3A98">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0F51B9A7">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63DB19D6">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0C1FF758">
            <w:pPr>
              <w:pageBreakBefore w:val="0"/>
              <w:kinsoku/>
              <w:wordWrap w:val="0"/>
              <w:bidi w:val="0"/>
              <w:spacing w:line="400" w:lineRule="atLeast"/>
              <w:jc w:val="center"/>
              <w:rPr>
                <w:rFonts w:hint="default" w:ascii="Times New Roman" w:hAnsi="Times New Roman" w:cs="Times New Roman"/>
                <w:color w:val="auto"/>
                <w:highlight w:val="none"/>
              </w:rPr>
            </w:pPr>
          </w:p>
        </w:tc>
      </w:tr>
      <w:tr w14:paraId="0215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3" w:type="dxa"/>
            <w:noWrap w:val="0"/>
            <w:vAlign w:val="center"/>
          </w:tcPr>
          <w:p w14:paraId="0425706F">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CD362DF">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8EF59CE">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30CAF5D0">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01171B4">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4EC3426">
            <w:pPr>
              <w:pageBreakBefore w:val="0"/>
              <w:kinsoku/>
              <w:wordWrap w:val="0"/>
              <w:bidi w:val="0"/>
              <w:spacing w:line="400" w:lineRule="atLeast"/>
              <w:jc w:val="center"/>
              <w:rPr>
                <w:rFonts w:hint="default" w:ascii="Times New Roman" w:hAnsi="Times New Roman" w:cs="Times New Roman"/>
                <w:color w:val="auto"/>
                <w:highlight w:val="none"/>
              </w:rPr>
            </w:pPr>
          </w:p>
        </w:tc>
      </w:tr>
      <w:tr w14:paraId="0A74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3" w:type="dxa"/>
            <w:noWrap w:val="0"/>
            <w:vAlign w:val="center"/>
          </w:tcPr>
          <w:p w14:paraId="23DC30E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68FF0DC">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15602679">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DFC1CB6">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78C00A6C">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8D4AAE0">
            <w:pPr>
              <w:pageBreakBefore w:val="0"/>
              <w:kinsoku/>
              <w:wordWrap w:val="0"/>
              <w:bidi w:val="0"/>
              <w:spacing w:line="400" w:lineRule="atLeast"/>
              <w:jc w:val="center"/>
              <w:rPr>
                <w:rFonts w:hint="default" w:ascii="Times New Roman" w:hAnsi="Times New Roman" w:cs="Times New Roman"/>
                <w:color w:val="auto"/>
                <w:highlight w:val="none"/>
              </w:rPr>
            </w:pPr>
          </w:p>
        </w:tc>
      </w:tr>
      <w:tr w14:paraId="4A35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3" w:type="dxa"/>
            <w:noWrap w:val="0"/>
            <w:vAlign w:val="center"/>
          </w:tcPr>
          <w:p w14:paraId="7F531213">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5B7A1AE9">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3D0A318">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15674C7">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677D0E70">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E413DD5">
            <w:pPr>
              <w:pageBreakBefore w:val="0"/>
              <w:kinsoku/>
              <w:wordWrap w:val="0"/>
              <w:bidi w:val="0"/>
              <w:spacing w:line="400" w:lineRule="atLeast"/>
              <w:jc w:val="center"/>
              <w:rPr>
                <w:rFonts w:hint="default" w:ascii="Times New Roman" w:hAnsi="Times New Roman" w:cs="Times New Roman"/>
                <w:color w:val="auto"/>
                <w:highlight w:val="none"/>
              </w:rPr>
            </w:pPr>
          </w:p>
        </w:tc>
      </w:tr>
      <w:tr w14:paraId="393B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3" w:type="dxa"/>
            <w:noWrap w:val="0"/>
            <w:vAlign w:val="center"/>
          </w:tcPr>
          <w:p w14:paraId="1B6676E3">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0DAA939">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28BFBAA">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E803EEC">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11CDB528">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D85C34E">
            <w:pPr>
              <w:pageBreakBefore w:val="0"/>
              <w:kinsoku/>
              <w:wordWrap w:val="0"/>
              <w:bidi w:val="0"/>
              <w:spacing w:line="400" w:lineRule="atLeast"/>
              <w:jc w:val="center"/>
              <w:rPr>
                <w:rFonts w:hint="default" w:ascii="Times New Roman" w:hAnsi="Times New Roman" w:cs="Times New Roman"/>
                <w:color w:val="auto"/>
                <w:highlight w:val="none"/>
              </w:rPr>
            </w:pPr>
          </w:p>
        </w:tc>
      </w:tr>
      <w:tr w14:paraId="7325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3" w:type="dxa"/>
            <w:noWrap w:val="0"/>
            <w:vAlign w:val="center"/>
          </w:tcPr>
          <w:p w14:paraId="7D32E44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A355724">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0EC01A6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AE05605">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995E385">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D8DB342">
            <w:pPr>
              <w:pageBreakBefore w:val="0"/>
              <w:kinsoku/>
              <w:wordWrap w:val="0"/>
              <w:bidi w:val="0"/>
              <w:spacing w:line="400" w:lineRule="atLeast"/>
              <w:jc w:val="center"/>
              <w:rPr>
                <w:rFonts w:hint="default" w:ascii="Times New Roman" w:hAnsi="Times New Roman" w:cs="Times New Roman"/>
                <w:color w:val="auto"/>
                <w:highlight w:val="none"/>
              </w:rPr>
            </w:pPr>
          </w:p>
        </w:tc>
      </w:tr>
      <w:tr w14:paraId="510C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6669087B">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4E52F2E">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F07176F">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1458469">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731228B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2663DC1B">
            <w:pPr>
              <w:pageBreakBefore w:val="0"/>
              <w:kinsoku/>
              <w:wordWrap w:val="0"/>
              <w:bidi w:val="0"/>
              <w:spacing w:line="400" w:lineRule="atLeast"/>
              <w:jc w:val="center"/>
              <w:rPr>
                <w:rFonts w:hint="default" w:ascii="Times New Roman" w:hAnsi="Times New Roman" w:cs="Times New Roman"/>
                <w:color w:val="auto"/>
                <w:highlight w:val="none"/>
              </w:rPr>
            </w:pPr>
          </w:p>
        </w:tc>
      </w:tr>
      <w:tr w14:paraId="2096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73E0B63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50F8D285">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DDCC473">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D36A35E">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7A6E5F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8E7EFD2">
            <w:pPr>
              <w:pageBreakBefore w:val="0"/>
              <w:kinsoku/>
              <w:wordWrap w:val="0"/>
              <w:bidi w:val="0"/>
              <w:spacing w:line="400" w:lineRule="atLeast"/>
              <w:jc w:val="center"/>
              <w:rPr>
                <w:rFonts w:hint="default" w:ascii="Times New Roman" w:hAnsi="Times New Roman" w:cs="Times New Roman"/>
                <w:color w:val="auto"/>
                <w:highlight w:val="none"/>
              </w:rPr>
            </w:pPr>
          </w:p>
        </w:tc>
      </w:tr>
      <w:tr w14:paraId="5DC3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0BBF965">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A44B0EC">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1F6EE2E">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9B5D722">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0F21184">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0A382F47">
            <w:pPr>
              <w:pageBreakBefore w:val="0"/>
              <w:kinsoku/>
              <w:wordWrap w:val="0"/>
              <w:bidi w:val="0"/>
              <w:spacing w:line="400" w:lineRule="atLeast"/>
              <w:jc w:val="center"/>
              <w:rPr>
                <w:rFonts w:hint="default" w:ascii="Times New Roman" w:hAnsi="Times New Roman" w:cs="Times New Roman"/>
                <w:color w:val="auto"/>
                <w:highlight w:val="none"/>
              </w:rPr>
            </w:pPr>
          </w:p>
        </w:tc>
      </w:tr>
      <w:tr w14:paraId="33F8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0F1E522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AB29D95">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3844086">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1C52C64">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885077A">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261A027">
            <w:pPr>
              <w:pageBreakBefore w:val="0"/>
              <w:kinsoku/>
              <w:wordWrap w:val="0"/>
              <w:bidi w:val="0"/>
              <w:spacing w:line="400" w:lineRule="atLeast"/>
              <w:jc w:val="center"/>
              <w:rPr>
                <w:rFonts w:hint="default" w:ascii="Times New Roman" w:hAnsi="Times New Roman" w:cs="Times New Roman"/>
                <w:color w:val="auto"/>
                <w:highlight w:val="none"/>
              </w:rPr>
            </w:pPr>
          </w:p>
        </w:tc>
      </w:tr>
      <w:tr w14:paraId="68EB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CC1649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6B32BBD">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591F8C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D02F701">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5F5E5FBB">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407EB6CC">
            <w:pPr>
              <w:pageBreakBefore w:val="0"/>
              <w:kinsoku/>
              <w:wordWrap w:val="0"/>
              <w:bidi w:val="0"/>
              <w:spacing w:line="400" w:lineRule="atLeast"/>
              <w:jc w:val="center"/>
              <w:rPr>
                <w:rFonts w:hint="default" w:ascii="Times New Roman" w:hAnsi="Times New Roman" w:cs="Times New Roman"/>
                <w:color w:val="auto"/>
                <w:highlight w:val="none"/>
              </w:rPr>
            </w:pPr>
          </w:p>
        </w:tc>
      </w:tr>
    </w:tbl>
    <w:p w14:paraId="751BBFB8">
      <w:pPr>
        <w:pStyle w:val="17"/>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注：本表填报的人员应满足招标文件第二章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前附表附录6的要求。</w:t>
      </w:r>
    </w:p>
    <w:p w14:paraId="4F814862">
      <w:pPr>
        <w:pageBreakBefore w:val="0"/>
        <w:kinsoku/>
        <w:wordWrap w:val="0"/>
        <w:bidi w:val="0"/>
        <w:spacing w:line="400" w:lineRule="atLeast"/>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br w:type="page"/>
      </w:r>
    </w:p>
    <w:p w14:paraId="79EC4D9C">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2001" w:name="_Toc26724"/>
      <w:bookmarkStart w:id="2002" w:name="_Toc4744"/>
      <w:bookmarkStart w:id="2003" w:name="_Toc234833287"/>
      <w:bookmarkStart w:id="2004" w:name="_Toc31833"/>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八</w:t>
      </w:r>
      <w:r>
        <w:rPr>
          <w:rFonts w:hint="default" w:ascii="Times New Roman" w:hAnsi="Times New Roman" w:eastAsia="黑体" w:cs="Times New Roman"/>
          <w:b w:val="0"/>
          <w:color w:val="auto"/>
          <w:sz w:val="24"/>
          <w:szCs w:val="24"/>
          <w:highlight w:val="none"/>
        </w:rPr>
        <w:t>）拟委任的其他管理和技术人员资历表</w:t>
      </w:r>
      <w:r>
        <w:rPr>
          <w:rFonts w:hint="default" w:ascii="Times New Roman" w:hAnsi="Times New Roman" w:eastAsia="黑体" w:cs="Times New Roman"/>
          <w:b w:val="0"/>
          <w:color w:val="auto"/>
          <w:sz w:val="24"/>
          <w:szCs w:val="24"/>
          <w:highlight w:val="none"/>
          <w:vertAlign w:val="superscript"/>
        </w:rPr>
        <w:footnoteReference w:id="62"/>
      </w:r>
      <w:bookmarkEnd w:id="2001"/>
      <w:bookmarkEnd w:id="2002"/>
      <w:bookmarkEnd w:id="2003"/>
      <w:bookmarkEnd w:id="2004"/>
    </w:p>
    <w:p w14:paraId="6ACA3E38">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AC0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5DDAAC9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    名</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6D1DAE9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09D296A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    龄</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185A854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21F5AF0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    业</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10F50C0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658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782221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53D627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581B91D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    历</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5A5B8F0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2446880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5BCF5EC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5C68AB5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50B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7033C1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72E1DBA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5C06C81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3C5BC67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C60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62C74D4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77F9C979">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62D3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0955222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1DCD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EE63B9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1B819DB8">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4916F445">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2CE0DEC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170B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FCE9F6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29D918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BE5B38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063D32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3F0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98D17D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75AD3EE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7312AF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FDC526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8E8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E3ABBB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8C149F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1D07EC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0E0E00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4F8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08A924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6A8BC5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FC456E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044938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234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0D8F10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6F1BA48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A31DCB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F8A039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597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672C37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76696D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48932C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3DFBA3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F7A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D36F7C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6DE4B7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4837868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EF977D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5D1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5C417B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0D61C2C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F29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16CC97CC">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038F093D">
            <w:pPr>
              <w:pStyle w:val="15"/>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71D0D5D2">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3156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3CE66E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c>
          <w:tcPr>
            <w:tcW w:w="6094" w:type="dxa"/>
            <w:gridSpan w:val="7"/>
            <w:noWrap w:val="0"/>
            <w:vAlign w:val="top"/>
          </w:tcPr>
          <w:p w14:paraId="1B53C811">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p>
        </w:tc>
      </w:tr>
    </w:tbl>
    <w:p w14:paraId="1AEFE075">
      <w:pPr>
        <w:pStyle w:val="17"/>
        <w:pageBreakBefore w:val="0"/>
        <w:kinsoku/>
        <w:wordWrap w:val="0"/>
        <w:bidi w:val="0"/>
        <w:spacing w:after="0" w:line="400" w:lineRule="atLeast"/>
        <w:ind w:left="588" w:leftChars="0" w:right="-61" w:rightChars="-29" w:hanging="588" w:hangingChars="2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注：1.本表人员应与表（七）中所列人员相一致。</w:t>
      </w:r>
    </w:p>
    <w:p w14:paraId="3FBE663A">
      <w:pPr>
        <w:pStyle w:val="17"/>
        <w:pageBreakBefore w:val="0"/>
        <w:kinsoku/>
        <w:wordWrap w:val="0"/>
        <w:bidi w:val="0"/>
        <w:spacing w:after="0" w:line="40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第3.5.6项的要求在本表后附相关证明材料。</w:t>
      </w:r>
    </w:p>
    <w:p w14:paraId="4BBE8E6B">
      <w:pPr>
        <w:pStyle w:val="2"/>
        <w:pageBreakBefore w:val="0"/>
        <w:kinsoku/>
        <w:wordWrap w:val="0"/>
        <w:bidi w:val="0"/>
        <w:spacing w:before="0" w:after="0" w:line="40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2005" w:name="_Toc234833288"/>
      <w:bookmarkStart w:id="2006" w:name="_Toc26111"/>
      <w:bookmarkStart w:id="2007" w:name="_Toc21686"/>
      <w:bookmarkStart w:id="2008" w:name="_Toc5789"/>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九</w:t>
      </w:r>
      <w:r>
        <w:rPr>
          <w:rFonts w:hint="default" w:ascii="Times New Roman" w:hAnsi="Times New Roman" w:eastAsia="黑体" w:cs="Times New Roman"/>
          <w:b w:val="0"/>
          <w:color w:val="auto"/>
          <w:sz w:val="24"/>
          <w:szCs w:val="24"/>
          <w:highlight w:val="none"/>
        </w:rPr>
        <w:t>） 拟投入本标段的主要施工机械表</w:t>
      </w:r>
      <w:r>
        <w:rPr>
          <w:rFonts w:hint="default" w:ascii="Times New Roman" w:hAnsi="Times New Roman" w:eastAsia="黑体" w:cs="Times New Roman"/>
          <w:b w:val="0"/>
          <w:color w:val="auto"/>
          <w:sz w:val="24"/>
          <w:szCs w:val="24"/>
          <w:highlight w:val="none"/>
          <w:vertAlign w:val="superscript"/>
        </w:rPr>
        <w:footnoteReference w:id="63"/>
      </w:r>
      <w:bookmarkEnd w:id="2005"/>
      <w:bookmarkEnd w:id="2006"/>
      <w:bookmarkEnd w:id="2007"/>
      <w:bookmarkEnd w:id="2008"/>
    </w:p>
    <w:p w14:paraId="04F41334">
      <w:pPr>
        <w:pageBreakBefore w:val="0"/>
        <w:widowControl/>
        <w:kinsoku/>
        <w:wordWrap w:val="0"/>
        <w:autoSpaceDE w:val="0"/>
        <w:autoSpaceDN w:val="0"/>
        <w:bidi w:val="0"/>
        <w:spacing w:line="400" w:lineRule="atLeast"/>
        <w:ind w:left="180"/>
        <w:textAlignment w:val="bottom"/>
        <w:rPr>
          <w:rFonts w:hint="default" w:ascii="Times New Roman" w:hAnsi="Times New Roman" w:eastAsia="黑体" w:cs="Times New Roman"/>
          <w:color w:val="auto"/>
          <w:sz w:val="23"/>
          <w:szCs w:val="23"/>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085"/>
        <w:gridCol w:w="758"/>
        <w:gridCol w:w="670"/>
        <w:gridCol w:w="659"/>
        <w:gridCol w:w="941"/>
        <w:gridCol w:w="646"/>
        <w:gridCol w:w="430"/>
        <w:gridCol w:w="559"/>
        <w:gridCol w:w="559"/>
        <w:gridCol w:w="561"/>
        <w:gridCol w:w="948"/>
      </w:tblGrid>
      <w:tr w14:paraId="5D52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4" w:type="dxa"/>
            <w:vMerge w:val="restart"/>
            <w:noWrap w:val="0"/>
            <w:vAlign w:val="center"/>
          </w:tcPr>
          <w:p w14:paraId="6B42E29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85" w:type="dxa"/>
            <w:vMerge w:val="restart"/>
            <w:noWrap w:val="0"/>
            <w:vAlign w:val="center"/>
          </w:tcPr>
          <w:p w14:paraId="5B8CBE8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设备名称</w:t>
            </w:r>
          </w:p>
        </w:tc>
        <w:tc>
          <w:tcPr>
            <w:tcW w:w="758" w:type="dxa"/>
            <w:vMerge w:val="restart"/>
            <w:noWrap w:val="0"/>
            <w:vAlign w:val="center"/>
          </w:tcPr>
          <w:p w14:paraId="3C4C8BD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w:t>
            </w:r>
          </w:p>
          <w:p w14:paraId="72F994D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p>
        </w:tc>
        <w:tc>
          <w:tcPr>
            <w:tcW w:w="670" w:type="dxa"/>
            <w:vMerge w:val="restart"/>
            <w:noWrap w:val="0"/>
            <w:vAlign w:val="center"/>
          </w:tcPr>
          <w:p w14:paraId="320D362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w:t>
            </w:r>
          </w:p>
          <w:p w14:paraId="78D3458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产地</w:t>
            </w:r>
          </w:p>
        </w:tc>
        <w:tc>
          <w:tcPr>
            <w:tcW w:w="659" w:type="dxa"/>
            <w:vMerge w:val="restart"/>
            <w:noWrap w:val="0"/>
            <w:vAlign w:val="center"/>
          </w:tcPr>
          <w:p w14:paraId="014394E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w:t>
            </w:r>
          </w:p>
          <w:p w14:paraId="5A9545D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年份</w:t>
            </w:r>
          </w:p>
        </w:tc>
        <w:tc>
          <w:tcPr>
            <w:tcW w:w="941" w:type="dxa"/>
            <w:vMerge w:val="restart"/>
            <w:noWrap w:val="0"/>
            <w:vAlign w:val="center"/>
          </w:tcPr>
          <w:p w14:paraId="5DAFD08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额定功率（kW）</w:t>
            </w:r>
          </w:p>
        </w:tc>
        <w:tc>
          <w:tcPr>
            <w:tcW w:w="646" w:type="dxa"/>
            <w:vMerge w:val="restart"/>
            <w:noWrap w:val="0"/>
            <w:vAlign w:val="center"/>
          </w:tcPr>
          <w:p w14:paraId="42F2404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w:t>
            </w:r>
          </w:p>
          <w:p w14:paraId="213E1EE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能力</w:t>
            </w:r>
          </w:p>
        </w:tc>
        <w:tc>
          <w:tcPr>
            <w:tcW w:w="2109" w:type="dxa"/>
            <w:gridSpan w:val="4"/>
            <w:noWrap w:val="0"/>
            <w:vAlign w:val="center"/>
          </w:tcPr>
          <w:p w14:paraId="2235936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数量（台）</w:t>
            </w:r>
          </w:p>
        </w:tc>
        <w:tc>
          <w:tcPr>
            <w:tcW w:w="948" w:type="dxa"/>
            <w:vMerge w:val="restart"/>
            <w:noWrap w:val="0"/>
            <w:vAlign w:val="center"/>
          </w:tcPr>
          <w:p w14:paraId="657A97A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预计进场时间</w:t>
            </w:r>
          </w:p>
        </w:tc>
      </w:tr>
      <w:tr w14:paraId="792E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Merge w:val="continue"/>
            <w:noWrap w:val="0"/>
            <w:vAlign w:val="center"/>
          </w:tcPr>
          <w:p w14:paraId="5E5175BD">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7742B5D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00EBAA3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2ABD688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3AD1654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0F12D9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4BDB5DB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restart"/>
            <w:noWrap w:val="0"/>
            <w:vAlign w:val="center"/>
          </w:tcPr>
          <w:p w14:paraId="2A97AA7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小计</w:t>
            </w:r>
          </w:p>
        </w:tc>
        <w:tc>
          <w:tcPr>
            <w:tcW w:w="1679" w:type="dxa"/>
            <w:gridSpan w:val="3"/>
            <w:noWrap w:val="0"/>
            <w:vAlign w:val="center"/>
          </w:tcPr>
          <w:p w14:paraId="0136208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 中</w:t>
            </w:r>
          </w:p>
        </w:tc>
        <w:tc>
          <w:tcPr>
            <w:tcW w:w="948" w:type="dxa"/>
            <w:vMerge w:val="continue"/>
            <w:noWrap w:val="0"/>
            <w:vAlign w:val="center"/>
          </w:tcPr>
          <w:p w14:paraId="2053580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6DC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4" w:type="dxa"/>
            <w:vMerge w:val="continue"/>
            <w:noWrap w:val="0"/>
            <w:vAlign w:val="center"/>
          </w:tcPr>
          <w:p w14:paraId="172A3E29">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4A04A9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0DC66B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278B91A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1D2810C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7668AF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6B3DEF4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continue"/>
            <w:noWrap w:val="0"/>
            <w:vAlign w:val="center"/>
          </w:tcPr>
          <w:p w14:paraId="46793EA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68F8E87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自有</w:t>
            </w:r>
          </w:p>
        </w:tc>
        <w:tc>
          <w:tcPr>
            <w:tcW w:w="559" w:type="dxa"/>
            <w:noWrap w:val="0"/>
            <w:vAlign w:val="center"/>
          </w:tcPr>
          <w:p w14:paraId="02D5FA8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新购</w:t>
            </w:r>
          </w:p>
        </w:tc>
        <w:tc>
          <w:tcPr>
            <w:tcW w:w="561" w:type="dxa"/>
            <w:noWrap w:val="0"/>
            <w:vAlign w:val="center"/>
          </w:tcPr>
          <w:p w14:paraId="688C3B2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租赁</w:t>
            </w:r>
          </w:p>
        </w:tc>
        <w:tc>
          <w:tcPr>
            <w:tcW w:w="948" w:type="dxa"/>
            <w:vMerge w:val="continue"/>
            <w:noWrap w:val="0"/>
            <w:vAlign w:val="center"/>
          </w:tcPr>
          <w:p w14:paraId="0971F96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380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2487A45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562E7EE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6B7664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6713AD7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1DE38CC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5052FB3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184AFA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75839A4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0E98969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3FE17BF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5BAA8A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3D6965D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4EC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530AB0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26FAC7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04B744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5B24066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2BEA060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0B85A2B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62084B6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3C8B0B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18A0F24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00B7C5C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6C06CC5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77D6F1B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742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C57198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8FE8A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AA59DB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F6A39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FEEA1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D2711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EB29A2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D94D1D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5F7C27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2367D1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D19932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3BB337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3A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F07ECC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C9615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F2EC28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2A3509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B85583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304278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3C86C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B9CB30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647E4C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6DCC36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12DA9D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EA5F65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11A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E3265A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65B0E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A5509C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1B8BB0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F9C58F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AAD0B9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B32CC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3A96A3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4BEB3C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B9C0FF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3A552F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528F93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6DE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27343B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848238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9FDFDC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EFA36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F4315E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AFB39B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D34FE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CD67C5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9E6F7B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C8F2A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73010A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FC6163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24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691EE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27AEDC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DDDD00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39E7AF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C0042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A8EF2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D0D2A2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17A35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EDD632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5A83924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FFD0F2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4A0D992">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C06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91D3F3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02561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D5D82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32F9C9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FCD34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042E40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DC1E1F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15D8E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5AFC2F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3AF7C6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A5255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87C08F4">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643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08B89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866E0B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2F2B47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BB354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0E31FF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28C676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0512FF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DE8C77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268FECB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C0304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7CF66C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1EA1DF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124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CB62CE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EB392A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9B9454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545EB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88494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30A84C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69266D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0EAFC5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B49BCA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B4AD19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D02626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72631D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051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F9779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626DB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51FB29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41B256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2C7BD5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132F5A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C5C4BD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101839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924699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4DEA794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E77DD8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99A573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B61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9806CB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7399D8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235523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061451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130C8D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EB31A1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30D53F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63C4DD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E28D0A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73D40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AD62B1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036D4F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4E6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931F0D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4A08A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3601CE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CD5A89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38A18B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0587AA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19C71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7509463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7000E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435C0E6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FC55CE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DF9CC0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C14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D22A3C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3C077D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728A6F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417C6E5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3FC5F5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594C3F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6CFB6C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092E6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4BCC5D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78FE08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8A4A23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EEFB8E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4A5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853A22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21DE6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91BB79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1A581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FBA418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2FA0FD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21825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A85CC8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79BD8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BDAEE8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39D483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E8E055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8BD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22D548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9026FD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4CD127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C37E65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317F5C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40220E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C10E86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DE62B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196960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54961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3A72A9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420B57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730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D38660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F691D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367758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D3590F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7EB2FC6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B006A6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CE952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4A0A79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4D30D6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B30113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8C9B2B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F1DCE3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510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0FFB5A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0119C1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FFE89B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8CCEA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6194B9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E12D60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1841FB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582046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CE5845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5832CB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215E0E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A2532D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733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734E7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24FAB6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4A811A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288A1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1B97B3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0D3383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35F854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C98B4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CF01C4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E203FA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C78E83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A9B35C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90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7522AC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B9210F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275686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1136F5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C9BEE3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7220CF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522BC5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D815A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B6F936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936BE3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D82AE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E89160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3E6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5BF156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A73A1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29552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3C88B9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49589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7022C0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356AC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A337B3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E32C87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2B8862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53D4C4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4CC721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808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243322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57E867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79772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73D28E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E5FB5D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F4395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E2154A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F8A640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49E7FF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FEB9EE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8926B6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4B0991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C6C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64E81E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C821AC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A606D0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79D88D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ECF931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BD01D8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16E6D6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5E9BD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846865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B772BD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5EDEC2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24B22B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FB5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EACA3C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AD59C8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508A9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DEF75D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5AD4F7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482D1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C518B0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314B3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165792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ACE611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1E0CF25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BFF28E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FC5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6F243C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D917FC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9C04ED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9EE095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F63F6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1BAAE2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CCE0DB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8EF357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53D86D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CE3982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2CAB68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218F8F4">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1F2A34F1">
      <w:pPr>
        <w:pStyle w:val="17"/>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6C286FAA">
      <w:pPr>
        <w:pageBreakBefore w:val="0"/>
        <w:kinsoku/>
        <w:wordWrap w:val="0"/>
        <w:topLinePunct/>
        <w:bidi w:val="0"/>
        <w:spacing w:line="400" w:lineRule="atLeast"/>
        <w:rPr>
          <w:rFonts w:hint="default" w:ascii="Times New Roman" w:hAnsi="Times New Roman" w:cs="Times New Roman"/>
          <w:color w:val="auto"/>
          <w:sz w:val="23"/>
          <w:szCs w:val="23"/>
          <w:highlight w:val="none"/>
        </w:rPr>
      </w:pPr>
    </w:p>
    <w:p w14:paraId="467A4783">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2009" w:name="_Toc27702"/>
      <w:bookmarkStart w:id="2010" w:name="_Toc32334"/>
      <w:bookmarkStart w:id="2011" w:name="_Toc19215"/>
      <w:bookmarkStart w:id="2012" w:name="_Toc234833289"/>
      <w:r>
        <w:rPr>
          <w:rFonts w:hint="default" w:ascii="Times New Roman" w:hAnsi="Times New Roman" w:eastAsia="黑体" w:cs="Times New Roman"/>
          <w:b w:val="0"/>
          <w:color w:val="auto"/>
          <w:sz w:val="24"/>
          <w:szCs w:val="24"/>
          <w:highlight w:val="none"/>
        </w:rPr>
        <w:t>（十） 拟配备本标段的主要材料试验、测量、质检仪器设备表</w:t>
      </w:r>
      <w:r>
        <w:rPr>
          <w:rFonts w:hint="default" w:ascii="Times New Roman" w:hAnsi="Times New Roman" w:eastAsia="黑体" w:cs="Times New Roman"/>
          <w:b w:val="0"/>
          <w:color w:val="auto"/>
          <w:sz w:val="24"/>
          <w:szCs w:val="24"/>
          <w:highlight w:val="none"/>
          <w:vertAlign w:val="superscript"/>
        </w:rPr>
        <w:footnoteReference w:id="64"/>
      </w:r>
      <w:bookmarkEnd w:id="2009"/>
      <w:bookmarkEnd w:id="2010"/>
      <w:bookmarkEnd w:id="2011"/>
      <w:bookmarkEnd w:id="2012"/>
    </w:p>
    <w:p w14:paraId="313118EB">
      <w:pPr>
        <w:pageBreakBefore w:val="0"/>
        <w:kinsoku/>
        <w:wordWrap w:val="0"/>
        <w:bidi w:val="0"/>
        <w:spacing w:line="400" w:lineRule="atLeast"/>
        <w:rPr>
          <w:rFonts w:hint="default" w:ascii="Times New Roman" w:hAnsi="Times New Roman" w:cs="Times New Roman"/>
          <w:color w:val="auto"/>
          <w:sz w:val="20"/>
          <w:szCs w:val="20"/>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17"/>
        <w:gridCol w:w="1030"/>
        <w:gridCol w:w="1016"/>
        <w:gridCol w:w="1026"/>
        <w:gridCol w:w="1026"/>
        <w:gridCol w:w="1693"/>
        <w:gridCol w:w="697"/>
      </w:tblGrid>
      <w:tr w14:paraId="637E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503D223E">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617" w:type="dxa"/>
            <w:noWrap w:val="0"/>
            <w:vAlign w:val="center"/>
          </w:tcPr>
          <w:p w14:paraId="2141B468">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仪器设备名称</w:t>
            </w:r>
          </w:p>
        </w:tc>
        <w:tc>
          <w:tcPr>
            <w:tcW w:w="1030" w:type="dxa"/>
            <w:noWrap w:val="0"/>
            <w:vAlign w:val="center"/>
          </w:tcPr>
          <w:p w14:paraId="2B1210A8">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型号规格</w:t>
            </w:r>
          </w:p>
        </w:tc>
        <w:tc>
          <w:tcPr>
            <w:tcW w:w="1016" w:type="dxa"/>
            <w:noWrap w:val="0"/>
            <w:vAlign w:val="center"/>
          </w:tcPr>
          <w:p w14:paraId="238CFABD">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026" w:type="dxa"/>
            <w:noWrap w:val="0"/>
            <w:vAlign w:val="center"/>
          </w:tcPr>
          <w:p w14:paraId="6BEEB64A">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国别产地</w:t>
            </w:r>
          </w:p>
        </w:tc>
        <w:tc>
          <w:tcPr>
            <w:tcW w:w="1026" w:type="dxa"/>
            <w:noWrap w:val="0"/>
            <w:vAlign w:val="center"/>
          </w:tcPr>
          <w:p w14:paraId="3EEAF37E">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制造年份</w:t>
            </w:r>
          </w:p>
        </w:tc>
        <w:tc>
          <w:tcPr>
            <w:tcW w:w="1693" w:type="dxa"/>
            <w:noWrap w:val="0"/>
            <w:vAlign w:val="center"/>
          </w:tcPr>
          <w:p w14:paraId="529D7A6F">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用途</w:t>
            </w:r>
          </w:p>
        </w:tc>
        <w:tc>
          <w:tcPr>
            <w:tcW w:w="697" w:type="dxa"/>
            <w:noWrap w:val="0"/>
            <w:vAlign w:val="center"/>
          </w:tcPr>
          <w:p w14:paraId="2EE9C3F7">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7F2A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AD9B5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65305E5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0A20BAF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32BB92B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2359E0F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3173BFC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3E04640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636FC99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A94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87F0A8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5543BC9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04B9C91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2AE08B5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134A886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68A879B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6249686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7CCBE1C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817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91D119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EC9B07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3CF5C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CFA6A5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331100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C6782E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652CD0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5BB42D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2335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5F75C1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34566E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B7469C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DCB42F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21CB5D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A4549F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4AA07B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45D5B75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7986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B8AEA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575CAB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DD7664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6B76323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A5A763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9C814A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3C3B724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5570E1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CA3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5FAECE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073C0D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921076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630FE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A9D6F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17D67E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412A02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F47FC7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76BE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DEFF64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36A8F7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5DE6E9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05E50A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B1511E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1820B5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18C4AC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5AADE4D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38B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8DDD6B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C770A0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7E96D1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339D1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0D5B57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C67E8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A8FE31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FBC0DF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3CE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C4E182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9CB35A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762480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2CC30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8CD038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4EB7F5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7D95A4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18DBC2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505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39AC29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1BB0206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1A43982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596DD6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D22F21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B028B3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51888C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C7D493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2C0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EFC95F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48EB9BC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2B8FEB0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4B6E01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C55DD9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ED7F9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7AE0309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63337D9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602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211B93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374BC4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014EAF2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A304EF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A24A0E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47F691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D58901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39971A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BD5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088ED8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D4E55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D725A7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25E66F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E07B82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17F3AC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396C12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FAD816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81C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D1BC7A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44F3D7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4D6B48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1811B9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A1CEF0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34F041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E56F49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B7BD9B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02B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071724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9F87A2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1BE467C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ECD30A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672BDD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5C352E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EC39BA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DF051C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636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82C50F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BC0672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364E95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6EC0E9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288988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1BD9DB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D01293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DBDCAA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bl>
    <w:p w14:paraId="25088CC4">
      <w:pPr>
        <w:pStyle w:val="17"/>
        <w:pageBreakBefore w:val="0"/>
        <w:kinsoku/>
        <w:wordWrap w:val="0"/>
        <w:bidi w:val="0"/>
        <w:spacing w:after="0" w:line="400" w:lineRule="atLeast"/>
        <w:ind w:left="735" w:leftChars="0"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3F5BA925">
      <w:pPr>
        <w:keepNext/>
        <w:keepLines w:val="0"/>
        <w:pageBreakBefore w:val="0"/>
        <w:widowControl w:val="0"/>
        <w:kinsoku/>
        <w:wordWrap/>
        <w:overflowPunct/>
        <w:topLinePunct/>
        <w:autoSpaceDE/>
        <w:autoSpaceDN/>
        <w:bidi w:val="0"/>
        <w:adjustRightInd w:val="0"/>
        <w:snapToGrid/>
        <w:spacing w:line="440" w:lineRule="exact"/>
        <w:jc w:val="center"/>
        <w:textAlignment w:val="baseline"/>
        <w:outlineLvl w:val="1"/>
        <w:rPr>
          <w:rFonts w:hint="default" w:ascii="Times New Roman" w:hAnsi="Times New Roman" w:eastAsia="黑体" w:cs="Times New Roman"/>
          <w:color w:val="auto"/>
          <w:kern w:val="0"/>
          <w:sz w:val="28"/>
          <w:szCs w:val="20"/>
          <w:highlight w:val="none"/>
        </w:rPr>
      </w:pPr>
      <w:r>
        <w:rPr>
          <w:rFonts w:hint="default" w:ascii="Times New Roman" w:hAnsi="Times New Roman" w:cs="Times New Roman"/>
          <w:color w:val="auto"/>
          <w:sz w:val="24"/>
          <w:highlight w:val="none"/>
        </w:rPr>
        <w:br w:type="page"/>
      </w:r>
      <w:bookmarkStart w:id="2013" w:name="_Toc5710"/>
      <w:bookmarkStart w:id="2014" w:name="_Toc8012"/>
      <w:bookmarkStart w:id="2015" w:name="_Toc13139"/>
      <w:bookmarkStart w:id="2016" w:name="_Toc15816"/>
      <w:bookmarkStart w:id="2017" w:name="_Toc234833291"/>
      <w:r>
        <w:rPr>
          <w:rFonts w:hint="eastAsia" w:eastAsia="黑体" w:cs="Times New Roman"/>
          <w:color w:val="auto"/>
          <w:sz w:val="28"/>
          <w:szCs w:val="28"/>
          <w:highlight w:val="none"/>
          <w:lang w:val="en-US" w:eastAsia="zh-CN"/>
        </w:rPr>
        <w:t>九</w:t>
      </w:r>
      <w:r>
        <w:rPr>
          <w:rFonts w:hint="default" w:ascii="Times New Roman" w:hAnsi="Times New Roman" w:eastAsia="黑体" w:cs="Times New Roman"/>
          <w:b w:val="0"/>
          <w:color w:val="auto"/>
          <w:sz w:val="28"/>
          <w:szCs w:val="28"/>
          <w:highlight w:val="none"/>
        </w:rPr>
        <w:t>、</w:t>
      </w:r>
      <w:r>
        <w:rPr>
          <w:rFonts w:hint="default" w:ascii="Times New Roman" w:hAnsi="Times New Roman" w:eastAsia="黑体" w:cs="Times New Roman"/>
          <w:color w:val="auto"/>
          <w:kern w:val="0"/>
          <w:sz w:val="28"/>
          <w:szCs w:val="20"/>
          <w:highlight w:val="none"/>
        </w:rPr>
        <w:t>投标人告知承诺函</w:t>
      </w:r>
      <w:bookmarkEnd w:id="2013"/>
      <w:bookmarkEnd w:id="2014"/>
      <w:bookmarkEnd w:id="2015"/>
      <w:bookmarkEnd w:id="2016"/>
      <w:r>
        <w:rPr>
          <w:rFonts w:hint="default" w:ascii="Times New Roman" w:hAnsi="Times New Roman" w:eastAsia="宋体" w:cs="Times New Roman"/>
          <w:color w:val="auto"/>
          <w:kern w:val="0"/>
          <w:sz w:val="24"/>
          <w:highlight w:val="none"/>
          <w:u w:val="single"/>
          <w:vertAlign w:val="superscript"/>
          <w:lang w:val="zh-CN" w:bidi="zh-CN"/>
        </w:rPr>
        <w:footnoteReference w:id="65"/>
      </w:r>
    </w:p>
    <w:p w14:paraId="361AB61E">
      <w:pPr>
        <w:spacing w:line="380" w:lineRule="exact"/>
        <w:rPr>
          <w:rFonts w:hint="default" w:ascii="Times New Roman" w:hAnsi="Times New Roman" w:cs="Times New Roman"/>
          <w:color w:val="auto"/>
          <w:sz w:val="24"/>
          <w:highlight w:val="none"/>
          <w:u w:val="single"/>
        </w:rPr>
      </w:pPr>
    </w:p>
    <w:p w14:paraId="72E856AF">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（监管部门名称）：</w:t>
      </w:r>
    </w:p>
    <w:p w14:paraId="430721BC">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我单位参与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eastAsia" w:cs="Times New Roman"/>
          <w:color w:val="auto"/>
          <w:sz w:val="24"/>
          <w:highlight w:val="none"/>
          <w:u w:val="none"/>
          <w:lang w:val="en-US" w:eastAsia="zh-CN"/>
        </w:rPr>
        <w:t>施工</w:t>
      </w:r>
      <w:r>
        <w:rPr>
          <w:rFonts w:hint="default" w:ascii="Times New Roman" w:hAnsi="Times New Roman" w:cs="Times New Roman"/>
          <w:color w:val="auto"/>
          <w:sz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2DD7A06B">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一、我单位和我本人遵循公开、公平、公正、诚实守信的原则，依法依规参与本项目投标。</w:t>
      </w:r>
    </w:p>
    <w:p w14:paraId="0F689F1A">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二、我单位具有参与本次投标的资质和能力，公司运营状况良好，不存在挂靠投标、不受让、租借、出租、出借资格或资质证书，无处罚期内的不良行为。</w:t>
      </w:r>
    </w:p>
    <w:p w14:paraId="0E629BAB">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三、我单位在本项目投标过程中从招标公告列明的渠道获取招标文件，没有通过其他不正当渠道获取招标文件。</w:t>
      </w:r>
    </w:p>
    <w:p w14:paraId="5CCB1877">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四、我单位承诺投标文件由本单位员工独立编制，严格遵守保密义务。所提供的一切投标相关材料都是真实、有效、合法的。</w:t>
      </w:r>
    </w:p>
    <w:p w14:paraId="4A513BF1">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五、我单位不与其他投标人相互串通投标报价，不恶意压低或抬高投标报价，不排挤其他投标人的公平竞争，不损害招标人或其他投标人的合法权益。</w:t>
      </w:r>
    </w:p>
    <w:p w14:paraId="5263580D">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六、我单位不与招标人或招标代理机构串通投标，损害国家利益、社会公共利益或者他人的合法权益。</w:t>
      </w:r>
    </w:p>
    <w:p w14:paraId="4FD7BEE3">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七、我单位不向招标人或者评标委员会成员行贿以牟取中标，不在开标后进行虚假恶意投诉。</w:t>
      </w:r>
    </w:p>
    <w:p w14:paraId="0D5E9168">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八、我单位和我个人清楚并知晓《中华人民共和国刑法》第二百二十三条</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相互串通投标报价，损害招标人或者其他投标人利益，情节严重的，处三年以下有期徒刑或者拘役，并处或者单处罚金。投标人与招标人串通投标，损害国家、集体、公民的合法利益的，依照前款的规定处罚</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的规定。</w:t>
      </w:r>
    </w:p>
    <w:p w14:paraId="069961C5">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九、我单位如在本项目招标投标活动评标工作中存在串通投标、弄虚作假等行为的，本单位及本人自愿承担法律责任，接受相应刑事、纪律和行政处罚以及失信惩戒。</w:t>
      </w:r>
    </w:p>
    <w:p w14:paraId="51C5E6B7">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十、本承诺函由我单位盖章及法定代表人（授权委托人）本人</w:t>
      </w:r>
      <w:r>
        <w:rPr>
          <w:rFonts w:hint="eastAsia" w:cs="Times New Roman"/>
          <w:color w:val="auto"/>
          <w:sz w:val="24"/>
          <w:highlight w:val="none"/>
          <w:lang w:val="en-US" w:eastAsia="zh-CN"/>
        </w:rPr>
        <w:t>电子</w:t>
      </w:r>
      <w:r>
        <w:rPr>
          <w:rFonts w:hint="default" w:ascii="Times New Roman" w:hAnsi="Times New Roman" w:cs="Times New Roman"/>
          <w:color w:val="auto"/>
          <w:sz w:val="24"/>
          <w:highlight w:val="none"/>
        </w:rPr>
        <w:t>确认。</w:t>
      </w:r>
    </w:p>
    <w:p w14:paraId="0AC15268">
      <w:pPr>
        <w:spacing w:line="380" w:lineRule="exact"/>
        <w:ind w:firstLine="480" w:firstLineChars="200"/>
        <w:rPr>
          <w:rFonts w:hint="default" w:ascii="Times New Roman" w:hAnsi="Times New Roman" w:cs="Times New Roman"/>
          <w:color w:val="auto"/>
          <w:sz w:val="24"/>
          <w:highlight w:val="none"/>
        </w:rPr>
      </w:pPr>
    </w:p>
    <w:p w14:paraId="7C2931FE">
      <w:pPr>
        <w:widowControl/>
        <w:spacing w:line="380" w:lineRule="exact"/>
        <w:jc w:val="right"/>
        <w:rPr>
          <w:rFonts w:hint="default" w:ascii="Times New Roman" w:hAnsi="Times New Roman" w:cs="Times New Roman"/>
          <w:color w:val="auto"/>
          <w:kern w:val="0"/>
          <w:sz w:val="24"/>
          <w:highlight w:val="none"/>
          <w:u w:val="single"/>
          <w:lang w:val="zh-CN" w:bidi="zh-CN"/>
        </w:rPr>
      </w:pPr>
      <w:r>
        <w:rPr>
          <w:rFonts w:hint="default" w:ascii="Times New Roman" w:hAnsi="Times New Roman" w:cs="Times New Roman"/>
          <w:color w:val="auto"/>
          <w:kern w:val="0"/>
          <w:sz w:val="24"/>
          <w:highlight w:val="none"/>
          <w:lang w:val="zh-CN" w:bidi="zh-CN"/>
        </w:rPr>
        <w:t>投标人：</w:t>
      </w:r>
      <w:r>
        <w:rPr>
          <w:rFonts w:hint="default" w:ascii="Times New Roman" w:hAnsi="Times New Roman" w:cs="Times New Roman"/>
          <w:color w:val="auto"/>
          <w:kern w:val="0"/>
          <w:sz w:val="24"/>
          <w:highlight w:val="none"/>
          <w:u w:val="single"/>
          <w:lang w:val="zh-CN" w:bidi="zh-CN"/>
        </w:rPr>
        <w:t>投标人全称（加盖单位</w:t>
      </w:r>
      <w:r>
        <w:rPr>
          <w:rFonts w:hint="default" w:ascii="Times New Roman" w:hAnsi="Times New Roman" w:cs="Times New Roman"/>
          <w:color w:val="auto"/>
          <w:kern w:val="0"/>
          <w:sz w:val="24"/>
          <w:highlight w:val="none"/>
          <w:u w:val="single"/>
          <w:lang w:val="en-US" w:bidi="zh-CN"/>
        </w:rPr>
        <w:t>电子印</w:t>
      </w:r>
      <w:r>
        <w:rPr>
          <w:rFonts w:hint="default" w:ascii="Times New Roman" w:hAnsi="Times New Roman" w:cs="Times New Roman"/>
          <w:color w:val="auto"/>
          <w:kern w:val="0"/>
          <w:sz w:val="24"/>
          <w:highlight w:val="none"/>
          <w:u w:val="single"/>
          <w:lang w:val="zh-CN" w:bidi="zh-CN"/>
        </w:rPr>
        <w:t>章）</w:t>
      </w:r>
    </w:p>
    <w:p w14:paraId="012DC6BA">
      <w:pPr>
        <w:keepNext w:val="0"/>
        <w:keepLines w:val="0"/>
        <w:pageBreakBefore w:val="0"/>
        <w:widowControl/>
        <w:kinsoku/>
        <w:wordWrap w:val="0"/>
        <w:overflowPunct/>
        <w:topLinePunct w:val="0"/>
        <w:autoSpaceDE/>
        <w:autoSpaceDN/>
        <w:bidi w:val="0"/>
        <w:adjustRightInd/>
        <w:snapToGrid/>
        <w:spacing w:line="380" w:lineRule="exact"/>
        <w:jc w:val="right"/>
        <w:textAlignment w:val="auto"/>
        <w:outlineLvl w:val="9"/>
        <w:rPr>
          <w:rFonts w:hint="default" w:ascii="Times New Roman" w:hAnsi="Times New Roman" w:cs="Times New Roman"/>
          <w:color w:val="auto"/>
          <w:kern w:val="0"/>
          <w:sz w:val="24"/>
          <w:highlight w:val="none"/>
          <w:lang w:val="zh-CN" w:bidi="zh-CN"/>
        </w:rPr>
      </w:pPr>
      <w:r>
        <w:rPr>
          <w:rFonts w:hint="default" w:ascii="Times New Roman" w:hAnsi="Times New Roman" w:cs="Times New Roman"/>
          <w:color w:val="auto"/>
          <w:kern w:val="0"/>
          <w:sz w:val="24"/>
          <w:highlight w:val="none"/>
          <w:lang w:val="zh-CN" w:bidi="zh-CN"/>
        </w:rPr>
        <w:t>法定代表人（或授权委托人）：</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r>
        <w:rPr>
          <w:rFonts w:hint="default" w:ascii="Times New Roman" w:hAnsi="Times New Roman" w:cs="Times New Roman"/>
          <w:color w:val="auto"/>
          <w:kern w:val="0"/>
          <w:sz w:val="24"/>
          <w:highlight w:val="none"/>
          <w:lang w:val="zh-CN" w:bidi="zh-CN"/>
        </w:rPr>
        <w:t>）</w:t>
      </w:r>
    </w:p>
    <w:p w14:paraId="427E6D2C">
      <w:pPr>
        <w:widowControl/>
        <w:wordWrap w:val="0"/>
        <w:spacing w:line="380" w:lineRule="exact"/>
        <w:jc w:val="right"/>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kern w:val="0"/>
          <w:sz w:val="24"/>
          <w:highlight w:val="none"/>
          <w:lang w:val="zh-CN" w:bidi="zh-CN"/>
        </w:rPr>
        <w:t>承诺日期：</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年</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月</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日</w:t>
      </w:r>
    </w:p>
    <w:p w14:paraId="25A7656C">
      <w:pPr>
        <w:pStyle w:val="2"/>
        <w:pageBreakBefore w:val="0"/>
        <w:kinsoku/>
        <w:wordWrap w:val="0"/>
        <w:overflowPunct/>
        <w:bidi w:val="0"/>
        <w:spacing w:before="0" w:after="0" w:line="380" w:lineRule="atLeast"/>
        <w:jc w:val="center"/>
        <w:outlineLvl w:val="9"/>
        <w:rPr>
          <w:rFonts w:hint="default" w:ascii="Times New Roman" w:hAnsi="Times New Roman" w:cs="Times New Roman"/>
          <w:b w:val="0"/>
          <w:color w:val="auto"/>
          <w:sz w:val="28"/>
          <w:szCs w:val="28"/>
          <w:highlight w:val="none"/>
          <w:lang w:val="en-US" w:eastAsia="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61ECDAFE">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rPr>
      </w:pPr>
      <w:bookmarkStart w:id="2018" w:name="_Toc18802"/>
      <w:bookmarkStart w:id="2019" w:name="_Toc3120"/>
      <w:bookmarkStart w:id="2020" w:name="_Toc29420"/>
      <w:r>
        <w:rPr>
          <w:rFonts w:hint="eastAsia" w:cs="Times New Roman"/>
          <w:color w:val="auto"/>
          <w:sz w:val="28"/>
          <w:szCs w:val="28"/>
          <w:highlight w:val="none"/>
          <w:lang w:val="en-US" w:eastAsia="zh-CN"/>
        </w:rPr>
        <w:t>十</w:t>
      </w:r>
      <w:r>
        <w:rPr>
          <w:rFonts w:hint="default" w:ascii="Times New Roman" w:hAnsi="Times New Roman" w:eastAsia="黑体" w:cs="Times New Roman"/>
          <w:b w:val="0"/>
          <w:color w:val="auto"/>
          <w:sz w:val="28"/>
          <w:szCs w:val="28"/>
          <w:highlight w:val="none"/>
        </w:rPr>
        <w:t>、其他</w:t>
      </w:r>
      <w:bookmarkEnd w:id="2017"/>
      <w:r>
        <w:rPr>
          <w:rFonts w:hint="default" w:ascii="Times New Roman" w:hAnsi="Times New Roman" w:eastAsia="黑体" w:cs="Times New Roman"/>
          <w:b w:val="0"/>
          <w:color w:val="auto"/>
          <w:sz w:val="28"/>
          <w:szCs w:val="28"/>
          <w:highlight w:val="none"/>
          <w:lang w:eastAsia="zh-CN"/>
        </w:rPr>
        <w:t>资料</w:t>
      </w:r>
      <w:bookmarkEnd w:id="2018"/>
      <w:bookmarkEnd w:id="2019"/>
      <w:bookmarkEnd w:id="2020"/>
    </w:p>
    <w:p w14:paraId="2B44E78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1F0148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A6CB36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E46AC1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D2849C1">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1F9B6C02">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r>
        <w:rPr>
          <w:rFonts w:hint="eastAsia" w:ascii="Times New Roman" w:eastAsia="黑体" w:cs="Times New Roman"/>
          <w:color w:val="auto"/>
          <w:sz w:val="31"/>
          <w:szCs w:val="31"/>
          <w:highlight w:val="none"/>
          <w:u w:val="single"/>
          <w:lang w:eastAsia="zh-CN"/>
        </w:rPr>
        <w:t>辽宁省</w:t>
      </w:r>
    </w:p>
    <w:p w14:paraId="50F2614A">
      <w:pPr>
        <w:pageBreakBefore w:val="0"/>
        <w:kinsoku/>
        <w:wordWrap w:val="0"/>
        <w:bidi w:val="0"/>
        <w:spacing w:line="440" w:lineRule="exact"/>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val="en-US" w:eastAsia="zh-CN"/>
        </w:rPr>
        <w:t>施工招标</w:t>
      </w:r>
    </w:p>
    <w:p w14:paraId="77BEB596">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25D2DA84">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652DC11E">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5E096B26">
      <w:pPr>
        <w:pStyle w:val="16"/>
        <w:rPr>
          <w:rFonts w:hint="default" w:ascii="Times New Roman" w:hAnsi="Times New Roman" w:eastAsia="黑体" w:cs="Times New Roman"/>
          <w:color w:val="auto"/>
          <w:sz w:val="40"/>
          <w:szCs w:val="40"/>
          <w:highlight w:val="none"/>
        </w:rPr>
      </w:pPr>
    </w:p>
    <w:p w14:paraId="62D5BA10">
      <w:pPr>
        <w:pStyle w:val="16"/>
        <w:rPr>
          <w:rFonts w:hint="default" w:ascii="Times New Roman" w:hAnsi="Times New Roman" w:eastAsia="黑体" w:cs="Times New Roman"/>
          <w:color w:val="auto"/>
          <w:sz w:val="40"/>
          <w:szCs w:val="40"/>
          <w:highlight w:val="none"/>
        </w:rPr>
      </w:pPr>
    </w:p>
    <w:p w14:paraId="5EB813B7">
      <w:pPr>
        <w:pStyle w:val="16"/>
        <w:rPr>
          <w:rFonts w:hint="default" w:ascii="Times New Roman" w:hAnsi="Times New Roman" w:eastAsia="黑体" w:cs="Times New Roman"/>
          <w:color w:val="auto"/>
          <w:sz w:val="40"/>
          <w:szCs w:val="40"/>
          <w:highlight w:val="none"/>
        </w:rPr>
      </w:pPr>
    </w:p>
    <w:p w14:paraId="0DF6DD8E">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5F2783BF">
      <w:pPr>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黑体" w:cs="Times New Roman"/>
          <w:b w:val="0"/>
          <w:color w:val="auto"/>
          <w:sz w:val="72"/>
          <w:szCs w:val="72"/>
          <w:highlight w:val="none"/>
        </w:rPr>
      </w:pPr>
      <w:bookmarkStart w:id="2021" w:name="_Toc25715"/>
      <w:bookmarkStart w:id="2022" w:name="_Toc11826"/>
      <w:bookmarkStart w:id="2023" w:name="_Toc9419"/>
      <w:r>
        <w:rPr>
          <w:rFonts w:hint="default" w:ascii="Times New Roman" w:hAnsi="Times New Roman" w:eastAsia="黑体" w:cs="Times New Roman"/>
          <w:b w:val="0"/>
          <w:color w:val="auto"/>
          <w:sz w:val="72"/>
          <w:szCs w:val="72"/>
          <w:highlight w:val="none"/>
        </w:rPr>
        <w:t>投  标  文  件</w:t>
      </w:r>
      <w:bookmarkEnd w:id="2021"/>
      <w:bookmarkEnd w:id="2022"/>
      <w:bookmarkEnd w:id="2023"/>
    </w:p>
    <w:p w14:paraId="4CDAA7EC">
      <w:pPr>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黑体" w:cs="Times New Roman"/>
          <w:b w:val="0"/>
          <w:color w:val="auto"/>
          <w:sz w:val="30"/>
          <w:szCs w:val="30"/>
          <w:highlight w:val="none"/>
        </w:rPr>
      </w:pPr>
      <w:bookmarkStart w:id="2024" w:name="_Toc5781"/>
      <w:bookmarkStart w:id="2025" w:name="_Toc16866"/>
      <w:r>
        <w:rPr>
          <w:rFonts w:hint="default" w:ascii="Times New Roman" w:hAnsi="Times New Roman" w:eastAsia="黑体" w:cs="Times New Roman"/>
          <w:b w:val="0"/>
          <w:color w:val="auto"/>
          <w:sz w:val="32"/>
          <w:szCs w:val="32"/>
          <w:highlight w:val="none"/>
        </w:rPr>
        <w:t>（</w:t>
      </w:r>
      <w:r>
        <w:rPr>
          <w:rFonts w:hint="default" w:ascii="Times New Roman" w:hAnsi="Times New Roman" w:eastAsia="黑体" w:cs="Times New Roman"/>
          <w:b w:val="0"/>
          <w:color w:val="auto"/>
          <w:sz w:val="32"/>
          <w:szCs w:val="32"/>
          <w:highlight w:val="none"/>
          <w:lang w:val="en-US" w:eastAsia="zh-CN"/>
        </w:rPr>
        <w:t>第二个信封</w:t>
      </w:r>
      <w:r>
        <w:rPr>
          <w:rFonts w:hint="default" w:ascii="Times New Roman" w:hAnsi="Times New Roman"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报价文件）</w:t>
      </w:r>
      <w:bookmarkEnd w:id="2024"/>
      <w:bookmarkEnd w:id="2025"/>
    </w:p>
    <w:p w14:paraId="27BB5677">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4F08158C">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071247D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1867600">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FD5464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0A698C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33F2FF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297573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11540D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6F72ED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2A7417A">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4F64EE06">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6E14B25A">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3EB6319F">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br w:type="page"/>
      </w:r>
    </w:p>
    <w:p w14:paraId="4D083798">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p>
    <w:p w14:paraId="2DF69F6D">
      <w:pPr>
        <w:pageBreakBefore w:val="0"/>
        <w:kinsoku/>
        <w:wordWrap w:val="0"/>
        <w:bidi w:val="0"/>
        <w:spacing w:line="440" w:lineRule="exact"/>
        <w:ind w:firstLine="151" w:firstLineChars="50"/>
        <w:jc w:val="center"/>
        <w:rPr>
          <w:rFonts w:hint="default" w:ascii="Times New Roman" w:hAnsi="Times New Roman" w:eastAsia="黑体" w:cs="Times New Roman"/>
          <w:b/>
          <w:color w:val="auto"/>
          <w:sz w:val="30"/>
          <w:szCs w:val="30"/>
          <w:highlight w:val="none"/>
        </w:rPr>
      </w:pPr>
      <w:bookmarkStart w:id="2026" w:name="_Toc9512"/>
      <w:bookmarkStart w:id="2027" w:name="_Toc13802"/>
      <w:bookmarkStart w:id="2028" w:name="_Toc29275"/>
      <w:r>
        <w:rPr>
          <w:rFonts w:hint="default" w:ascii="Times New Roman" w:hAnsi="Times New Roman" w:eastAsia="黑体" w:cs="Times New Roman"/>
          <w:b/>
          <w:color w:val="auto"/>
          <w:sz w:val="30"/>
          <w:szCs w:val="30"/>
          <w:highlight w:val="none"/>
        </w:rPr>
        <w:t>目     录</w:t>
      </w:r>
    </w:p>
    <w:p w14:paraId="2EDBFAF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21BD3D2">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调价函格式（如有）</w:t>
      </w:r>
    </w:p>
    <w:p w14:paraId="524544DE">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w:t>
      </w:r>
    </w:p>
    <w:p w14:paraId="1A359E54">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二、已标价工程量清单</w:t>
      </w:r>
    </w:p>
    <w:p w14:paraId="684C4FB0">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三、合同用款估算表</w:t>
      </w:r>
    </w:p>
    <w:p w14:paraId="745E0A1F">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p>
    <w:p w14:paraId="4BC10301">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08354C20">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84D847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334E5D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6D5483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3BAA800">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CA6E67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B9A4D8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FEE6DB8">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602F76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284402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48CADC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CFEADC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BD8CEA6">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37DF3DF6">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30"/>
          <w:szCs w:val="30"/>
          <w:highlight w:val="none"/>
        </w:rPr>
      </w:pPr>
      <w:bookmarkStart w:id="2029" w:name="_Toc29927"/>
      <w:bookmarkStart w:id="2030" w:name="_Toc6668"/>
      <w:bookmarkStart w:id="2031" w:name="_Toc2064"/>
      <w:r>
        <w:rPr>
          <w:rFonts w:hint="default" w:ascii="Times New Roman" w:hAnsi="Times New Roman" w:eastAsia="黑体" w:cs="Times New Roman"/>
          <w:b w:val="0"/>
          <w:color w:val="auto"/>
          <w:sz w:val="30"/>
          <w:szCs w:val="30"/>
          <w:highlight w:val="none"/>
        </w:rPr>
        <w:t>调价函格式（如有）</w:t>
      </w:r>
      <w:r>
        <w:rPr>
          <w:rStyle w:val="47"/>
          <w:rFonts w:hint="default" w:ascii="Times New Roman" w:hAnsi="Times New Roman" w:eastAsia="黑体" w:cs="Times New Roman"/>
          <w:color w:val="auto"/>
          <w:sz w:val="30"/>
          <w:szCs w:val="30"/>
          <w:highlight w:val="none"/>
        </w:rPr>
        <w:footnoteReference w:id="66"/>
      </w:r>
      <w:bookmarkEnd w:id="2029"/>
      <w:bookmarkEnd w:id="2030"/>
      <w:bookmarkEnd w:id="2031"/>
    </w:p>
    <w:p w14:paraId="450F8A8A">
      <w:pPr>
        <w:pageBreakBefore w:val="0"/>
        <w:kinsoku/>
        <w:wordWrap w:val="0"/>
        <w:bidi w:val="0"/>
        <w:spacing w:line="400" w:lineRule="atLeast"/>
        <w:rPr>
          <w:rFonts w:hint="default" w:ascii="Times New Roman" w:hAnsi="Times New Roman" w:cs="Times New Roman"/>
          <w:color w:val="auto"/>
          <w:sz w:val="24"/>
          <w:highlight w:val="none"/>
        </w:rPr>
      </w:pPr>
    </w:p>
    <w:p w14:paraId="32528C3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564929BE">
      <w:pPr>
        <w:pageBreakBefore w:val="0"/>
        <w:kinsoku/>
        <w:wordWrap w:val="0"/>
        <w:bidi w:val="0"/>
        <w:spacing w:line="400" w:lineRule="atLeast"/>
        <w:ind w:firstLine="525"/>
        <w:rPr>
          <w:rFonts w:hint="default" w:ascii="Times New Roman" w:hAnsi="Times New Roman" w:cs="Times New Roman"/>
          <w:color w:val="auto"/>
          <w:sz w:val="24"/>
          <w:highlight w:val="none"/>
        </w:rPr>
      </w:pPr>
    </w:p>
    <w:p w14:paraId="43443C8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经我方慎重研究，基于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理由，在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标段施工招标投标函报价人民币（大写）________元（¥________）的基础上进行调价，调价后金额为人民币（大写）________元（¥________），调价后金额为我方最终报价。</w:t>
      </w:r>
    </w:p>
    <w:p w14:paraId="1C65290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15A75E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调价后的工程量清单</w:t>
      </w:r>
      <w:r>
        <w:rPr>
          <w:rStyle w:val="47"/>
          <w:rFonts w:hint="default" w:ascii="Times New Roman" w:hAnsi="Times New Roman" w:cs="Times New Roman"/>
          <w:color w:val="auto"/>
          <w:sz w:val="24"/>
          <w:highlight w:val="none"/>
        </w:rPr>
        <w:footnoteReference w:id="67"/>
      </w:r>
      <w:r>
        <w:rPr>
          <w:rFonts w:hint="default" w:ascii="Times New Roman" w:hAnsi="Times New Roman" w:cs="Times New Roman"/>
          <w:color w:val="auto"/>
          <w:sz w:val="24"/>
          <w:highlight w:val="none"/>
        </w:rPr>
        <w:t>附后，否则调价无效。</w:t>
      </w:r>
    </w:p>
    <w:p w14:paraId="3860F44F">
      <w:pPr>
        <w:pageBreakBefore w:val="0"/>
        <w:kinsoku/>
        <w:wordWrap w:val="0"/>
        <w:bidi w:val="0"/>
        <w:spacing w:line="400" w:lineRule="atLeast"/>
        <w:rPr>
          <w:rFonts w:hint="default" w:ascii="Times New Roman" w:hAnsi="Times New Roman" w:cs="Times New Roman"/>
          <w:color w:val="auto"/>
          <w:sz w:val="24"/>
          <w:highlight w:val="none"/>
        </w:rPr>
      </w:pPr>
    </w:p>
    <w:p w14:paraId="11DD8AC5">
      <w:pPr>
        <w:pageBreakBefore w:val="0"/>
        <w:kinsoku/>
        <w:wordWrap w:val="0"/>
        <w:bidi w:val="0"/>
        <w:spacing w:line="400" w:lineRule="atLeast"/>
        <w:rPr>
          <w:rFonts w:hint="default" w:ascii="Times New Roman" w:hAnsi="Times New Roman" w:cs="Times New Roman"/>
          <w:color w:val="auto"/>
          <w:sz w:val="24"/>
          <w:highlight w:val="none"/>
        </w:rPr>
      </w:pPr>
    </w:p>
    <w:p w14:paraId="3A4A034C">
      <w:pPr>
        <w:pageBreakBefore w:val="0"/>
        <w:kinsoku/>
        <w:wordWrap w:val="0"/>
        <w:bidi w:val="0"/>
        <w:spacing w:line="400" w:lineRule="atLeast"/>
        <w:rPr>
          <w:rFonts w:hint="default" w:ascii="Times New Roman" w:hAnsi="Times New Roman" w:cs="Times New Roman"/>
          <w:color w:val="auto"/>
          <w:sz w:val="24"/>
          <w:highlight w:val="none"/>
        </w:rPr>
      </w:pPr>
    </w:p>
    <w:p w14:paraId="254CBCDF">
      <w:pPr>
        <w:pageBreakBefore w:val="0"/>
        <w:kinsoku/>
        <w:wordWrap w:val="0"/>
        <w:bidi w:val="0"/>
        <w:spacing w:line="400" w:lineRule="atLeast"/>
        <w:rPr>
          <w:rFonts w:hint="default" w:ascii="Times New Roman" w:hAnsi="Times New Roman" w:cs="Times New Roman"/>
          <w:color w:val="auto"/>
          <w:sz w:val="24"/>
          <w:highlight w:val="none"/>
        </w:rPr>
      </w:pPr>
    </w:p>
    <w:p w14:paraId="095C8B09">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（盖单位电子印章）</w:t>
      </w:r>
    </w:p>
    <w:p w14:paraId="33A1785C">
      <w:pPr>
        <w:keepNext w:val="0"/>
        <w:keepLines w:val="0"/>
        <w:pageBreakBefore w:val="0"/>
        <w:widowControl w:val="0"/>
        <w:kinsoku/>
        <w:wordWrap w:val="0"/>
        <w:overflowPunct/>
        <w:topLinePunct w:val="0"/>
        <w:autoSpaceDE/>
        <w:autoSpaceDN/>
        <w:bidi w:val="0"/>
        <w:adjustRightInd/>
        <w:snapToGrid/>
        <w:spacing w:line="440" w:lineRule="exact"/>
        <w:ind w:left="1436" w:leftChars="684" w:firstLine="0" w:firstLineChars="0"/>
        <w:textAlignment w:val="auto"/>
        <w:rPr>
          <w:rFonts w:hint="default" w:ascii="Times New Roman" w:hAnsi="Times New Roman" w:eastAsia="宋体" w:cs="Times New Roman"/>
          <w:bCs w:val="0"/>
          <w:color w:val="auto"/>
          <w:kern w:val="2"/>
          <w:sz w:val="24"/>
          <w:szCs w:val="24"/>
          <w:highlight w:val="none"/>
          <w:lang w:val="en-US" w:eastAsia="zh-CN" w:bidi="ar-SA"/>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（个人电子签名章或个人电子印章）</w:t>
      </w:r>
      <w:r>
        <w:rPr>
          <w:rFonts w:hint="default" w:ascii="Times New Roman" w:hAnsi="Times New Roman" w:eastAsia="宋体" w:cs="Times New Roman"/>
          <w:bCs w:val="0"/>
          <w:color w:val="auto"/>
          <w:kern w:val="2"/>
          <w:sz w:val="24"/>
          <w:szCs w:val="24"/>
          <w:highlight w:val="none"/>
          <w:u w:val="single"/>
          <w:lang w:val="en-US" w:eastAsia="zh-CN" w:bidi="ar-SA"/>
        </w:rPr>
        <w:t xml:space="preserve">       </w:t>
      </w:r>
      <w:r>
        <w:rPr>
          <w:rFonts w:hint="default" w:ascii="Times New Roman" w:hAnsi="Times New Roman" w:eastAsia="宋体" w:cs="Times New Roman"/>
          <w:bCs w:val="0"/>
          <w:color w:val="auto"/>
          <w:kern w:val="2"/>
          <w:sz w:val="24"/>
          <w:szCs w:val="24"/>
          <w:highlight w:val="none"/>
          <w:lang w:val="en-US" w:eastAsia="zh-CN" w:bidi="ar-SA"/>
        </w:rPr>
        <w:t>年</w:t>
      </w:r>
      <w:r>
        <w:rPr>
          <w:rFonts w:hint="default" w:ascii="Times New Roman" w:hAnsi="Times New Roman" w:eastAsia="宋体" w:cs="Times New Roman"/>
          <w:bCs w:val="0"/>
          <w:color w:val="auto"/>
          <w:kern w:val="2"/>
          <w:sz w:val="24"/>
          <w:szCs w:val="24"/>
          <w:highlight w:val="none"/>
          <w:u w:val="single"/>
          <w:lang w:val="en-US" w:eastAsia="zh-CN" w:bidi="ar-SA"/>
        </w:rPr>
        <w:t xml:space="preserve">       </w:t>
      </w:r>
      <w:r>
        <w:rPr>
          <w:rFonts w:hint="default" w:ascii="Times New Roman" w:hAnsi="Times New Roman" w:eastAsia="宋体" w:cs="Times New Roman"/>
          <w:bCs w:val="0"/>
          <w:color w:val="auto"/>
          <w:kern w:val="2"/>
          <w:sz w:val="24"/>
          <w:szCs w:val="24"/>
          <w:highlight w:val="none"/>
          <w:lang w:val="en-US" w:eastAsia="zh-CN" w:bidi="ar-SA"/>
        </w:rPr>
        <w:t>月</w:t>
      </w:r>
      <w:r>
        <w:rPr>
          <w:rFonts w:hint="default" w:ascii="Times New Roman" w:hAnsi="Times New Roman" w:eastAsia="宋体" w:cs="Times New Roman"/>
          <w:bCs w:val="0"/>
          <w:color w:val="auto"/>
          <w:kern w:val="2"/>
          <w:sz w:val="24"/>
          <w:szCs w:val="24"/>
          <w:highlight w:val="none"/>
          <w:u w:val="single"/>
          <w:lang w:val="en-US" w:eastAsia="zh-CN" w:bidi="ar-SA"/>
        </w:rPr>
        <w:t xml:space="preserve">       </w:t>
      </w:r>
      <w:r>
        <w:rPr>
          <w:rFonts w:hint="default" w:ascii="Times New Roman" w:hAnsi="Times New Roman" w:eastAsia="宋体" w:cs="Times New Roman"/>
          <w:bCs w:val="0"/>
          <w:color w:val="auto"/>
          <w:kern w:val="2"/>
          <w:sz w:val="24"/>
          <w:szCs w:val="24"/>
          <w:highlight w:val="none"/>
          <w:lang w:val="en-US" w:eastAsia="zh-CN" w:bidi="ar-SA"/>
        </w:rPr>
        <w:t>日</w:t>
      </w:r>
    </w:p>
    <w:p w14:paraId="4BFF04FF">
      <w:pPr>
        <w:rPr>
          <w:rFonts w:hint="default" w:ascii="Times New Roman" w:hAnsi="Times New Roman" w:eastAsia="宋体" w:cs="Times New Roman"/>
          <w:bCs w:val="0"/>
          <w:color w:val="auto"/>
          <w:kern w:val="2"/>
          <w:sz w:val="24"/>
          <w:szCs w:val="24"/>
          <w:highlight w:val="none"/>
          <w:lang w:val="en-US" w:eastAsia="zh-CN" w:bidi="ar-SA"/>
        </w:rPr>
      </w:pPr>
      <w:r>
        <w:rPr>
          <w:rFonts w:hint="default" w:ascii="Times New Roman" w:hAnsi="Times New Roman" w:eastAsia="宋体" w:cs="Times New Roman"/>
          <w:bCs w:val="0"/>
          <w:color w:val="auto"/>
          <w:kern w:val="2"/>
          <w:sz w:val="24"/>
          <w:szCs w:val="24"/>
          <w:highlight w:val="none"/>
          <w:lang w:val="en-US" w:eastAsia="zh-CN" w:bidi="ar-SA"/>
        </w:rPr>
        <w:br w:type="page"/>
      </w:r>
    </w:p>
    <w:p w14:paraId="4EBF799D">
      <w:pPr>
        <w:pStyle w:val="2"/>
        <w:pageBreakBefore w:val="0"/>
        <w:kinsoku/>
        <w:wordWrap w:val="0"/>
        <w:bidi w:val="0"/>
        <w:spacing w:before="0" w:after="0" w:line="400" w:lineRule="atLeast"/>
        <w:jc w:val="center"/>
        <w:outlineLvl w:val="1"/>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一、投标函</w:t>
      </w:r>
      <w:bookmarkEnd w:id="2026"/>
      <w:bookmarkEnd w:id="2027"/>
      <w:bookmarkEnd w:id="2028"/>
    </w:p>
    <w:p w14:paraId="7BEC6797">
      <w:pPr>
        <w:pageBreakBefore w:val="0"/>
        <w:kinsoku/>
        <w:wordWrap w:val="0"/>
        <w:bidi w:val="0"/>
        <w:spacing w:before="360" w:beforeLines="150" w:after="240" w:afterLines="100" w:line="400" w:lineRule="atLeast"/>
        <w:jc w:val="center"/>
        <w:outlineLvl w:val="9"/>
        <w:rPr>
          <w:rFonts w:hint="default" w:ascii="Times New Roman" w:hAnsi="Times New Roman" w:eastAsia="黑体" w:cs="Times New Roman"/>
          <w:b w:val="0"/>
          <w:color w:val="auto"/>
          <w:sz w:val="28"/>
          <w:szCs w:val="28"/>
          <w:highlight w:val="none"/>
        </w:rPr>
      </w:pPr>
    </w:p>
    <w:p w14:paraId="114E2F96">
      <w:pPr>
        <w:pageBreakBefore w:val="0"/>
        <w:kinsoku/>
        <w:wordWrap w:val="0"/>
        <w:bidi w:val="0"/>
        <w:spacing w:before="240" w:beforeLines="100" w:after="120" w:afterLines="5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7CA2557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标段名称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施工招标文件的全部内容（含补遗书第___号至第___号），在考察工程现场后，愿意以人民币（大写）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）的投标总报价（或根据招标文件规定修正核实后确定的另一金额，其中，增值税税率为</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），按合同约定实施和完成承包工程，修补工程中的任何缺陷。</w:t>
      </w:r>
    </w:p>
    <w:p w14:paraId="1A4A95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2．在合同协议书正式签署生效之前，本投标函连同你方的中标通知书将构成我们双方之间共同遵守的文件，对双方具有约束力。</w:t>
      </w:r>
    </w:p>
    <w:p w14:paraId="4F4751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086AB51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78882A2B">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3D52CB9D">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6B784F3C">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54E4302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p>
    <w:p w14:paraId="5978E4C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65412BD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3BFC4A02">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p>
    <w:p w14:paraId="4F50FCB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p>
    <w:p w14:paraId="2A7F5289">
      <w:pPr>
        <w:pageBreakBefore w:val="0"/>
        <w:kinsoku/>
        <w:wordWrap w:val="0"/>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rPr>
        <w:br w:type="page"/>
      </w:r>
    </w:p>
    <w:p w14:paraId="424CC64B">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rPr>
      </w:pPr>
      <w:bookmarkStart w:id="2032" w:name="_Toc27163"/>
      <w:bookmarkStart w:id="2033" w:name="_Toc9477"/>
      <w:bookmarkStart w:id="2034" w:name="_Toc14806"/>
      <w:bookmarkStart w:id="2035" w:name="_Toc234833263"/>
      <w:r>
        <w:rPr>
          <w:rFonts w:hint="default" w:ascii="Times New Roman" w:hAnsi="Times New Roman" w:eastAsia="黑体" w:cs="Times New Roman"/>
          <w:b w:val="0"/>
          <w:color w:val="auto"/>
          <w:sz w:val="28"/>
          <w:szCs w:val="28"/>
          <w:highlight w:val="none"/>
        </w:rPr>
        <w:t>二、已标价工程量清单</w:t>
      </w:r>
      <w:bookmarkEnd w:id="2032"/>
      <w:bookmarkEnd w:id="2033"/>
      <w:bookmarkEnd w:id="2034"/>
      <w:bookmarkEnd w:id="2035"/>
    </w:p>
    <w:p w14:paraId="60F2955B">
      <w:pPr>
        <w:pageBreakBefore w:val="0"/>
        <w:kinsoku/>
        <w:wordWrap w:val="0"/>
        <w:bidi w:val="0"/>
        <w:spacing w:line="440" w:lineRule="exact"/>
        <w:rPr>
          <w:rFonts w:hint="default" w:ascii="Times New Roman" w:hAnsi="Times New Roman" w:eastAsia="黑体" w:cs="Times New Roman"/>
          <w:color w:val="auto"/>
          <w:sz w:val="24"/>
          <w:highlight w:val="none"/>
        </w:rPr>
      </w:pPr>
    </w:p>
    <w:p w14:paraId="5B31553D">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投标人应按照第五章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的要求逐项填报工程量清单，包括工程量清单说明、投标报价说明、计日工说明、其他说明及工程量清单各项表格（工程量清单表5.1～表5.5）。</w:t>
      </w:r>
    </w:p>
    <w:p w14:paraId="65627B0A">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2036" w:name="_Toc933"/>
      <w:bookmarkStart w:id="2037" w:name="_Toc6563"/>
      <w:bookmarkStart w:id="2038" w:name="_Toc25809"/>
      <w:bookmarkStart w:id="2039" w:name="_Toc234833274"/>
      <w:r>
        <w:rPr>
          <w:rFonts w:hint="default" w:ascii="Times New Roman" w:hAnsi="Times New Roman" w:eastAsia="黑体" w:cs="Times New Roman"/>
          <w:b w:val="0"/>
          <w:color w:val="auto"/>
          <w:sz w:val="28"/>
          <w:szCs w:val="28"/>
          <w:highlight w:val="none"/>
        </w:rPr>
        <w:t>三、合同用款估算表</w:t>
      </w:r>
      <w:bookmarkEnd w:id="2036"/>
      <w:bookmarkEnd w:id="2037"/>
      <w:bookmarkEnd w:id="2038"/>
      <w:bookmarkEnd w:id="2039"/>
    </w:p>
    <w:p w14:paraId="340808C7">
      <w:pPr>
        <w:pStyle w:val="80"/>
        <w:pageBreakBefore w:val="0"/>
        <w:kinsoku/>
        <w:wordWrap w:val="0"/>
        <w:bidi w:val="0"/>
        <w:snapToGrid w:val="0"/>
        <w:spacing w:before="0" w:after="0" w:line="400" w:lineRule="atLeast"/>
        <w:jc w:val="center"/>
        <w:rPr>
          <w:rFonts w:hint="default" w:ascii="Times New Roman" w:hAnsi="Times New Roman" w:cs="Times New Roman"/>
          <w:b w:val="0"/>
          <w:color w:val="auto"/>
          <w:highlight w:val="none"/>
        </w:rPr>
      </w:pPr>
    </w:p>
    <w:tbl>
      <w:tblPr>
        <w:tblStyle w:val="3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025"/>
        <w:gridCol w:w="1547"/>
        <w:gridCol w:w="1548"/>
        <w:gridCol w:w="1548"/>
        <w:gridCol w:w="1548"/>
      </w:tblGrid>
      <w:tr w14:paraId="569D5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restart"/>
            <w:tcBorders>
              <w:bottom w:val="nil"/>
              <w:right w:val="single" w:color="auto" w:sz="6" w:space="0"/>
            </w:tcBorders>
            <w:noWrap w:val="0"/>
            <w:vAlign w:val="center"/>
          </w:tcPr>
          <w:p w14:paraId="1DBC750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从开工月算起的时间</w:t>
            </w:r>
          </w:p>
          <w:p w14:paraId="19A811D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（月）</w:t>
            </w:r>
          </w:p>
        </w:tc>
        <w:tc>
          <w:tcPr>
            <w:tcW w:w="6191" w:type="dxa"/>
            <w:gridSpan w:val="4"/>
            <w:tcBorders>
              <w:left w:val="single" w:color="auto" w:sz="6" w:space="0"/>
            </w:tcBorders>
            <w:noWrap w:val="0"/>
            <w:vAlign w:val="center"/>
          </w:tcPr>
          <w:p w14:paraId="2CF624B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投标人的估算</w:t>
            </w:r>
          </w:p>
        </w:tc>
      </w:tr>
      <w:tr w14:paraId="578B5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bottom w:val="nil"/>
              <w:right w:val="single" w:color="auto" w:sz="6" w:space="0"/>
            </w:tcBorders>
            <w:noWrap w:val="0"/>
            <w:vAlign w:val="center"/>
          </w:tcPr>
          <w:p w14:paraId="7483B5E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3095" w:type="dxa"/>
            <w:gridSpan w:val="2"/>
            <w:tcBorders>
              <w:top w:val="single" w:color="auto" w:sz="4" w:space="0"/>
              <w:left w:val="single" w:color="auto" w:sz="6" w:space="0"/>
              <w:bottom w:val="single" w:color="auto" w:sz="6" w:space="0"/>
              <w:right w:val="single" w:color="auto" w:sz="6" w:space="0"/>
            </w:tcBorders>
            <w:noWrap w:val="0"/>
            <w:vAlign w:val="center"/>
          </w:tcPr>
          <w:p w14:paraId="25C5624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     期</w:t>
            </w:r>
          </w:p>
        </w:tc>
        <w:tc>
          <w:tcPr>
            <w:tcW w:w="3096" w:type="dxa"/>
            <w:gridSpan w:val="2"/>
            <w:tcBorders>
              <w:left w:val="single" w:color="auto" w:sz="6" w:space="0"/>
            </w:tcBorders>
            <w:noWrap w:val="0"/>
            <w:vAlign w:val="center"/>
          </w:tcPr>
          <w:p w14:paraId="55CAD1C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累     计</w:t>
            </w:r>
          </w:p>
        </w:tc>
      </w:tr>
      <w:tr w14:paraId="6737A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right w:val="single" w:color="auto" w:sz="6" w:space="0"/>
            </w:tcBorders>
            <w:noWrap w:val="0"/>
            <w:vAlign w:val="center"/>
          </w:tcPr>
          <w:p w14:paraId="0CDE2F9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tcBorders>
              <w:top w:val="single" w:color="auto" w:sz="6" w:space="0"/>
              <w:left w:val="single" w:color="auto" w:sz="6" w:space="0"/>
            </w:tcBorders>
            <w:noWrap w:val="0"/>
            <w:vAlign w:val="center"/>
          </w:tcPr>
          <w:p w14:paraId="4FE4B16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tcBorders>
              <w:top w:val="single" w:color="auto" w:sz="6" w:space="0"/>
            </w:tcBorders>
            <w:noWrap w:val="0"/>
            <w:vAlign w:val="center"/>
          </w:tcPr>
          <w:p w14:paraId="47963EE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8" w:type="dxa"/>
            <w:noWrap w:val="0"/>
            <w:vAlign w:val="center"/>
          </w:tcPr>
          <w:p w14:paraId="698693B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noWrap w:val="0"/>
            <w:vAlign w:val="center"/>
          </w:tcPr>
          <w:p w14:paraId="5E47288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360D9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301CD3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第一次开工预付款</w:t>
            </w:r>
          </w:p>
        </w:tc>
        <w:tc>
          <w:tcPr>
            <w:tcW w:w="1547" w:type="dxa"/>
            <w:noWrap w:val="0"/>
            <w:vAlign w:val="center"/>
          </w:tcPr>
          <w:p w14:paraId="3AE9744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0287AE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0F50F0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5520BE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63A11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AD23F3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 3</w:t>
            </w:r>
          </w:p>
        </w:tc>
        <w:tc>
          <w:tcPr>
            <w:tcW w:w="1547" w:type="dxa"/>
            <w:noWrap w:val="0"/>
            <w:vAlign w:val="center"/>
          </w:tcPr>
          <w:p w14:paraId="3452E63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B809F6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0A4DB4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D62463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7C291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E8883A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 6</w:t>
            </w:r>
          </w:p>
        </w:tc>
        <w:tc>
          <w:tcPr>
            <w:tcW w:w="1547" w:type="dxa"/>
            <w:noWrap w:val="0"/>
            <w:vAlign w:val="center"/>
          </w:tcPr>
          <w:p w14:paraId="1AF090E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D2C375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6147E7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9B2EE9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97B3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A8863A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 9</w:t>
            </w:r>
          </w:p>
        </w:tc>
        <w:tc>
          <w:tcPr>
            <w:tcW w:w="1547" w:type="dxa"/>
            <w:noWrap w:val="0"/>
            <w:vAlign w:val="center"/>
          </w:tcPr>
          <w:p w14:paraId="2627D55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13742C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11B729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434C35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1E6FD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5AA4F98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 12</w:t>
            </w:r>
          </w:p>
        </w:tc>
        <w:tc>
          <w:tcPr>
            <w:tcW w:w="1547" w:type="dxa"/>
            <w:noWrap w:val="0"/>
            <w:vAlign w:val="center"/>
          </w:tcPr>
          <w:p w14:paraId="2F03065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9E1457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4CC744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608289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599F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AFF7CA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 ~ 15</w:t>
            </w:r>
          </w:p>
        </w:tc>
        <w:tc>
          <w:tcPr>
            <w:tcW w:w="1547" w:type="dxa"/>
            <w:noWrap w:val="0"/>
            <w:vAlign w:val="center"/>
          </w:tcPr>
          <w:p w14:paraId="3BA8991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9EB4A4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CBBE5F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296A95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D38C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BA377B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0F16243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822DDC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3C1A02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EB7A43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74FE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EF21E9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2469ACF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8EEE0D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E849E3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A10AA2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A64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3E6DB55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noWrap w:val="0"/>
            <w:vAlign w:val="center"/>
          </w:tcPr>
          <w:p w14:paraId="0D9117F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F462F5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94F08D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7C689A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1A2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290D43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547" w:type="dxa"/>
            <w:noWrap w:val="0"/>
            <w:vAlign w:val="center"/>
          </w:tcPr>
          <w:p w14:paraId="1F618A0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79B807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8BB1D2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FAED18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7BE5E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EB26D0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      计</w:t>
            </w:r>
          </w:p>
        </w:tc>
        <w:tc>
          <w:tcPr>
            <w:tcW w:w="1547" w:type="dxa"/>
            <w:noWrap w:val="0"/>
            <w:vAlign w:val="center"/>
          </w:tcPr>
          <w:p w14:paraId="3BF011C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339ACB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100.00</w:t>
            </w:r>
          </w:p>
        </w:tc>
        <w:tc>
          <w:tcPr>
            <w:tcW w:w="1548" w:type="dxa"/>
            <w:noWrap w:val="0"/>
            <w:vAlign w:val="center"/>
          </w:tcPr>
          <w:p w14:paraId="401FE4E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AAED4C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4080A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8844" w:type="dxa"/>
            <w:gridSpan w:val="6"/>
            <w:noWrap w:val="0"/>
            <w:vAlign w:val="center"/>
          </w:tcPr>
          <w:p w14:paraId="7B15BAFD">
            <w:pPr>
              <w:pStyle w:val="26"/>
              <w:pageBreakBefore w:val="0"/>
              <w:tabs>
                <w:tab w:val="clear" w:pos="4153"/>
                <w:tab w:val="clear" w:pos="8306"/>
              </w:tabs>
              <w:kinsoku/>
              <w:wordWrap w:val="0"/>
              <w:bidi w:val="0"/>
              <w:spacing w:before="60" w:beforeLines="25" w:after="60" w:afterLines="25" w:line="40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投标价：</w:t>
            </w:r>
          </w:p>
        </w:tc>
      </w:tr>
      <w:tr w14:paraId="54BB5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62" w:hRule="atLeast"/>
        </w:trPr>
        <w:tc>
          <w:tcPr>
            <w:tcW w:w="628" w:type="dxa"/>
            <w:noWrap w:val="0"/>
            <w:vAlign w:val="center"/>
          </w:tcPr>
          <w:p w14:paraId="553A034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w:t>
            </w:r>
          </w:p>
          <w:p w14:paraId="66C5997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23617CCE">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00334D16">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33EADB80">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明</w:t>
            </w:r>
          </w:p>
        </w:tc>
        <w:tc>
          <w:tcPr>
            <w:tcW w:w="8216" w:type="dxa"/>
            <w:gridSpan w:val="5"/>
            <w:noWrap w:val="0"/>
            <w:vAlign w:val="center"/>
          </w:tcPr>
          <w:p w14:paraId="2654650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19BDD4AF">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23961B2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tc>
      </w:tr>
    </w:tbl>
    <w:p w14:paraId="62D94483">
      <w:pPr>
        <w:pageBreakBefore w:val="0"/>
        <w:kinsoku/>
        <w:wordWrap w:val="0"/>
        <w:bidi w:val="0"/>
        <w:snapToGrid w:val="0"/>
        <w:spacing w:line="340" w:lineRule="atLeast"/>
        <w:ind w:left="894" w:leftChars="100" w:hanging="684" w:hangingChars="32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注：1.投标人可按工程进度估算并填写本表。</w:t>
      </w:r>
    </w:p>
    <w:p w14:paraId="69862944">
      <w:pPr>
        <w:pageBreakBefore w:val="0"/>
        <w:kinsoku/>
        <w:wordWrap w:val="0"/>
        <w:bidi w:val="0"/>
        <w:spacing w:line="340" w:lineRule="atLeast"/>
        <w:ind w:left="865" w:leftChars="286" w:right="-334" w:rightChars="-159" w:hanging="264" w:hangingChars="126"/>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2.用款额按所报单价和总额价估算，不包括价格调整和暂列金额、暂估价，但应考虑开工预付款的扣回以及签发付款证书后到实际支付的时间间隔。</w:t>
      </w:r>
    </w:p>
    <w:p w14:paraId="74ED0C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36C0229-44A9-479B-8322-67D96D06E55D}"/>
  </w:font>
  <w:font w:name="黑体">
    <w:panose1 w:val="02010609060101010101"/>
    <w:charset w:val="86"/>
    <w:family w:val="auto"/>
    <w:pitch w:val="default"/>
    <w:sig w:usb0="800002BF" w:usb1="38CF7CFA" w:usb2="00000016" w:usb3="00000000" w:csb0="00040001" w:csb1="00000000"/>
    <w:embedRegular r:id="rId2" w:fontKey="{5925C8F8-EE71-49ED-9782-AAFDF6D409D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C7142552-5804-4A79-B2DD-E350E4EA76D1}"/>
  </w:font>
  <w:font w:name="Calibri">
    <w:panose1 w:val="020F0502020204030204"/>
    <w:charset w:val="00"/>
    <w:family w:val="swiss"/>
    <w:pitch w:val="default"/>
    <w:sig w:usb0="E00002FF" w:usb1="4000ACFF" w:usb2="00000001" w:usb3="00000000" w:csb0="2000019F" w:csb1="00000000"/>
    <w:embedRegular r:id="rId4" w:fontKey="{A656BE3B-4D54-4B4D-BBD2-36499CF09D59}"/>
  </w:font>
  <w:font w:name="仿宋_GB2312">
    <w:altName w:val="仿宋"/>
    <w:panose1 w:val="02010609030101010101"/>
    <w:charset w:val="86"/>
    <w:family w:val="modern"/>
    <w:pitch w:val="default"/>
    <w:sig w:usb0="00000000" w:usb1="00000000" w:usb2="00000000" w:usb3="00000000" w:csb0="00040000" w:csb1="00000000"/>
    <w:embedRegular r:id="rId5" w:fontKey="{5196279B-6E52-419B-A659-ECCFA1187453}"/>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6" w:fontKey="{73730676-E76B-438E-ACFC-D7DD437C3153}"/>
  </w:font>
  <w:font w:name="MS Gothic">
    <w:panose1 w:val="020B0609070205080204"/>
    <w:charset w:val="80"/>
    <w:family w:val="modern"/>
    <w:pitch w:val="default"/>
    <w:sig w:usb0="E00002FF" w:usb1="6AC7FDFB" w:usb2="00000012" w:usb3="00000000" w:csb0="4002009F" w:csb1="DFD70000"/>
    <w:embedRegular r:id="rId7" w:fontKey="{37741EF0-B30D-4FEE-B755-5F66F8415B8C}"/>
  </w:font>
  <w:font w:name="宋体-18030">
    <w:altName w:val="宋体"/>
    <w:panose1 w:val="00000000000000000000"/>
    <w:charset w:val="86"/>
    <w:family w:val="modern"/>
    <w:pitch w:val="default"/>
    <w:sig w:usb0="00000000" w:usb1="00000000" w:usb2="000A005E" w:usb3="00000000" w:csb0="00040001" w:csb1="00000000"/>
    <w:embedRegular r:id="rId8" w:fontKey="{7AB0D5D2-3A83-4BE4-AADF-6026385A6F55}"/>
  </w:font>
  <w:font w:name="隶书">
    <w:panose1 w:val="02010509060101010101"/>
    <w:charset w:val="86"/>
    <w:family w:val="modern"/>
    <w:pitch w:val="default"/>
    <w:sig w:usb0="00000001" w:usb1="080E0000" w:usb2="00000000" w:usb3="00000000" w:csb0="00040000" w:csb1="00000000"/>
    <w:embedRegular r:id="rId9" w:fontKey="{95DB9F81-A87A-41AC-B313-FEE6197FD97F}"/>
  </w:font>
  <w:font w:name="华文隶书">
    <w:panose1 w:val="02010800040101010101"/>
    <w:charset w:val="86"/>
    <w:family w:val="auto"/>
    <w:pitch w:val="default"/>
    <w:sig w:usb0="00000001" w:usb1="080F0000" w:usb2="00000000" w:usb3="00000000" w:csb0="00040000" w:csb1="00000000"/>
    <w:embedRegular r:id="rId10" w:fontKey="{1BFC51E2-BFD6-41A1-A6DD-2653118B2FC2}"/>
  </w:font>
  <w:font w:name="宋体 ，Arial">
    <w:altName w:val="宋体"/>
    <w:panose1 w:val="00000000000000000000"/>
    <w:charset w:val="86"/>
    <w:family w:val="roman"/>
    <w:pitch w:val="default"/>
    <w:sig w:usb0="00000000" w:usb1="00000000" w:usb2="00000010" w:usb3="00000000" w:csb0="00040000" w:csb1="00000000"/>
    <w:embedRegular r:id="rId11" w:fontKey="{20025221-AAF1-48FD-AA04-FE50C65DD734}"/>
  </w:font>
  <w:font w:name="Roman">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embedRegular r:id="rId12" w:fontKey="{8CEC5393-AC5E-4F6D-83FE-C65534234EF0}"/>
  </w:font>
  <w:font w:name="WPSEMBED3">
    <w:panose1 w:val="05020102010507070707"/>
    <w:charset w:val="00"/>
    <w:family w:val="auto"/>
    <w:pitch w:val="default"/>
    <w:sig w:usb0="00000000" w:usb1="00000000" w:usb2="00000000" w:usb3="00000000" w:csb0="80000000" w:csb1="00000000"/>
  </w:font>
  <w:font w:name="WPSEMBED1">
    <w:panose1 w:val="02010509060101010101"/>
    <w:charset w:val="86"/>
    <w:family w:val="auto"/>
    <w:pitch w:val="default"/>
    <w:sig w:usb0="00000001" w:usb1="080E0000" w:usb2="00000000" w:usb3="00000000" w:csb0="00040000" w:csb1="00000000"/>
  </w:font>
  <w:font w:name="WPSEMBED2">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0FBF9">
    <w:pPr>
      <w:pStyle w:val="26"/>
      <w:spacing w:line="240" w:lineRule="exact"/>
      <w:ind w:right="360" w:firstLine="360"/>
      <w:rPr>
        <w:rFonts w:hint="eastAsia" w:eastAsia="黑体"/>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C96B">
    <w:pPr>
      <w:pStyle w:val="26"/>
      <w:rPr>
        <w:rStyle w:val="43"/>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1E243">
                          <w:pPr>
                            <w:pStyle w:val="2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B1E243">
                    <w:pPr>
                      <w:pStyle w:val="26"/>
                    </w:pPr>
                    <w:r>
                      <w:fldChar w:fldCharType="begin"/>
                    </w:r>
                    <w:r>
                      <w:instrText xml:space="preserve"> PAGE  \* MERGEFORMAT </w:instrText>
                    </w:r>
                    <w:r>
                      <w:fldChar w:fldCharType="separate"/>
                    </w:r>
                    <w:r>
                      <w:t>8</w:t>
                    </w:r>
                    <w:r>
                      <w:fldChar w:fldCharType="end"/>
                    </w:r>
                  </w:p>
                </w:txbxContent>
              </v:textbox>
            </v:shape>
          </w:pict>
        </mc:Fallback>
      </mc:AlternateContent>
    </w:r>
  </w:p>
  <w:p w14:paraId="0C974E7F">
    <w:pPr>
      <w:pStyle w:val="26"/>
      <w:spacing w:line="240" w:lineRule="exact"/>
      <w:ind w:right="360" w:firstLine="360"/>
      <w:jc w:val="center"/>
      <w:rPr>
        <w:rFonts w:hint="eastAsia" w:eastAsia="黑体"/>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EA72B">
    <w:pPr>
      <w:pStyle w:val="2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9538E">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BD9538E">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09338">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15ED6">
                          <w:pPr>
                            <w:pStyle w:val="2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FC15ED6">
                    <w:pPr>
                      <w:pStyle w:val="2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CBA98">
    <w:pPr>
      <w:pStyle w:val="2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E9468">
                          <w:pPr>
                            <w:pStyle w:val="2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E4E9468">
                    <w:pPr>
                      <w:pStyle w:val="2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3118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4BD28">
                          <w:pPr>
                            <w:pStyle w:val="2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164BD28">
                    <w:pPr>
                      <w:pStyle w:val="2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407AD">
    <w:pPr>
      <w:pStyle w:val="2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B4DAB">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EAB4DAB">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76318">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F07D2">
                          <w:pPr>
                            <w:pStyle w:val="2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0FF07D2">
                    <w:pPr>
                      <w:pStyle w:val="2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8F6A">
    <w:pPr>
      <w:pStyle w:val="2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D8067">
                          <w:pPr>
                            <w:pStyle w:val="26"/>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9BD8067">
                    <w:pPr>
                      <w:pStyle w:val="26"/>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35A1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B054F">
                          <w:pPr>
                            <w:pStyle w:val="2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2BB054F">
                    <w:pPr>
                      <w:pStyle w:val="2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E9212">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6A48">
                          <w:pPr>
                            <w:pStyle w:val="26"/>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3E36A48">
                    <w:pPr>
                      <w:pStyle w:val="26"/>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C90BB">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19FE7">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E5B32">
                          <w:pPr>
                            <w:pStyle w:val="26"/>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D8E5B32">
                    <w:pPr>
                      <w:pStyle w:val="26"/>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D8136">
    <w:pPr>
      <w:pStyle w:val="26"/>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88725">
                          <w:pPr>
                            <w:pStyle w:val="26"/>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8F88725">
                    <w:pPr>
                      <w:pStyle w:val="26"/>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9A7D8">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CDCB8">
                          <w:pPr>
                            <w:pStyle w:val="26"/>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BECDCB8">
                    <w:pPr>
                      <w:pStyle w:val="26"/>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1B78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AC9C8">
                          <w:pPr>
                            <w:pStyle w:val="26"/>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45AC9C8">
                    <w:pPr>
                      <w:pStyle w:val="26"/>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61572">
    <w:pPr>
      <w:pStyle w:val="2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267A2">
                          <w:pPr>
                            <w:pStyle w:val="2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213267A2">
                    <w:pPr>
                      <w:pStyle w:val="2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75E2">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72D60">
                          <w:pPr>
                            <w:pStyle w:val="26"/>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0572D60">
                    <w:pPr>
                      <w:pStyle w:val="26"/>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B96A">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8E79">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D078E79">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3FB24">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C9E0E">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3C9E0E">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8AA99">
    <w:pPr>
      <w:pStyle w:val="2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51484">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B851484">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E1736">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F459C">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34F459C">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3716B">
    <w:pPr>
      <w:pStyle w:val="2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04D18">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7D04D18">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C5B87">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D000D">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96D000D">
                    <w:pPr>
                      <w:pStyle w:val="2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BD34C">
    <w:pPr>
      <w:pStyle w:val="2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F7A1F">
                          <w:pPr>
                            <w:pStyle w:val="2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2DF7A1F">
                    <w:pPr>
                      <w:pStyle w:val="2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36">
    <w:p>
      <w:r>
        <w:separator/>
      </w:r>
    </w:p>
  </w:footnote>
  <w:footnote w:type="continuationSeparator" w:id="137">
    <w:p>
      <w:r>
        <w:continuationSeparator/>
      </w:r>
    </w:p>
  </w:footnote>
  <w:footnote w:id="0">
    <w:p w14:paraId="14B3F32A">
      <w:pPr>
        <w:pStyle w:val="30"/>
        <w:spacing w:line="300" w:lineRule="atLeast"/>
        <w:ind w:left="180" w:hanging="180" w:hangingChars="100"/>
        <w:jc w:val="both"/>
        <w:rPr>
          <w:rFonts w:hint="eastAsia"/>
          <w:szCs w:val="18"/>
        </w:rPr>
      </w:pPr>
      <w:r>
        <w:rPr>
          <w:rStyle w:val="47"/>
          <w:szCs w:val="18"/>
        </w:rPr>
        <w:footnoteRef/>
      </w:r>
      <w:r>
        <w:rPr>
          <w:rFonts w:hint="eastAsia"/>
          <w:szCs w:val="18"/>
        </w:rPr>
        <w:t xml:space="preserve"> 招标人可根据项目具体特点和实际需要对本章内容进行补充、细化，但应遵守有关法律法规、部门规章和行政规范性文件的规定。</w:t>
      </w:r>
    </w:p>
  </w:footnote>
  <w:footnote w:id="1">
    <w:p w14:paraId="000E0A2F">
      <w:pPr>
        <w:pStyle w:val="30"/>
        <w:spacing w:line="300" w:lineRule="atLeast"/>
        <w:ind w:left="180" w:hanging="180" w:hangingChars="100"/>
        <w:jc w:val="both"/>
        <w:rPr>
          <w:rFonts w:hint="eastAsia"/>
          <w:szCs w:val="18"/>
        </w:rPr>
      </w:pPr>
      <w:r>
        <w:rPr>
          <w:rStyle w:val="47"/>
        </w:rPr>
        <w:footnoteRef/>
      </w:r>
      <w:r>
        <w:t xml:space="preserve"> </w:t>
      </w:r>
      <w:r>
        <w:rPr>
          <w:rFonts w:hint="eastAsia"/>
          <w:szCs w:val="18"/>
        </w:rPr>
        <w:t>招标人应自招标文件开始发售之日起，将招标文件的关键内容上传至</w:t>
      </w:r>
      <w:r>
        <w:rPr>
          <w:rFonts w:hint="eastAsia"/>
          <w:szCs w:val="18"/>
          <w:lang w:val="en-US" w:eastAsia="zh-CN"/>
        </w:rPr>
        <w:t>电子交易平台和</w:t>
      </w:r>
      <w:r>
        <w:rPr>
          <w:rFonts w:hint="eastAsia"/>
          <w:szCs w:val="18"/>
        </w:rPr>
        <w:t>具有招标监督职责的交通运输主管部门政府网站，</w:t>
      </w:r>
      <w:r>
        <w:rPr>
          <w:rFonts w:hint="eastAsia"/>
          <w:szCs w:val="18"/>
          <w:lang w:val="en-US" w:eastAsia="zh-CN"/>
        </w:rPr>
        <w:t>公告</w:t>
      </w:r>
      <w:r>
        <w:rPr>
          <w:rFonts w:hint="eastAsia"/>
          <w:szCs w:val="18"/>
        </w:rPr>
        <w:t>内容</w:t>
      </w:r>
      <w:r>
        <w:rPr>
          <w:rFonts w:hint="eastAsia"/>
          <w:szCs w:val="18"/>
          <w:lang w:val="en-US" w:eastAsia="zh-CN"/>
        </w:rPr>
        <w:t>应当</w:t>
      </w:r>
      <w:r>
        <w:rPr>
          <w:rFonts w:hint="eastAsia"/>
          <w:szCs w:val="18"/>
        </w:rPr>
        <w:t>载明项目概况、投标人资格条件要求、评标办法、潜在投标人访问电子交易系统的网络地址和方法、异议受理联系人和招标监督部门投诉举报电话等信息，接受社会监督。招标人可将招标文件的关键内容全部载明在招标公告正文中，或作为招标公告的附件进行公开，或作为独立文件在网站上进行公开。</w:t>
      </w:r>
    </w:p>
  </w:footnote>
  <w:footnote w:id="2">
    <w:p w14:paraId="4F16DF5A">
      <w:pPr>
        <w:pStyle w:val="30"/>
        <w:snapToGrid/>
        <w:spacing w:line="300" w:lineRule="atLeast"/>
        <w:ind w:left="180" w:hanging="180" w:hangingChars="100"/>
        <w:jc w:val="both"/>
        <w:rPr>
          <w:rFonts w:hint="eastAsia"/>
          <w:szCs w:val="18"/>
        </w:rPr>
      </w:pPr>
      <w:r>
        <w:rPr>
          <w:rStyle w:val="47"/>
          <w:rFonts w:hint="eastAsia"/>
        </w:rPr>
        <w:footnoteRef/>
      </w:r>
      <w:r>
        <w:rPr>
          <w:rStyle w:val="47"/>
          <w:rFonts w:hint="eastAsia"/>
        </w:rPr>
        <w:t xml:space="preserve"> </w:t>
      </w:r>
      <w:r>
        <w:rPr>
          <w:rFonts w:hint="eastAsia"/>
          <w:szCs w:val="18"/>
        </w:rPr>
        <w:t>招标人不得在招投标过程中设置各类不合理限制和壁垒，不得存在</w:t>
      </w:r>
      <w:r>
        <w:rPr>
          <w:rFonts w:hint="eastAsia"/>
          <w:szCs w:val="18"/>
          <w:lang w:val="en-US" w:eastAsia="zh-CN"/>
        </w:rPr>
        <w:t>限制或变相限制符合准入条件的企业参与招投标采购活动</w:t>
      </w:r>
      <w:r>
        <w:rPr>
          <w:rFonts w:hint="eastAsia"/>
          <w:szCs w:val="18"/>
        </w:rPr>
        <w:t>。</w:t>
      </w:r>
    </w:p>
  </w:footnote>
  <w:footnote w:id="3">
    <w:p w14:paraId="41178275">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本段规定仅适用于</w:t>
      </w:r>
      <w:bookmarkStart w:id="2040" w:name="_Toc315861048"/>
      <w:bookmarkStart w:id="2041" w:name="_Toc411777490"/>
      <w:r>
        <w:rPr>
          <w:rFonts w:hint="eastAsia" w:ascii="Times New Roman" w:hAnsi="Times New Roman" w:eastAsia="宋体" w:cs="Times New Roman"/>
          <w:kern w:val="0"/>
          <w:sz w:val="18"/>
          <w:szCs w:val="18"/>
        </w:rPr>
        <w:t>根据《关于发布公路工程从业企业资质名录的通知》</w:t>
      </w:r>
      <w:bookmarkEnd w:id="2040"/>
      <w:bookmarkEnd w:id="2041"/>
      <w:r>
        <w:rPr>
          <w:rFonts w:hint="eastAsia" w:ascii="Times New Roman" w:hAnsi="Times New Roman" w:eastAsia="宋体" w:cs="Times New Roman"/>
          <w:kern w:val="0"/>
          <w:sz w:val="18"/>
          <w:szCs w:val="18"/>
        </w:rPr>
        <w:t>（厅公路字〔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号）要求，招标人应通过名录对投标人资质条件进行审核的公路施工企业；如前款文件中规定的资质已由省级相关部门负责审核、审批，则</w:t>
      </w:r>
      <w:r>
        <w:rPr>
          <w:rFonts w:hint="eastAsia" w:cs="Times New Roman"/>
          <w:kern w:val="0"/>
          <w:sz w:val="18"/>
          <w:szCs w:val="18"/>
          <w:lang w:val="en-US" w:eastAsia="zh-CN"/>
        </w:rPr>
        <w:t>不做要求</w:t>
      </w:r>
      <w:r>
        <w:rPr>
          <w:rFonts w:hint="eastAsia" w:ascii="Times New Roman" w:hAnsi="Times New Roman" w:eastAsia="宋体" w:cs="Times New Roman"/>
          <w:kern w:val="0"/>
          <w:sz w:val="18"/>
          <w:szCs w:val="18"/>
        </w:rPr>
        <w:t>。</w:t>
      </w:r>
    </w:p>
  </w:footnote>
  <w:footnote w:id="4">
    <w:p w14:paraId="6C27A4F9">
      <w:pPr>
        <w:pStyle w:val="30"/>
        <w:snapToGrid w:val="0"/>
        <w:ind w:firstLine="0"/>
        <w:rPr>
          <w:rFonts w:hint="eastAsia" w:eastAsia="宋体"/>
          <w:szCs w:val="18"/>
          <w:lang w:eastAsia="zh-CN"/>
        </w:rPr>
      </w:pPr>
      <w:r>
        <w:rPr>
          <w:rStyle w:val="47"/>
        </w:rPr>
        <w:footnoteRef/>
      </w:r>
      <w:r>
        <w:t xml:space="preserve"> </w:t>
      </w:r>
      <w:r>
        <w:rPr>
          <w:rFonts w:hint="eastAsia"/>
        </w:rPr>
        <w:t>施工招标项目存在多个同一类型专业工程和同等资格条件要求标段的，</w:t>
      </w:r>
      <w:r>
        <w:rPr>
          <w:rFonts w:hint="eastAsia"/>
          <w:lang w:val="en-US" w:eastAsia="zh-CN"/>
        </w:rPr>
        <w:t>推荐</w:t>
      </w:r>
      <w:r>
        <w:rPr>
          <w:rFonts w:hint="eastAsia"/>
        </w:rPr>
        <w:t>采用随机分配投标标段方式</w:t>
      </w:r>
      <w:r>
        <w:rPr>
          <w:rFonts w:hint="eastAsia"/>
          <w:lang w:eastAsia="zh-CN"/>
        </w:rPr>
        <w:t>，</w:t>
      </w:r>
      <w:r>
        <w:rPr>
          <w:rFonts w:hint="eastAsia"/>
          <w:szCs w:val="18"/>
        </w:rPr>
        <w:t>其他情况由招标人自行确定</w:t>
      </w:r>
      <w:r>
        <w:rPr>
          <w:rFonts w:hint="eastAsia"/>
          <w:szCs w:val="18"/>
          <w:lang w:eastAsia="zh-CN"/>
        </w:rPr>
        <w:t>。</w:t>
      </w:r>
    </w:p>
  </w:footnote>
  <w:footnote w:id="5">
    <w:p w14:paraId="4E7EA012">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a.“投标人须知前附表”用于进一步明确正文中的未尽事宜，由招标人根据招标项目具体特点和实际需要编制和填写，且</w:t>
      </w:r>
      <w:r>
        <w:rPr>
          <w:szCs w:val="18"/>
        </w:rPr>
        <w:t>应</w:t>
      </w:r>
      <w:r>
        <w:rPr>
          <w:rFonts w:hint="eastAsia"/>
          <w:szCs w:val="18"/>
        </w:rPr>
        <w:t>与招标文件中其他章节相衔接，并不得与本章正文内容相抵触。</w:t>
      </w:r>
      <w:r>
        <w:rPr>
          <w:rFonts w:hint="eastAsia"/>
          <w:b/>
          <w:bCs/>
          <w:szCs w:val="18"/>
        </w:rPr>
        <w:t>如前附表与正文不一致时，以前附表的规定为准</w:t>
      </w:r>
      <w:r>
        <w:rPr>
          <w:rFonts w:hint="eastAsia"/>
          <w:szCs w:val="18"/>
        </w:rPr>
        <w:t>。</w:t>
      </w:r>
    </w:p>
    <w:p w14:paraId="49BB5295">
      <w:pPr>
        <w:pStyle w:val="30"/>
        <w:spacing w:line="280" w:lineRule="atLeast"/>
        <w:ind w:left="0" w:leftChars="0" w:firstLine="180" w:firstLineChars="100"/>
        <w:rPr>
          <w:rFonts w:hint="eastAsia"/>
          <w:szCs w:val="18"/>
        </w:rPr>
      </w:pPr>
      <w:r>
        <w:rPr>
          <w:rFonts w:hint="eastAsia"/>
          <w:szCs w:val="18"/>
        </w:rPr>
        <w:t>b.</w:t>
      </w:r>
      <w:r>
        <w:rPr>
          <w:rFonts w:hint="eastAsia" w:ascii="宋体" w:hAnsi="宋体" w:cs="宋体-18030"/>
          <w:szCs w:val="18"/>
        </w:rPr>
        <w:t>“投标人须知前附表”中的附录表格同属“投标人须知前附表”内容，具有同等效力。</w:t>
      </w:r>
    </w:p>
  </w:footnote>
  <w:footnote w:id="6">
    <w:p w14:paraId="19C8DCE5">
      <w:pPr>
        <w:pStyle w:val="30"/>
        <w:spacing w:line="280" w:lineRule="atLeast"/>
        <w:ind w:left="180" w:hanging="180" w:hangingChars="100"/>
        <w:rPr>
          <w:szCs w:val="18"/>
        </w:rPr>
      </w:pPr>
      <w:r>
        <w:rPr>
          <w:rStyle w:val="47"/>
          <w:szCs w:val="18"/>
        </w:rPr>
        <w:footnoteRef/>
      </w:r>
      <w:r>
        <w:rPr>
          <w:szCs w:val="18"/>
        </w:rPr>
        <w:t xml:space="preserve"> </w:t>
      </w:r>
      <w:r>
        <w:rPr>
          <w:rFonts w:hint="eastAsia"/>
          <w:szCs w:val="18"/>
        </w:rPr>
        <w:t>招标人应根据招标项目具体特点和实际需要，对工程</w:t>
      </w:r>
      <w:r>
        <w:rPr>
          <w:rFonts w:hint="eastAsia"/>
          <w:szCs w:val="18"/>
          <w:lang w:eastAsia="zh-CN"/>
        </w:rPr>
        <w:t>施工</w:t>
      </w:r>
      <w:r>
        <w:rPr>
          <w:rFonts w:hint="eastAsia"/>
          <w:szCs w:val="18"/>
        </w:rPr>
        <w:t>过程中的</w:t>
      </w:r>
      <w:r>
        <w:rPr>
          <w:szCs w:val="18"/>
        </w:rPr>
        <w:t>人员</w:t>
      </w:r>
      <w:r>
        <w:rPr>
          <w:rFonts w:hint="eastAsia"/>
          <w:szCs w:val="18"/>
          <w:lang w:eastAsia="zh-CN"/>
        </w:rPr>
        <w:t>、</w:t>
      </w:r>
      <w:r>
        <w:rPr>
          <w:rFonts w:hint="eastAsia"/>
          <w:szCs w:val="18"/>
          <w:lang w:val="en-US" w:eastAsia="zh-CN"/>
        </w:rPr>
        <w:t>工程等</w:t>
      </w:r>
      <w:r>
        <w:rPr>
          <w:rFonts w:hint="eastAsia"/>
          <w:szCs w:val="18"/>
        </w:rPr>
        <w:t>安全提出目标要求。</w:t>
      </w:r>
    </w:p>
  </w:footnote>
  <w:footnote w:id="7">
    <w:p w14:paraId="528E6346">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对于特别复杂的特大桥梁和特长隧道项目主体工程以及其他有特殊要求的工程，招标人还</w:t>
      </w:r>
      <w:r>
        <w:rPr>
          <w:rFonts w:hint="eastAsia"/>
          <w:szCs w:val="18"/>
          <w:lang w:eastAsia="zh-CN"/>
        </w:rPr>
        <w:t>可</w:t>
      </w:r>
      <w:r>
        <w:rPr>
          <w:rFonts w:hint="eastAsia"/>
          <w:szCs w:val="18"/>
        </w:rPr>
        <w:t>增加附录6、附录7对投标人的其他管理和技术人员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以及主要机械设备和试验检测设备提出要求。</w:t>
      </w:r>
    </w:p>
  </w:footnote>
  <w:footnote w:id="8">
    <w:p w14:paraId="4A6D914E">
      <w:pPr>
        <w:pStyle w:val="30"/>
        <w:spacing w:line="320" w:lineRule="atLeast"/>
        <w:ind w:left="180" w:hanging="180" w:hangingChars="100"/>
        <w:rPr>
          <w:szCs w:val="18"/>
        </w:rPr>
      </w:pPr>
      <w:r>
        <w:rPr>
          <w:rStyle w:val="47"/>
          <w:szCs w:val="18"/>
        </w:rPr>
        <w:footnoteRef/>
      </w:r>
      <w:r>
        <w:rPr>
          <w:rFonts w:hint="eastAsia"/>
        </w:rPr>
        <w:t xml:space="preserve"> 招标人应当按照国家有关规定，在招标文件中明确</w:t>
      </w:r>
      <w:r>
        <w:rPr>
          <w:rFonts w:hint="eastAsia"/>
          <w:u w:val="none"/>
          <w:lang w:val="en-US" w:eastAsia="zh-CN"/>
        </w:rPr>
        <w:t>投标</w:t>
      </w:r>
      <w:r>
        <w:rPr>
          <w:rFonts w:hint="eastAsia"/>
        </w:rPr>
        <w:t>保证金收取比例。对于</w:t>
      </w:r>
      <w:r>
        <w:rPr>
          <w:rFonts w:hint="eastAsia"/>
          <w:lang w:eastAsia="zh-CN"/>
        </w:rPr>
        <w:t>最近年度</w:t>
      </w:r>
      <w:r>
        <w:rPr>
          <w:rFonts w:hint="eastAsia"/>
        </w:rPr>
        <w:t>信用等级AA的投标人，可给予减免投标保证金。</w:t>
      </w:r>
    </w:p>
  </w:footnote>
  <w:footnote w:id="9">
    <w:p w14:paraId="67167B4D">
      <w:pPr>
        <w:pStyle w:val="30"/>
        <w:spacing w:line="320" w:lineRule="atLeast"/>
        <w:ind w:left="180" w:hanging="180" w:hangingChars="100"/>
        <w:rPr>
          <w:szCs w:val="18"/>
        </w:rPr>
      </w:pPr>
      <w:r>
        <w:rPr>
          <w:rStyle w:val="47"/>
          <w:szCs w:val="18"/>
        </w:rPr>
        <w:footnoteRef/>
      </w:r>
      <w:r>
        <w:rPr>
          <w:rFonts w:hint="eastAsia"/>
        </w:rPr>
        <w:t xml:space="preserve"> 招标人不得强制限定投标保证金必须采用现金或支票方式缴纳，</w:t>
      </w:r>
      <w:r>
        <w:t>不得拒绝银行保函形式的投标保证金</w:t>
      </w:r>
      <w:r>
        <w:rPr>
          <w:rFonts w:hint="eastAsia"/>
        </w:rPr>
        <w:t>。</w:t>
      </w:r>
    </w:p>
  </w:footnote>
  <w:footnote w:id="10">
    <w:p w14:paraId="2E0AB82E">
      <w:pPr>
        <w:pStyle w:val="30"/>
        <w:spacing w:line="320" w:lineRule="atLeast"/>
        <w:ind w:left="180" w:hanging="210" w:hangingChars="100"/>
        <w:rPr>
          <w:rFonts w:hint="eastAsia"/>
          <w:szCs w:val="18"/>
        </w:rPr>
      </w:pPr>
      <w:r>
        <w:rPr>
          <w:rStyle w:val="47"/>
          <w:kern w:val="2"/>
          <w:sz w:val="21"/>
          <w:szCs w:val="18"/>
        </w:rPr>
        <w:footnoteRef/>
      </w:r>
      <w:r>
        <w:rPr>
          <w:szCs w:val="18"/>
        </w:rPr>
        <w:t xml:space="preserve"> </w:t>
      </w:r>
      <w:r>
        <w:rPr>
          <w:rFonts w:hint="eastAsia"/>
          <w:szCs w:val="18"/>
        </w:rPr>
        <w:t>存在多个同一类型专业工程和同等资格条件要求标段的，应当采用随机分配投标标段方式。</w:t>
      </w:r>
    </w:p>
  </w:footnote>
  <w:footnote w:id="11">
    <w:p w14:paraId="38012840">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评标委员会应由招标人代表和有关方面的专家组成，人数为</w:t>
      </w:r>
      <w:r>
        <w:rPr>
          <w:rFonts w:hint="eastAsia"/>
          <w:szCs w:val="18"/>
          <w:lang w:eastAsia="zh-CN"/>
        </w:rPr>
        <w:t>5</w:t>
      </w:r>
      <w:r>
        <w:rPr>
          <w:rFonts w:hint="eastAsia"/>
          <w:szCs w:val="18"/>
        </w:rPr>
        <w:t>人以上单数，其中技术、经济专家人数应不少于成员总数的三分之二。</w:t>
      </w:r>
    </w:p>
  </w:footnote>
  <w:footnote w:id="12">
    <w:p w14:paraId="03848B5D">
      <w:pPr>
        <w:pStyle w:val="30"/>
        <w:snapToGrid/>
        <w:spacing w:line="320" w:lineRule="atLeast"/>
        <w:ind w:left="180" w:hanging="180" w:hangingChars="100"/>
        <w:rPr>
          <w:rFonts w:hint="eastAsia" w:eastAsia="宋体"/>
          <w:szCs w:val="18"/>
          <w:lang w:val="en-US" w:eastAsia="zh-CN"/>
        </w:rPr>
      </w:pPr>
      <w:r>
        <w:rPr>
          <w:rStyle w:val="47"/>
          <w:rFonts w:hint="eastAsia"/>
          <w:szCs w:val="18"/>
        </w:rPr>
        <w:footnoteRef/>
      </w:r>
      <w:r>
        <w:rPr>
          <w:rFonts w:hint="eastAsia"/>
          <w:szCs w:val="18"/>
        </w:rPr>
        <w:t xml:space="preserve"> </w:t>
      </w:r>
      <w:r>
        <w:rPr>
          <w:rFonts w:hint="eastAsia"/>
          <w:szCs w:val="18"/>
          <w:lang w:val="en-US" w:eastAsia="zh-CN"/>
        </w:rPr>
        <w:t>根据《国务院办公厅关于创新完善体制机制推动招标投标市场规范健康发展的意见》（国办发〔2024〕21号）规定，招标人应结合项目特点和需求，明确定标规则。</w:t>
      </w:r>
    </w:p>
  </w:footnote>
  <w:footnote w:id="13">
    <w:p w14:paraId="16715B85">
      <w:pPr>
        <w:pStyle w:val="30"/>
        <w:spacing w:line="320" w:lineRule="atLeast"/>
        <w:ind w:left="180" w:right="-229" w:rightChars="-109" w:hanging="180" w:hangingChars="100"/>
        <w:rPr>
          <w:szCs w:val="18"/>
        </w:rPr>
      </w:pPr>
      <w:r>
        <w:rPr>
          <w:rStyle w:val="47"/>
          <w:szCs w:val="18"/>
        </w:rPr>
        <w:footnoteRef/>
      </w:r>
      <w:r>
        <w:rPr>
          <w:rFonts w:hint="eastAsia"/>
        </w:rPr>
        <w:t xml:space="preserve"> 招标人不得强制限定履约保证金必须采用现金或支票方式缴纳，</w:t>
      </w:r>
      <w:r>
        <w:t>不得拒绝银行保函形式的</w:t>
      </w:r>
      <w:r>
        <w:rPr>
          <w:rFonts w:hint="eastAsia"/>
        </w:rPr>
        <w:t>履约保证金。</w:t>
      </w:r>
    </w:p>
  </w:footnote>
  <w:footnote w:id="14">
    <w:p w14:paraId="0E393B44">
      <w:pPr>
        <w:pStyle w:val="30"/>
        <w:spacing w:line="320" w:lineRule="atLeast"/>
        <w:ind w:left="180" w:right="-229" w:rightChars="-109" w:hanging="210" w:hangingChars="100"/>
        <w:rPr>
          <w:szCs w:val="18"/>
        </w:rPr>
      </w:pPr>
      <w:r>
        <w:rPr>
          <w:rStyle w:val="47"/>
          <w:kern w:val="2"/>
          <w:sz w:val="21"/>
          <w:szCs w:val="18"/>
        </w:rPr>
        <w:footnoteRef/>
      </w:r>
      <w:r>
        <w:rPr>
          <w:rFonts w:hint="eastAsia"/>
        </w:rPr>
        <w:t xml:space="preserve"> 招标人应当按照国家有关规定，在招标文件中明确履约保证金收取比例，对于</w:t>
      </w:r>
      <w:r>
        <w:rPr>
          <w:rFonts w:hint="eastAsia"/>
          <w:lang w:eastAsia="zh-CN"/>
        </w:rPr>
        <w:t>最近年度</w:t>
      </w:r>
      <w:r>
        <w:rPr>
          <w:rFonts w:hint="eastAsia"/>
        </w:rPr>
        <w:t>信用等级为AA的中标人，可给予减少履约保证金。</w:t>
      </w:r>
    </w:p>
  </w:footnote>
  <w:footnote w:id="15">
    <w:p w14:paraId="31F71302">
      <w:pPr>
        <w:pStyle w:val="30"/>
        <w:snapToGrid w:val="0"/>
        <w:rPr>
          <w:rFonts w:hint="eastAsia" w:eastAsia="宋体"/>
          <w:lang w:eastAsia="zh-CN"/>
        </w:rPr>
      </w:pPr>
      <w:r>
        <w:rPr>
          <w:rStyle w:val="47"/>
        </w:rPr>
        <w:footnoteRef/>
      </w:r>
      <w:r>
        <w:t xml:space="preserve"> </w:t>
      </w:r>
      <w:r>
        <w:rPr>
          <w:rFonts w:hint="eastAsia"/>
          <w:lang w:val="en-US" w:eastAsia="zh-CN"/>
        </w:rPr>
        <w:t>仅适用于采用</w:t>
      </w:r>
      <w:r>
        <w:rPr>
          <w:rFonts w:hint="eastAsia"/>
        </w:rPr>
        <w:t>技术评分最低标价法、技术评分合理低价法和综合评分法</w:t>
      </w:r>
      <w:r>
        <w:rPr>
          <w:rFonts w:hint="eastAsia"/>
          <w:lang w:val="en-US" w:eastAsia="zh-CN"/>
        </w:rPr>
        <w:t>的项目</w:t>
      </w:r>
      <w:r>
        <w:rPr>
          <w:rFonts w:hint="eastAsia"/>
          <w:lang w:eastAsia="zh-CN"/>
        </w:rPr>
        <w:t>。</w:t>
      </w:r>
    </w:p>
  </w:footnote>
  <w:footnote w:id="16">
    <w:p w14:paraId="4E2204A8">
      <w:pPr>
        <w:pStyle w:val="2"/>
        <w:keepNext w:val="0"/>
        <w:keepLines w:val="0"/>
        <w:widowControl/>
        <w:pBdr>
          <w:top w:val="none" w:color="auto" w:sz="0" w:space="0"/>
          <w:left w:val="none" w:color="auto" w:sz="0" w:space="0"/>
          <w:bottom w:val="none" w:color="auto" w:sz="0" w:space="0"/>
          <w:right w:val="none" w:color="auto" w:sz="0" w:space="0"/>
        </w:pBdr>
        <w:shd w:val="clear" w:fill="FFFFFF"/>
        <w:adjustRightInd w:val="0"/>
        <w:snapToGrid w:val="0"/>
        <w:spacing w:before="141" w:after="141" w:line="7" w:lineRule="atLeast"/>
        <w:ind w:left="0" w:hanging="168" w:hangingChars="80"/>
        <w:jc w:val="left"/>
        <w:textAlignment w:val="baseline"/>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en-US" w:eastAsia="zh-CN" w:bidi="ar-SA"/>
        </w:rPr>
        <w:t xml:space="preserve"> </w:t>
      </w:r>
      <w:r>
        <w:rPr>
          <w:rFonts w:hint="eastAsia" w:ascii="Times New Roman" w:hAnsi="Times New Roman" w:eastAsia="宋体" w:cs="Times New Roman"/>
          <w:bCs w:val="0"/>
          <w:kern w:val="0"/>
          <w:sz w:val="18"/>
          <w:szCs w:val="20"/>
          <w:lang w:val="en-US" w:eastAsia="zh-CN" w:bidi="ar-SA"/>
        </w:rPr>
        <w:t>以工</w:t>
      </w:r>
      <w:r>
        <w:rPr>
          <w:rFonts w:hint="eastAsia" w:ascii="Times New Roman" w:hAnsi="Times New Roman" w:eastAsia="宋体" w:cs="Times New Roman"/>
          <w:kern w:val="0"/>
          <w:sz w:val="18"/>
          <w:szCs w:val="20"/>
          <w:lang w:val="en-US" w:eastAsia="zh-CN" w:bidi="ar-SA"/>
        </w:rPr>
        <w:t>代赈相关要求应符合《</w:t>
      </w:r>
      <w:r>
        <w:rPr>
          <w:rFonts w:hint="eastAsia" w:ascii="Times New Roman" w:hAnsi="Times New Roman" w:eastAsia="宋体" w:cs="Times New Roman"/>
          <w:b w:val="0"/>
          <w:bCs w:val="0"/>
          <w:i w:val="0"/>
          <w:iCs w:val="0"/>
          <w:caps w:val="0"/>
          <w:color w:val="2D66A5"/>
          <w:spacing w:val="0"/>
          <w:kern w:val="0"/>
          <w:sz w:val="18"/>
          <w:szCs w:val="20"/>
          <w:shd w:val="clear" w:fill="FFFFFF"/>
        </w:rPr>
        <w:t>交通运输部办公厅关于做好交通运输基础设施建设和管护领域推广以工代赈工作的通知</w:t>
      </w:r>
      <w:r>
        <w:rPr>
          <w:rFonts w:hint="eastAsia" w:ascii="Times New Roman" w:hAnsi="Times New Roman" w:eastAsia="宋体" w:cs="Times New Roman"/>
          <w:kern w:val="0"/>
          <w:sz w:val="18"/>
          <w:szCs w:val="20"/>
          <w:lang w:val="en-US" w:eastAsia="zh-CN" w:bidi="ar-SA"/>
        </w:rPr>
        <w:t>》</w:t>
      </w:r>
      <w:r>
        <w:rPr>
          <w:rFonts w:hint="eastAsia" w:eastAsia="宋体" w:cs="Times New Roman"/>
          <w:bCs w:val="0"/>
          <w:kern w:val="0"/>
          <w:sz w:val="18"/>
          <w:szCs w:val="20"/>
          <w:lang w:val="en-US" w:eastAsia="zh-CN" w:bidi="ar-SA"/>
        </w:rPr>
        <w:t>（交办公路〔2022〕35号）规定</w:t>
      </w:r>
      <w:r>
        <w:rPr>
          <w:rFonts w:hint="eastAsia" w:ascii="Times New Roman" w:hAnsi="Times New Roman" w:eastAsia="宋体" w:cs="Times New Roman"/>
          <w:kern w:val="0"/>
          <w:sz w:val="18"/>
          <w:szCs w:val="20"/>
          <w:lang w:val="en-US" w:eastAsia="zh-CN" w:bidi="ar-SA"/>
        </w:rPr>
        <w:t>。</w:t>
      </w:r>
    </w:p>
  </w:footnote>
  <w:footnote w:id="17">
    <w:p w14:paraId="15D489D5">
      <w:pPr>
        <w:widowControl w:val="0"/>
        <w:adjustRightInd w:val="0"/>
        <w:snapToGrid w:val="0"/>
        <w:spacing w:line="240" w:lineRule="auto"/>
        <w:ind w:left="180" w:hanging="210" w:hangingChars="100"/>
        <w:jc w:val="both"/>
        <w:textAlignment w:val="baseline"/>
        <w:rPr>
          <w:rFonts w:ascii="Times New Roman" w:hAnsi="Times New Roman" w:eastAsia="宋体" w:cs="Times New Roman"/>
          <w:kern w:val="0"/>
          <w:sz w:val="18"/>
          <w:szCs w:val="20"/>
          <w:lang w:val="en-US" w:eastAsia="zh-CN" w:bidi="ar-SA"/>
        </w:rPr>
      </w:pPr>
      <w:r>
        <w:rPr>
          <w:rFonts w:hint="eastAsia"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w:t>
      </w:r>
      <w:r>
        <w:rPr>
          <w:rFonts w:hint="eastAsia" w:ascii="Times New Roman" w:hAnsi="Times New Roman" w:eastAsia="宋体" w:cs="Times New Roman"/>
          <w:kern w:val="0"/>
          <w:sz w:val="18"/>
          <w:szCs w:val="20"/>
          <w:lang w:val="en-US" w:eastAsia="zh-CN" w:bidi="ar-SA"/>
        </w:rPr>
        <w:fldChar w:fldCharType="begin"/>
      </w:r>
      <w:r>
        <w:rPr>
          <w:rFonts w:hint="eastAsia" w:ascii="Times New Roman" w:hAnsi="Times New Roman" w:eastAsia="宋体" w:cs="Times New Roman"/>
          <w:kern w:val="0"/>
          <w:sz w:val="18"/>
          <w:szCs w:val="20"/>
          <w:lang w:val="en-US" w:eastAsia="zh-CN" w:bidi="ar-SA"/>
        </w:rPr>
        <w:instrText xml:space="preserve"> HYPERLINK "https://baike.baidu.com/item/%E4%BF%9D%E9%9A%9C%E5%86%9C%E6%B0%91%E5%B7%A5%E5%B7%A5%E8%B5%84%E6%94%AF%E4%BB%98%E6%9D%A1%E4%BE%8B/23674641?fromModule=lemma-qiyi_sense-lemma" </w:instrText>
      </w:r>
      <w:r>
        <w:rPr>
          <w:rFonts w:hint="eastAsia" w:ascii="Times New Roman" w:hAnsi="Times New Roman" w:eastAsia="宋体" w:cs="Times New Roman"/>
          <w:kern w:val="0"/>
          <w:sz w:val="18"/>
          <w:szCs w:val="20"/>
          <w:lang w:val="en-US" w:eastAsia="zh-CN" w:bidi="ar-SA"/>
        </w:rPr>
        <w:fldChar w:fldCharType="separate"/>
      </w:r>
      <w:r>
        <w:rPr>
          <w:rFonts w:hint="eastAsia" w:ascii="Times New Roman" w:hAnsi="Times New Roman" w:eastAsia="宋体" w:cs="Times New Roman"/>
          <w:kern w:val="0"/>
          <w:sz w:val="18"/>
          <w:szCs w:val="20"/>
          <w:lang w:val="en-US" w:eastAsia="zh-CN" w:bidi="ar-SA"/>
        </w:rPr>
        <w:t>保障农民工工资支付条例</w:t>
      </w:r>
      <w:r>
        <w:rPr>
          <w:rFonts w:hint="eastAsia" w:ascii="Times New Roman" w:hAnsi="Times New Roman" w:eastAsia="宋体" w:cs="Times New Roman"/>
          <w:kern w:val="0"/>
          <w:sz w:val="18"/>
          <w:szCs w:val="20"/>
          <w:lang w:val="en-US" w:eastAsia="zh-CN" w:bidi="ar-SA"/>
        </w:rPr>
        <w:fldChar w:fldCharType="end"/>
      </w:r>
      <w:r>
        <w:rPr>
          <w:rFonts w:hint="eastAsia" w:ascii="Times New Roman" w:hAnsi="Times New Roman" w:eastAsia="宋体" w:cs="Times New Roman"/>
          <w:kern w:val="0"/>
          <w:sz w:val="18"/>
          <w:szCs w:val="20"/>
          <w:lang w:val="en-US" w:eastAsia="zh-CN" w:bidi="ar-SA"/>
        </w:rPr>
        <w:t>》第2</w:t>
      </w:r>
      <w:r>
        <w:rPr>
          <w:rFonts w:ascii="Times New Roman" w:hAnsi="Times New Roman" w:eastAsia="宋体" w:cs="Times New Roman"/>
          <w:kern w:val="0"/>
          <w:sz w:val="18"/>
          <w:szCs w:val="20"/>
          <w:lang w:val="en-US" w:eastAsia="zh-CN" w:bidi="ar-SA"/>
        </w:rPr>
        <w:t>4</w:t>
      </w:r>
      <w:r>
        <w:rPr>
          <w:rFonts w:hint="eastAsia" w:ascii="Times New Roman" w:hAnsi="Times New Roman" w:eastAsia="宋体" w:cs="Times New Roman"/>
          <w:kern w:val="0"/>
          <w:sz w:val="18"/>
          <w:szCs w:val="20"/>
          <w:lang w:val="en-US" w:eastAsia="zh-CN" w:bidi="ar-SA"/>
        </w:rPr>
        <w:t>条第一款规定，建设单位应当向施工单位提供工程款支付担保。按照《交通运输部办公厅关于进一步支持公路建设领域中小企业发展的通知》要求，认真贯彻落实党中央、国务院有关部署，对照《保障农民工工资支付条例》等规定，进一步规范公路建设领域工程款支付工作，推动落实工程款支付担保制度，切实减轻中小企业负担。</w:t>
      </w:r>
    </w:p>
  </w:footnote>
  <w:footnote w:id="18">
    <w:p w14:paraId="470B11AB">
      <w:pPr>
        <w:pStyle w:val="30"/>
        <w:ind w:left="210" w:hanging="210"/>
        <w:rPr>
          <w:rFonts w:hint="eastAsia"/>
          <w:szCs w:val="18"/>
        </w:rPr>
      </w:pPr>
      <w:r>
        <w:rPr>
          <w:rStyle w:val="47"/>
          <w:szCs w:val="18"/>
        </w:rPr>
        <w:footnoteRef/>
      </w:r>
      <w:r>
        <w:rPr>
          <w:rFonts w:hint="eastAsia"/>
          <w:szCs w:val="18"/>
        </w:rPr>
        <w:t xml:space="preserve"> 具体资质要求由招标人在满足国家相关法律法规前提下，根据招标项目具体特点和实际情况确定。</w:t>
      </w:r>
    </w:p>
  </w:footnote>
  <w:footnote w:id="19">
    <w:p w14:paraId="16DFA409">
      <w:pPr>
        <w:pStyle w:val="30"/>
        <w:snapToGrid w:val="0"/>
        <w:ind w:firstLine="0"/>
      </w:pPr>
      <w:r>
        <w:rPr>
          <w:rStyle w:val="47"/>
          <w:kern w:val="2"/>
          <w:sz w:val="21"/>
          <w:szCs w:val="24"/>
        </w:rPr>
        <w:footnoteRef/>
      </w:r>
      <w:r>
        <w:t xml:space="preserve"> </w:t>
      </w:r>
      <w:r>
        <w:rPr>
          <w:rFonts w:hint="eastAsia"/>
          <w:lang w:val="en-US" w:eastAsia="zh-CN"/>
        </w:rPr>
        <w:t>企业资质等级</w:t>
      </w:r>
      <w:r>
        <w:rPr>
          <w:rFonts w:hint="eastAsia"/>
        </w:rPr>
        <w:t>应当严格按照从业资质管理相关规定，提出与招标项目相适应的资质最低条件，不得提高资质等级要求。</w:t>
      </w:r>
    </w:p>
  </w:footnote>
  <w:footnote w:id="20">
    <w:p w14:paraId="22A50FA7">
      <w:pPr>
        <w:pStyle w:val="30"/>
        <w:spacing w:line="240" w:lineRule="auto"/>
        <w:ind w:left="180" w:hanging="180" w:hangingChars="100"/>
        <w:rPr>
          <w:rFonts w:hint="eastAsia"/>
          <w:szCs w:val="18"/>
        </w:rPr>
      </w:pPr>
      <w:r>
        <w:rPr>
          <w:rStyle w:val="47"/>
          <w:szCs w:val="18"/>
        </w:rPr>
        <w:footnoteRef/>
      </w:r>
      <w:r>
        <w:rPr>
          <w:rFonts w:hint="eastAsia"/>
          <w:szCs w:val="18"/>
        </w:rPr>
        <w:t xml:space="preserve"> 具体财务要求由招标人在满足国家相关法律法规前提下，根据招标项目具体特点和实际情况确定。</w:t>
      </w:r>
    </w:p>
  </w:footnote>
  <w:footnote w:id="21">
    <w:p w14:paraId="44B7512A">
      <w:pPr>
        <w:pStyle w:val="30"/>
        <w:spacing w:line="300" w:lineRule="atLeast"/>
        <w:ind w:left="180" w:hanging="180" w:hangingChars="100"/>
        <w:rPr>
          <w:rFonts w:hint="eastAsia"/>
          <w:szCs w:val="18"/>
        </w:rPr>
      </w:pPr>
      <w:r>
        <w:rPr>
          <w:rStyle w:val="47"/>
          <w:szCs w:val="18"/>
        </w:rPr>
        <w:footnoteRef/>
      </w:r>
      <w:r>
        <w:rPr>
          <w:rFonts w:hint="eastAsia"/>
          <w:szCs w:val="18"/>
        </w:rPr>
        <w:t xml:space="preserve"> 具体业绩要求由招标人在满足国家相关法律法规前提下，根据招标项目具体特点和实际情况确定，但不得设置过高的业绩资格条件。</w:t>
      </w:r>
    </w:p>
  </w:footnote>
  <w:footnote w:id="22">
    <w:p w14:paraId="65FA4A97">
      <w:pPr>
        <w:pStyle w:val="30"/>
        <w:snapToGrid w:val="0"/>
        <w:ind w:firstLine="0"/>
        <w:rPr>
          <w:rFonts w:hint="default"/>
          <w:highlight w:val="yellow"/>
          <w:lang w:val="en-US" w:eastAsia="zh-CN"/>
        </w:rPr>
      </w:pPr>
      <w:r>
        <w:rPr>
          <w:rStyle w:val="47"/>
          <w:kern w:val="2"/>
          <w:sz w:val="21"/>
          <w:szCs w:val="24"/>
        </w:rPr>
        <w:footnoteRef/>
      </w:r>
      <w:r>
        <w:t xml:space="preserve"> </w:t>
      </w:r>
      <w:r>
        <w:rPr>
          <w:rFonts w:hint="eastAsia"/>
          <w:lang w:val="en-US" w:eastAsia="zh-CN"/>
        </w:rPr>
        <w:t>业绩量化指标不得超过项目标的规模。</w:t>
      </w:r>
    </w:p>
  </w:footnote>
  <w:footnote w:id="23">
    <w:p w14:paraId="5D7E8F18">
      <w:pPr>
        <w:pStyle w:val="30"/>
        <w:ind w:left="210" w:hanging="210"/>
        <w:rPr>
          <w:rFonts w:hint="eastAsia"/>
          <w:szCs w:val="18"/>
        </w:rPr>
      </w:pPr>
      <w:r>
        <w:rPr>
          <w:rStyle w:val="47"/>
          <w:szCs w:val="18"/>
        </w:rPr>
        <w:footnoteRef/>
      </w:r>
      <w:r>
        <w:rPr>
          <w:rFonts w:hint="eastAsia"/>
          <w:szCs w:val="18"/>
        </w:rPr>
        <w:t xml:space="preserve"> </w:t>
      </w:r>
      <w:r>
        <w:rPr>
          <w:rFonts w:hint="eastAsia"/>
        </w:rPr>
        <w:t>具体信誉要求由招标人在满足国家相关法律法规前提下，根据招标项目具体特点和实际情况确定</w:t>
      </w:r>
      <w:r>
        <w:rPr>
          <w:lang w:eastAsia="zh-CN"/>
        </w:rPr>
        <w:t>。</w:t>
      </w:r>
    </w:p>
  </w:footnote>
  <w:footnote w:id="24">
    <w:p w14:paraId="123FEA7C">
      <w:pPr>
        <w:pStyle w:val="30"/>
        <w:spacing w:line="360" w:lineRule="atLeast"/>
        <w:ind w:left="180" w:hanging="180" w:hangingChars="100"/>
        <w:rPr>
          <w:rFonts w:hint="eastAsia"/>
          <w:szCs w:val="18"/>
        </w:rPr>
      </w:pPr>
      <w:r>
        <w:rPr>
          <w:rStyle w:val="47"/>
          <w:szCs w:val="18"/>
        </w:rPr>
        <w:footnoteRef/>
      </w:r>
      <w:r>
        <w:rPr>
          <w:rFonts w:hint="eastAsia"/>
          <w:szCs w:val="18"/>
        </w:rPr>
        <w:t xml:space="preserve"> 对项目经理和项目总工的具体资格要求由招标人在满足国家相关法律法规前提下，根据招标项目具体特点和实际情况确定，但不得设置过高的资格条件。</w:t>
      </w:r>
    </w:p>
  </w:footnote>
  <w:footnote w:id="25">
    <w:p w14:paraId="504F231F">
      <w:pPr>
        <w:pStyle w:val="30"/>
        <w:snapToGrid w:val="0"/>
        <w:ind w:firstLine="0"/>
      </w:pPr>
      <w:r>
        <w:rPr>
          <w:rStyle w:val="47"/>
        </w:rPr>
        <w:footnoteRef/>
      </w:r>
      <w:r>
        <w:t xml:space="preserve"> </w:t>
      </w:r>
      <w:r>
        <w:rPr>
          <w:rFonts w:hint="eastAsia"/>
        </w:rPr>
        <w:t>项目经理应当具有注册建造师证书，其专业和等级按照相关规定根据项目实际设置，招标人不得再另行设置相应等级技术职称要求</w:t>
      </w:r>
      <w:r>
        <w:rPr>
          <w:rFonts w:hint="eastAsia"/>
          <w:lang w:eastAsia="zh-CN"/>
        </w:rPr>
        <w:t>；</w:t>
      </w:r>
      <w:r>
        <w:rPr>
          <w:rFonts w:hint="eastAsia"/>
        </w:rPr>
        <w:t>项目经理应当具有相应安全生产考核合格证书。项目总工程师一般应当设置技术职称要求。主要人员业绩量化指标不得超过项目标的规模。</w:t>
      </w:r>
    </w:p>
  </w:footnote>
  <w:footnote w:id="26">
    <w:p w14:paraId="2DE2915F">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的最低要求</w:t>
      </w:r>
      <w:r>
        <w:rPr>
          <w:rFonts w:hint="eastAsia"/>
          <w:szCs w:val="18"/>
          <w:lang w:eastAsia="zh-CN"/>
        </w:rPr>
        <w:t>，</w:t>
      </w:r>
      <w:r>
        <w:rPr>
          <w:rFonts w:hint="eastAsia"/>
          <w:szCs w:val="18"/>
        </w:rPr>
        <w:t>由招标人在满足国家相关法律法规前提下，根据招标项目具体特点和实际情况确定，但不得设置过高的资格条件。</w:t>
      </w:r>
    </w:p>
  </w:footnote>
  <w:footnote w:id="27">
    <w:p w14:paraId="06907887">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仅适用于技术特别复杂的特大桥梁和特长隧道等项目主体工程以及其他有特殊要求的工程。对主要机械设备和试验检测设备的最低要求</w:t>
      </w:r>
      <w:r>
        <w:rPr>
          <w:rFonts w:hint="eastAsia"/>
          <w:szCs w:val="18"/>
          <w:lang w:eastAsia="zh-CN"/>
        </w:rPr>
        <w:t>，</w:t>
      </w:r>
      <w:r>
        <w:rPr>
          <w:rFonts w:hint="eastAsia"/>
          <w:szCs w:val="18"/>
        </w:rPr>
        <w:t>由招标人在满足国家相关法律法规前提下，根据招标项目具体特点和实际情况确定。</w:t>
      </w:r>
    </w:p>
  </w:footnote>
  <w:footnote w:id="28">
    <w:p w14:paraId="3BC179B9">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w:t>
      </w:r>
      <w:r>
        <w:rPr>
          <w:rFonts w:hint="eastAsia" w:cs="Times New Roman"/>
          <w:kern w:val="0"/>
          <w:sz w:val="18"/>
          <w:szCs w:val="18"/>
          <w:lang w:val="en-US" w:eastAsia="zh-CN"/>
        </w:rPr>
        <w:t>项</w:t>
      </w:r>
      <w:r>
        <w:rPr>
          <w:rFonts w:hint="eastAsia" w:ascii="Times New Roman" w:hAnsi="Times New Roman" w:eastAsia="宋体" w:cs="Times New Roman"/>
          <w:kern w:val="0"/>
          <w:sz w:val="18"/>
          <w:szCs w:val="18"/>
        </w:rPr>
        <w:t>规定仅适用于根据《关于发布公路工程从业企业资质名录的通知》（厅公路字〔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号）要求，招标人应通过名录对投标人资质条件进行审核的公路施工企业；如前款文件中规定的资质已由省级相关部门负责审核、审批，则不做要求。</w:t>
      </w:r>
    </w:p>
  </w:footnote>
  <w:footnote w:id="29">
    <w:p w14:paraId="3B8EAA4D">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w:t>
      </w:r>
      <w:r>
        <w:rPr>
          <w:rFonts w:hint="eastAsia" w:cs="Times New Roman"/>
          <w:kern w:val="0"/>
          <w:sz w:val="18"/>
          <w:szCs w:val="18"/>
          <w:lang w:val="en-US" w:eastAsia="zh-CN"/>
        </w:rPr>
        <w:t>项</w:t>
      </w:r>
      <w:r>
        <w:rPr>
          <w:rFonts w:hint="eastAsia" w:ascii="Times New Roman" w:hAnsi="Times New Roman" w:eastAsia="宋体" w:cs="Times New Roman"/>
          <w:kern w:val="0"/>
          <w:sz w:val="18"/>
          <w:szCs w:val="18"/>
        </w:rPr>
        <w:t>规定仅适用于根据《关于发布公路工程从业企业资质名录的通知》（厅公路字〔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w:t>
      </w:r>
      <w:r>
        <w:rPr>
          <w:rFonts w:hint="eastAsia" w:ascii="Times New Roman" w:hAnsi="Times New Roman" w:eastAsia="宋体" w:cs="Times New Roman"/>
          <w:kern w:val="0"/>
          <w:sz w:val="18"/>
          <w:szCs w:val="18"/>
          <w:highlight w:val="none"/>
        </w:rPr>
        <w:t>的公路施工企</w:t>
      </w:r>
      <w:r>
        <w:rPr>
          <w:rFonts w:hint="eastAsia" w:ascii="Times New Roman" w:hAnsi="Times New Roman" w:eastAsia="宋体" w:cs="Times New Roman"/>
          <w:kern w:val="0"/>
          <w:sz w:val="18"/>
          <w:szCs w:val="18"/>
        </w:rPr>
        <w:t>业</w:t>
      </w:r>
      <w:r>
        <w:rPr>
          <w:rFonts w:hint="eastAsia" w:cs="Times New Roman"/>
          <w:kern w:val="0"/>
          <w:sz w:val="18"/>
          <w:szCs w:val="18"/>
          <w:lang w:eastAsia="zh-CN"/>
        </w:rPr>
        <w:t>；</w:t>
      </w:r>
      <w:r>
        <w:rPr>
          <w:rFonts w:hint="eastAsia" w:cs="Times New Roman"/>
          <w:kern w:val="0"/>
          <w:sz w:val="18"/>
          <w:szCs w:val="18"/>
          <w:lang w:val="en-US" w:eastAsia="zh-CN"/>
        </w:rPr>
        <w:t>如前款文件中规定的资质已由省级相关部门负责审核、审批，则投标人无需提供相应资质的网页截图</w:t>
      </w:r>
      <w:r>
        <w:rPr>
          <w:rFonts w:hint="eastAsia" w:ascii="Times New Roman" w:hAnsi="Times New Roman" w:eastAsia="宋体" w:cs="Times New Roman"/>
          <w:kern w:val="0"/>
          <w:sz w:val="18"/>
          <w:szCs w:val="18"/>
        </w:rPr>
        <w:t>。</w:t>
      </w:r>
    </w:p>
  </w:footnote>
  <w:footnote w:id="30">
    <w:p w14:paraId="697AAEE1">
      <w:pPr>
        <w:pStyle w:val="30"/>
        <w:snapToGrid w:val="0"/>
        <w:rPr>
          <w:rFonts w:hint="default" w:eastAsia="宋体"/>
          <w:lang w:val="en-US" w:eastAsia="zh-CN"/>
        </w:rPr>
      </w:pPr>
      <w:r>
        <w:rPr>
          <w:rStyle w:val="47"/>
        </w:rPr>
        <w:footnoteRef/>
      </w:r>
      <w:r>
        <w:t xml:space="preserve"> </w:t>
      </w:r>
      <w:r>
        <w:rPr>
          <w:rFonts w:hint="eastAsia"/>
          <w:lang w:val="en-US" w:eastAsia="zh-CN"/>
        </w:rPr>
        <w:t>G值详见评标办法。</w:t>
      </w:r>
    </w:p>
  </w:footnote>
  <w:footnote w:id="31">
    <w:p w14:paraId="306CDECF">
      <w:pPr>
        <w:pStyle w:val="30"/>
        <w:tabs>
          <w:tab w:val="left" w:pos="3780"/>
        </w:tabs>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招标人可根据</w:t>
      </w:r>
      <w:r>
        <w:rPr>
          <w:rFonts w:hint="eastAsia"/>
          <w:szCs w:val="18"/>
          <w:lang w:eastAsia="zh-CN"/>
        </w:rPr>
        <w:t>实际</w:t>
      </w:r>
      <w:r>
        <w:rPr>
          <w:rFonts w:hint="eastAsia"/>
          <w:szCs w:val="18"/>
        </w:rPr>
        <w:t>需要进行修改。</w:t>
      </w:r>
    </w:p>
  </w:footnote>
  <w:footnote w:id="32">
    <w:p w14:paraId="0E294FEC">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投标人仅须在投标文件的澄清或说明上加盖CA数字证书中的单位章，或由法定代表人或其委托代理人的个人电子印章或电子签名</w:t>
      </w:r>
      <w:r>
        <w:rPr>
          <w:rFonts w:hint="eastAsia" w:hAnsi="宋体"/>
          <w:szCs w:val="18"/>
        </w:rPr>
        <w:t>。</w:t>
      </w:r>
    </w:p>
  </w:footnote>
  <w:footnote w:id="33">
    <w:p w14:paraId="15DCF42D">
      <w:pPr>
        <w:pStyle w:val="30"/>
        <w:spacing w:line="320" w:lineRule="atLeast"/>
        <w:ind w:left="180" w:hanging="180" w:hangingChars="100"/>
        <w:jc w:val="both"/>
        <w:rPr>
          <w:rFonts w:hint="eastAsia"/>
          <w:szCs w:val="18"/>
        </w:rPr>
      </w:pPr>
      <w:r>
        <w:rPr>
          <w:rStyle w:val="47"/>
          <w:szCs w:val="18"/>
        </w:rPr>
        <w:footnoteRef/>
      </w:r>
      <w:r>
        <w:rPr>
          <w:rFonts w:hint="eastAsia"/>
          <w:szCs w:val="18"/>
        </w:rPr>
        <w:t xml:space="preserve"> “合理低价法”是综合评估法的评分因素中评标价得分为100分、其他评分因素分值为0分的特例。“合理低价法”中，第一个信封（商务及技术文件）的评审应采用合格制。</w:t>
      </w:r>
    </w:p>
  </w:footnote>
  <w:footnote w:id="34">
    <w:p w14:paraId="6891B6E4">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35">
    <w:p w14:paraId="7BB166FF">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36">
    <w:p w14:paraId="69118A08">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号）要求，招标人应通过名录对投标人资质条件进行审核的公路施工企业；如前款文件中规定的资质已由省级相关部门负责审核、审批，则不做要求。</w:t>
      </w:r>
    </w:p>
  </w:footnote>
  <w:footnote w:id="37">
    <w:p w14:paraId="2464E6E6">
      <w:pPr>
        <w:pStyle w:val="30"/>
        <w:spacing w:line="320" w:lineRule="atLeast"/>
        <w:ind w:left="180" w:hanging="180" w:hangingChars="100"/>
        <w:rPr>
          <w:rStyle w:val="47"/>
          <w:szCs w:val="18"/>
        </w:rPr>
      </w:pPr>
      <w:r>
        <w:rPr>
          <w:rStyle w:val="47"/>
          <w:szCs w:val="18"/>
        </w:rPr>
        <w:footnoteRef/>
      </w:r>
      <w:r>
        <w:rPr>
          <w:rFonts w:hint="eastAsia"/>
          <w:szCs w:val="18"/>
        </w:rPr>
        <w:t xml:space="preserve"> 如</w:t>
      </w:r>
      <w:r>
        <w:rPr>
          <w:rStyle w:val="47"/>
          <w:szCs w:val="18"/>
          <w:vertAlign w:val="baseline"/>
        </w:rPr>
        <w:t>本项目招标</w:t>
      </w:r>
      <w:r>
        <w:rPr>
          <w:rStyle w:val="47"/>
          <w:rFonts w:hint="eastAsia"/>
          <w:szCs w:val="18"/>
          <w:vertAlign w:val="baseline"/>
          <w:lang w:eastAsia="zh-CN"/>
        </w:rPr>
        <w:t>由</w:t>
      </w:r>
      <w:r>
        <w:rPr>
          <w:rFonts w:hint="eastAsia"/>
          <w:szCs w:val="18"/>
        </w:rPr>
        <w:t>投标人按照招标人提供的</w:t>
      </w:r>
      <w:r>
        <w:rPr>
          <w:szCs w:val="18"/>
        </w:rPr>
        <w:t>工程量固化清单</w:t>
      </w:r>
      <w:r>
        <w:rPr>
          <w:rFonts w:hint="eastAsia"/>
          <w:szCs w:val="18"/>
        </w:rPr>
        <w:t>电子文件填写工程量清单，无须按照本章第3.3.2项和第3.3.3项的规定对投标报价进行修正，第3.3.2项</w:t>
      </w:r>
      <w:r>
        <w:rPr>
          <w:rFonts w:hint="eastAsia"/>
          <w:szCs w:val="18"/>
          <w:lang w:eastAsia="zh-CN"/>
        </w:rPr>
        <w:t>至</w:t>
      </w:r>
      <w:r>
        <w:rPr>
          <w:rFonts w:hint="eastAsia"/>
          <w:szCs w:val="18"/>
        </w:rPr>
        <w:t>第3.3.5项内容不适用。</w:t>
      </w:r>
    </w:p>
  </w:footnote>
  <w:footnote w:id="38">
    <w:p w14:paraId="18DFE744">
      <w:pPr>
        <w:pStyle w:val="30"/>
        <w:snapToGrid w:val="0"/>
      </w:pPr>
      <w:r>
        <w:rPr>
          <w:rStyle w:val="47"/>
        </w:rPr>
        <w:footnoteRef/>
      </w:r>
      <w:r>
        <w:t xml:space="preserve"> </w:t>
      </w:r>
      <w:r>
        <w:rPr>
          <w:rFonts w:hint="eastAsia"/>
          <w:lang w:val="en-US" w:eastAsia="zh-CN"/>
        </w:rPr>
        <w:t>本合同仅</w:t>
      </w:r>
      <w:r>
        <w:rPr>
          <w:rFonts w:hint="eastAsia"/>
        </w:rPr>
        <w:t>适用</w:t>
      </w:r>
      <w:r>
        <w:rPr>
          <w:rFonts w:hint="eastAsia"/>
          <w:lang w:val="en-US" w:eastAsia="zh-CN"/>
        </w:rPr>
        <w:t>于</w:t>
      </w:r>
      <w:r>
        <w:rPr>
          <w:rFonts w:hint="eastAsia"/>
        </w:rPr>
        <w:t>建设项目，养护工程项目</w:t>
      </w:r>
      <w:r>
        <w:rPr>
          <w:rFonts w:hint="eastAsia"/>
          <w:lang w:eastAsia="zh-CN"/>
        </w:rPr>
        <w:t>的</w:t>
      </w:r>
      <w:r>
        <w:rPr>
          <w:rFonts w:hint="eastAsia"/>
          <w:lang w:val="en-US" w:eastAsia="zh-CN"/>
        </w:rPr>
        <w:t>合同可</w:t>
      </w:r>
      <w:r>
        <w:rPr>
          <w:rFonts w:hint="eastAsia"/>
        </w:rPr>
        <w:t>参照</w:t>
      </w:r>
      <w:r>
        <w:rPr>
          <w:rFonts w:hint="eastAsia"/>
          <w:lang w:val="en-US" w:eastAsia="zh-CN"/>
        </w:rPr>
        <w:t>执行。</w:t>
      </w:r>
    </w:p>
  </w:footnote>
  <w:footnote w:id="39">
    <w:p w14:paraId="0A9B8031">
      <w:pPr>
        <w:pStyle w:val="30"/>
        <w:rPr>
          <w:rFonts w:hint="eastAsia"/>
          <w:lang w:eastAsia="zh-CN"/>
        </w:rPr>
      </w:pPr>
      <w:r>
        <w:rPr>
          <w:rStyle w:val="47"/>
        </w:rPr>
        <w:footnoteRef/>
      </w:r>
      <w:r>
        <w:t xml:space="preserve"> </w:t>
      </w:r>
      <w:r>
        <w:rPr>
          <w:rFonts w:hint="eastAsia"/>
          <w:lang w:eastAsia="zh-CN"/>
        </w:rPr>
        <w:t>本部分不加修改地引用了国家九部委《标准施工招标文件》（2007年版）相关内容。</w:t>
      </w:r>
    </w:p>
  </w:footnote>
  <w:footnote w:id="40">
    <w:p w14:paraId="47560969">
      <w:pPr>
        <w:pStyle w:val="30"/>
        <w:spacing w:line="320" w:lineRule="atLeast"/>
        <w:ind w:left="180" w:hanging="180" w:hangingChars="100"/>
        <w:rPr>
          <w:rFonts w:hint="eastAsia"/>
          <w:lang w:eastAsia="zh-CN"/>
        </w:rPr>
      </w:pPr>
      <w:r>
        <w:rPr>
          <w:rStyle w:val="47"/>
        </w:rPr>
        <w:footnoteRef/>
      </w:r>
      <w:r>
        <w:t xml:space="preserve"> 如果在招标</w:t>
      </w:r>
      <w:r>
        <w:rPr>
          <w:rFonts w:hint="eastAsia"/>
          <w:lang w:eastAsia="zh-CN"/>
        </w:rPr>
        <w:t>阶段</w:t>
      </w:r>
      <w:r>
        <w:rPr>
          <w:rFonts w:hint="eastAsia"/>
        </w:rPr>
        <w:t>，招标人</w:t>
      </w:r>
      <w:r>
        <w:t>在图纸中直接指定了取土场和弃土场位置</w:t>
      </w:r>
      <w:r>
        <w:rPr>
          <w:rFonts w:hint="eastAsia"/>
        </w:rPr>
        <w:t>，</w:t>
      </w:r>
      <w:r>
        <w:t>且作为投标人投标</w:t>
      </w:r>
      <w:r>
        <w:rPr>
          <w:rFonts w:hint="eastAsia"/>
          <w:lang w:eastAsia="zh-CN"/>
        </w:rPr>
        <w:t>报价</w:t>
      </w:r>
      <w:r>
        <w:t>的依据</w:t>
      </w:r>
      <w:r>
        <w:rPr>
          <w:rFonts w:hint="eastAsia"/>
        </w:rPr>
        <w:t>，则</w:t>
      </w:r>
      <w:r>
        <w:rPr>
          <w:rFonts w:hint="eastAsia"/>
          <w:lang w:eastAsia="zh-CN"/>
        </w:rPr>
        <w:t>招标</w:t>
      </w:r>
      <w:r>
        <w:rPr>
          <w:rFonts w:hint="eastAsia"/>
        </w:rPr>
        <w:t>人应在项目专用合同条款中对本项规定进行调整。</w:t>
      </w:r>
    </w:p>
  </w:footnote>
  <w:footnote w:id="41">
    <w:p w14:paraId="59B30A6B">
      <w:pPr>
        <w:pStyle w:val="30"/>
        <w:spacing w:line="300" w:lineRule="atLeast"/>
        <w:ind w:left="210" w:hanging="210"/>
        <w:rPr>
          <w:rFonts w:hint="eastAsia"/>
          <w:szCs w:val="18"/>
        </w:rPr>
      </w:pPr>
      <w:r>
        <w:rPr>
          <w:rStyle w:val="47"/>
          <w:szCs w:val="18"/>
        </w:rPr>
        <w:footnoteRef/>
      </w:r>
      <w:r>
        <w:rPr>
          <w:rFonts w:hint="eastAsia" w:hAnsi="Roman"/>
          <w:szCs w:val="18"/>
        </w:rPr>
        <w:t xml:space="preserve"> 缺陷责任期一般为自实际交工日期起计算</w:t>
      </w:r>
      <w:r>
        <w:rPr>
          <w:rFonts w:hint="eastAsia" w:hAnsi="Roman"/>
          <w:szCs w:val="18"/>
          <w:lang w:eastAsia="zh-CN"/>
        </w:rPr>
        <w:t>1</w:t>
      </w:r>
      <w:r>
        <w:rPr>
          <w:rFonts w:hint="eastAsia" w:hAnsi="Roman"/>
          <w:szCs w:val="18"/>
        </w:rPr>
        <w:t>年</w:t>
      </w:r>
      <w:r>
        <w:rPr>
          <w:rFonts w:hint="eastAsia" w:hAnsi="Roman"/>
          <w:szCs w:val="18"/>
          <w:lang w:eastAsia="zh-CN"/>
        </w:rPr>
        <w:t>，</w:t>
      </w:r>
      <w:r>
        <w:rPr>
          <w:rFonts w:hint="eastAsia" w:hAnsi="Roman"/>
          <w:szCs w:val="18"/>
        </w:rPr>
        <w:t>最长不超过</w:t>
      </w:r>
      <w:r>
        <w:rPr>
          <w:rFonts w:hint="eastAsia" w:hAnsi="Roman"/>
          <w:szCs w:val="18"/>
          <w:lang w:eastAsia="zh-CN"/>
        </w:rPr>
        <w:t>2年</w:t>
      </w:r>
      <w:r>
        <w:rPr>
          <w:rFonts w:hint="eastAsia" w:hAnsi="Roman"/>
          <w:szCs w:val="18"/>
        </w:rPr>
        <w:t>。</w:t>
      </w:r>
    </w:p>
  </w:footnote>
  <w:footnote w:id="42">
    <w:p w14:paraId="3D01E3A6">
      <w:pPr>
        <w:pStyle w:val="30"/>
        <w:spacing w:line="300" w:lineRule="atLeast"/>
        <w:ind w:left="210" w:hanging="210"/>
        <w:rPr>
          <w:rFonts w:hint="eastAsia"/>
          <w:szCs w:val="18"/>
        </w:rPr>
      </w:pPr>
      <w:r>
        <w:rPr>
          <w:rStyle w:val="47"/>
          <w:szCs w:val="18"/>
        </w:rPr>
        <w:footnoteRef/>
      </w:r>
      <w:r>
        <w:rPr>
          <w:rFonts w:hint="eastAsia" w:hAnsi="Roman"/>
          <w:szCs w:val="18"/>
        </w:rPr>
        <w:t xml:space="preserve"> </w:t>
      </w:r>
      <w:r>
        <w:rPr>
          <w:rFonts w:hAnsi="Roman"/>
          <w:szCs w:val="18"/>
        </w:rPr>
        <w:t>逾期交工违约金限额</w:t>
      </w:r>
      <w:r>
        <w:rPr>
          <w:rFonts w:hint="eastAsia" w:hAnsi="Roman"/>
          <w:szCs w:val="18"/>
        </w:rPr>
        <w:t>一般应为10</w:t>
      </w:r>
      <w:r>
        <w:rPr>
          <w:rFonts w:hAnsi="Roman"/>
          <w:szCs w:val="18"/>
        </w:rPr>
        <w:t>%签约合同价</w:t>
      </w:r>
      <w:r>
        <w:rPr>
          <w:rFonts w:hint="eastAsia" w:hAnsi="Roman"/>
          <w:szCs w:val="18"/>
        </w:rPr>
        <w:t>。</w:t>
      </w:r>
    </w:p>
  </w:footnote>
  <w:footnote w:id="43">
    <w:p w14:paraId="5BAFE167">
      <w:pPr>
        <w:pStyle w:val="30"/>
        <w:spacing w:line="280" w:lineRule="atLeast"/>
        <w:ind w:left="210" w:hanging="210"/>
        <w:rPr>
          <w:rFonts w:hint="eastAsia"/>
          <w:szCs w:val="18"/>
        </w:rPr>
      </w:pPr>
      <w:r>
        <w:rPr>
          <w:rStyle w:val="47"/>
          <w:szCs w:val="18"/>
        </w:rPr>
        <w:footnoteRef/>
      </w:r>
      <w:r>
        <w:rPr>
          <w:rFonts w:hint="eastAsia" w:hAnsi="Roman"/>
          <w:szCs w:val="18"/>
        </w:rPr>
        <w:t xml:space="preserve">  对于工程规模不大、工期较短的工程（例如工期不超过12个月的），可以不进行调价。</w:t>
      </w:r>
    </w:p>
  </w:footnote>
  <w:footnote w:id="44">
    <w:p w14:paraId="31455935">
      <w:pPr>
        <w:pStyle w:val="30"/>
        <w:spacing w:line="280" w:lineRule="atLeast"/>
        <w:ind w:left="210" w:hanging="210"/>
        <w:rPr>
          <w:rFonts w:hint="eastAsia"/>
          <w:szCs w:val="18"/>
        </w:rPr>
      </w:pPr>
      <w:r>
        <w:rPr>
          <w:rStyle w:val="47"/>
          <w:szCs w:val="18"/>
        </w:rPr>
        <w:footnoteRef/>
      </w:r>
      <w:r>
        <w:rPr>
          <w:szCs w:val="18"/>
        </w:rPr>
        <w:t xml:space="preserve"> </w:t>
      </w:r>
      <w:r>
        <w:rPr>
          <w:rFonts w:hint="eastAsia"/>
          <w:szCs w:val="18"/>
        </w:rPr>
        <w:t xml:space="preserve"> </w:t>
      </w:r>
      <w:r>
        <w:rPr>
          <w:rFonts w:hint="eastAsia" w:hAnsi="Roman"/>
          <w:szCs w:val="18"/>
        </w:rPr>
        <w:t>开工预付款金额一般应为10％签约合同价。</w:t>
      </w:r>
    </w:p>
  </w:footnote>
  <w:footnote w:id="45">
    <w:p w14:paraId="47E88392">
      <w:pPr>
        <w:pStyle w:val="30"/>
        <w:spacing w:line="280" w:lineRule="atLeast"/>
        <w:ind w:left="210" w:hanging="210"/>
        <w:rPr>
          <w:rFonts w:hint="eastAsia"/>
          <w:szCs w:val="18"/>
        </w:rPr>
      </w:pPr>
      <w:r>
        <w:rPr>
          <w:rStyle w:val="47"/>
          <w:szCs w:val="18"/>
        </w:rPr>
        <w:footnoteRef/>
      </w:r>
      <w:r>
        <w:rPr>
          <w:rFonts w:hint="eastAsia" w:hAnsi="Roman"/>
          <w:szCs w:val="18"/>
        </w:rPr>
        <w:t xml:space="preserve">  指主要材料，一般应为70%～75%，最低不少于60%。</w:t>
      </w:r>
    </w:p>
  </w:footnote>
  <w:footnote w:id="46">
    <w:p w14:paraId="610F8F46">
      <w:pPr>
        <w:pStyle w:val="30"/>
        <w:spacing w:line="280" w:lineRule="atLeast"/>
        <w:ind w:left="210" w:hanging="210"/>
        <w:rPr>
          <w:rFonts w:hint="eastAsia"/>
          <w:szCs w:val="18"/>
        </w:rPr>
      </w:pPr>
      <w:r>
        <w:rPr>
          <w:rStyle w:val="47"/>
          <w:szCs w:val="18"/>
        </w:rPr>
        <w:footnoteRef/>
      </w:r>
      <w:r>
        <w:rPr>
          <w:rFonts w:hint="eastAsia" w:hAnsi="Roman"/>
          <w:szCs w:val="18"/>
        </w:rPr>
        <w:t xml:space="preserve">  国际上一般按月平均支付额的0.3</w:t>
      </w:r>
      <w:r>
        <w:rPr>
          <w:rFonts w:hint="eastAsia" w:hAnsi="Roman"/>
          <w:szCs w:val="18"/>
        </w:rPr>
        <w:sym w:font="Symbol" w:char="F07E"/>
      </w:r>
      <w:r>
        <w:rPr>
          <w:rFonts w:hint="eastAsia" w:hAnsi="Roman"/>
          <w:szCs w:val="18"/>
        </w:rPr>
        <w:t>0.5倍计算，我国可按0.2</w:t>
      </w:r>
      <w:r>
        <w:rPr>
          <w:rFonts w:hint="eastAsia" w:hAnsi="Roman"/>
          <w:szCs w:val="18"/>
        </w:rPr>
        <w:sym w:font="Symbol" w:char="F07E"/>
      </w:r>
      <w:r>
        <w:rPr>
          <w:rFonts w:hAnsi="Roman"/>
          <w:szCs w:val="18"/>
        </w:rPr>
        <w:t>0.3倍</w:t>
      </w:r>
      <w:r>
        <w:rPr>
          <w:rFonts w:hint="eastAsia" w:hAnsi="Roman"/>
          <w:szCs w:val="18"/>
        </w:rPr>
        <w:t>计</w:t>
      </w:r>
      <w:r>
        <w:rPr>
          <w:rFonts w:hint="eastAsia" w:hAnsi="Roman"/>
          <w:szCs w:val="18"/>
          <w:lang w:eastAsia="zh-CN"/>
        </w:rPr>
        <w:t>，</w:t>
      </w:r>
      <w:r>
        <w:rPr>
          <w:rFonts w:hint="eastAsia" w:hAnsi="Roman"/>
          <w:szCs w:val="18"/>
        </w:rPr>
        <w:t>以利承包人资金周转。</w:t>
      </w:r>
    </w:p>
  </w:footnote>
  <w:footnote w:id="47">
    <w:p w14:paraId="18F578A1">
      <w:pPr>
        <w:pStyle w:val="30"/>
        <w:spacing w:line="280" w:lineRule="atLeast"/>
        <w:ind w:left="210" w:hanging="210"/>
        <w:rPr>
          <w:rFonts w:hint="eastAsia"/>
          <w:szCs w:val="18"/>
        </w:rPr>
      </w:pPr>
      <w:r>
        <w:rPr>
          <w:rStyle w:val="47"/>
          <w:szCs w:val="18"/>
        </w:rPr>
        <w:footnoteRef/>
      </w:r>
      <w:r>
        <w:rPr>
          <w:rFonts w:hint="eastAsia" w:hAnsi="Roman"/>
          <w:szCs w:val="18"/>
        </w:rPr>
        <w:t xml:space="preserve">  相当于中国人民银行短期贷款利率加手续费。招标人不能自行取消本项内容或降低利率。</w:t>
      </w:r>
    </w:p>
  </w:footnote>
  <w:footnote w:id="48">
    <w:p w14:paraId="49BAD4BA">
      <w:pPr>
        <w:pStyle w:val="30"/>
        <w:snapToGrid w:val="0"/>
        <w:ind w:firstLine="0"/>
      </w:pPr>
      <w:r>
        <w:rPr>
          <w:rStyle w:val="47"/>
        </w:rPr>
        <w:footnoteRef/>
      </w:r>
      <w:r>
        <w:t xml:space="preserve"> </w:t>
      </w:r>
      <w:r>
        <w:rPr>
          <w:rFonts w:hint="eastAsia"/>
        </w:rPr>
        <w:t>招标人可结合</w:t>
      </w:r>
      <w:r>
        <w:rPr>
          <w:rFonts w:hint="eastAsia"/>
          <w:lang w:val="en-US" w:eastAsia="zh-CN"/>
        </w:rPr>
        <w:t>辽宁</w:t>
      </w:r>
      <w:r>
        <w:rPr>
          <w:rFonts w:hint="eastAsia"/>
        </w:rPr>
        <w:t>省公路建设领域管理政策文件</w:t>
      </w:r>
      <w:r>
        <w:rPr>
          <w:rFonts w:hint="eastAsia"/>
          <w:lang w:eastAsia="zh-CN"/>
        </w:rPr>
        <w:t>、招标项目具体特点和实际需要</w:t>
      </w:r>
      <w:r>
        <w:rPr>
          <w:rFonts w:hint="eastAsia"/>
        </w:rPr>
        <w:t>对项目专用合同条款进行补充、细化</w:t>
      </w:r>
      <w:r>
        <w:rPr>
          <w:rFonts w:hint="eastAsia"/>
          <w:lang w:eastAsia="zh-CN"/>
        </w:rPr>
        <w:t>，</w:t>
      </w:r>
      <w:r>
        <w:rPr>
          <w:rFonts w:hint="eastAsia"/>
        </w:rPr>
        <w:t>不得设置各类</w:t>
      </w:r>
      <w:r>
        <w:rPr>
          <w:rFonts w:hint="eastAsia"/>
          <w:lang w:eastAsia="zh-CN"/>
        </w:rPr>
        <w:t>有失公允或违法违规合同条款</w:t>
      </w:r>
      <w:r>
        <w:rPr>
          <w:rFonts w:hint="eastAsia"/>
        </w:rPr>
        <w:t>。</w:t>
      </w:r>
    </w:p>
  </w:footnote>
  <w:footnote w:id="49">
    <w:p w14:paraId="7AA3231E">
      <w:pPr>
        <w:pStyle w:val="30"/>
        <w:spacing w:line="300" w:lineRule="atLeast"/>
        <w:ind w:left="360" w:hanging="360" w:hangingChars="200"/>
        <w:jc w:val="both"/>
        <w:rPr>
          <w:szCs w:val="18"/>
        </w:rPr>
      </w:pPr>
      <w:r>
        <w:rPr>
          <w:rStyle w:val="47"/>
          <w:rFonts w:ascii="宋体" w:hAnsi="宋体"/>
          <w:szCs w:val="18"/>
        </w:rPr>
        <w:footnoteRef/>
      </w:r>
      <w:r>
        <w:rPr>
          <w:rFonts w:hint="eastAsia"/>
          <w:szCs w:val="18"/>
        </w:rPr>
        <w:t xml:space="preserve"> </w:t>
      </w:r>
      <w:r>
        <w:rPr>
          <w:szCs w:val="18"/>
        </w:rPr>
        <w:t>a.</w:t>
      </w:r>
      <w:r>
        <w:rPr>
          <w:rFonts w:hAnsi="宋体"/>
          <w:szCs w:val="18"/>
        </w:rPr>
        <w:t>招标人应在招标文件中规定若投标人在所投标段中标需派驻的其他管理和技术人员</w:t>
      </w:r>
      <w:r>
        <w:rPr>
          <w:rFonts w:hint="eastAsia"/>
          <w:lang w:eastAsia="zh-CN"/>
        </w:rPr>
        <w:t>（例如</w:t>
      </w:r>
      <w:r>
        <w:rPr>
          <w:lang w:eastAsia="zh-CN"/>
        </w:rPr>
        <w:t>项目副经理、专业工程师等</w:t>
      </w:r>
      <w:r>
        <w:rPr>
          <w:rFonts w:hint="eastAsia"/>
          <w:lang w:eastAsia="zh-CN"/>
        </w:rPr>
        <w:t>）</w:t>
      </w:r>
      <w:r>
        <w:rPr>
          <w:rFonts w:hAnsi="宋体"/>
          <w:szCs w:val="18"/>
        </w:rPr>
        <w:t>。</w:t>
      </w:r>
      <w:r>
        <w:rPr>
          <w:rFonts w:hint="eastAsia" w:hAnsi="宋体"/>
          <w:szCs w:val="18"/>
        </w:rPr>
        <w:t>上述人员</w:t>
      </w:r>
      <w:r>
        <w:rPr>
          <w:rFonts w:hAnsi="宋体"/>
          <w:szCs w:val="18"/>
        </w:rPr>
        <w:t>的具体人选由招标人和中标人在合同谈判阶段确定</w:t>
      </w:r>
      <w:r>
        <w:rPr>
          <w:rFonts w:hint="eastAsia" w:hAnsi="宋体"/>
          <w:szCs w:val="18"/>
        </w:rPr>
        <w:t>，且经</w:t>
      </w:r>
      <w:r>
        <w:rPr>
          <w:rFonts w:hAnsi="宋体"/>
          <w:szCs w:val="18"/>
        </w:rPr>
        <w:t>招标人审批后作为派驻本标段的项目管理机构主要人员</w:t>
      </w:r>
      <w:r>
        <w:rPr>
          <w:rFonts w:hint="eastAsia" w:hAnsi="宋体"/>
          <w:szCs w:val="18"/>
        </w:rPr>
        <w:t>，</w:t>
      </w:r>
      <w:r>
        <w:rPr>
          <w:rFonts w:hAnsi="宋体"/>
          <w:szCs w:val="18"/>
        </w:rPr>
        <w:t>不允许更换。</w:t>
      </w:r>
      <w:r>
        <w:rPr>
          <w:rFonts w:hint="eastAsia" w:hAnsi="宋体"/>
          <w:szCs w:val="18"/>
        </w:rPr>
        <w:t>如中标人拟派驻的人员数量和资格条件不满足本表要求，招标人应取消其中标资格。</w:t>
      </w:r>
    </w:p>
    <w:p w14:paraId="68D58D99">
      <w:pPr>
        <w:pStyle w:val="30"/>
        <w:spacing w:line="300" w:lineRule="atLeast"/>
        <w:ind w:left="361" w:leftChars="86" w:hanging="180" w:hangingChars="100"/>
        <w:jc w:val="both"/>
        <w:rPr>
          <w:rFonts w:hint="eastAsia"/>
          <w:szCs w:val="18"/>
        </w:rPr>
      </w:pPr>
      <w:r>
        <w:rPr>
          <w:szCs w:val="18"/>
        </w:rPr>
        <w:t>b.</w:t>
      </w:r>
      <w:r>
        <w:rPr>
          <w:rFonts w:hAnsi="宋体"/>
          <w:szCs w:val="18"/>
        </w:rPr>
        <w:t>本表不适用于已按招标文件要求提供了其他管理和技术人员的特别复杂的特大桥梁和特长隧道项目主体工程以及其他有特殊要求的工程</w:t>
      </w:r>
      <w:r>
        <w:rPr>
          <w:rFonts w:hint="eastAsia" w:ascii="宋体" w:hAnsi="宋体"/>
          <w:szCs w:val="18"/>
        </w:rPr>
        <w:t>。</w:t>
      </w:r>
    </w:p>
  </w:footnote>
  <w:footnote w:id="50">
    <w:p w14:paraId="7F449AE8">
      <w:pPr>
        <w:pStyle w:val="30"/>
        <w:spacing w:line="300" w:lineRule="atLeast"/>
        <w:ind w:left="360" w:hanging="360" w:hangingChars="200"/>
        <w:rPr>
          <w:szCs w:val="18"/>
        </w:rPr>
      </w:pPr>
      <w:r>
        <w:rPr>
          <w:rStyle w:val="47"/>
          <w:szCs w:val="18"/>
        </w:rPr>
        <w:footnoteRef/>
      </w:r>
      <w:r>
        <w:rPr>
          <w:rFonts w:hint="eastAsia"/>
          <w:szCs w:val="18"/>
        </w:rPr>
        <w:t xml:space="preserve"> </w:t>
      </w:r>
      <w:r>
        <w:rPr>
          <w:szCs w:val="18"/>
        </w:rPr>
        <w:t>a.</w:t>
      </w:r>
      <w:r>
        <w:rPr>
          <w:rFonts w:hint="eastAsia"/>
          <w:szCs w:val="18"/>
        </w:rPr>
        <w:t xml:space="preserve"> </w:t>
      </w:r>
      <w:r>
        <w:rPr>
          <w:rFonts w:hAnsi="宋体"/>
          <w:szCs w:val="18"/>
        </w:rPr>
        <w:t>招标人应在招标文件中规定若投标人在所投标段中标需提供的主要机械设备和试验检测设备。招标人将在</w:t>
      </w:r>
      <w:r>
        <w:rPr>
          <w:rFonts w:hint="eastAsia" w:hAnsi="宋体"/>
          <w:szCs w:val="18"/>
        </w:rPr>
        <w:t>合同谈判阶段</w:t>
      </w:r>
      <w:r>
        <w:rPr>
          <w:rFonts w:hAnsi="宋体"/>
          <w:szCs w:val="18"/>
        </w:rPr>
        <w:t>要求中标人按照本表的最低要求填报为本标段配备的主要设备，在经招标人审批后作为投入本标段的主要设备且不允许更换。</w:t>
      </w:r>
      <w:r>
        <w:rPr>
          <w:rFonts w:hint="eastAsia" w:hAnsi="宋体"/>
          <w:szCs w:val="18"/>
        </w:rPr>
        <w:t>如招标人拟提供的设备数量和规格指标等不满足本表要求，招标人应取消其中标资格。</w:t>
      </w:r>
    </w:p>
    <w:p w14:paraId="093AA926">
      <w:pPr>
        <w:pStyle w:val="30"/>
        <w:spacing w:line="300" w:lineRule="atLeast"/>
        <w:ind w:left="451" w:leftChars="129" w:hanging="180" w:hangingChars="100"/>
        <w:jc w:val="both"/>
        <w:rPr>
          <w:rFonts w:hint="eastAsia"/>
          <w:szCs w:val="18"/>
        </w:rPr>
      </w:pPr>
      <w:r>
        <w:rPr>
          <w:szCs w:val="18"/>
        </w:rPr>
        <w:t>b.</w:t>
      </w:r>
      <w:r>
        <w:rPr>
          <w:rFonts w:hAnsi="宋体"/>
          <w:szCs w:val="18"/>
        </w:rPr>
        <w:t>本表不适用</w:t>
      </w:r>
      <w:r>
        <w:rPr>
          <w:rFonts w:hint="eastAsia" w:ascii="宋体" w:hAnsi="宋体"/>
          <w:szCs w:val="18"/>
        </w:rPr>
        <w:t>于已按招标文件要求提供了主要机械设备和试验检测设备的特别复杂的特大桥梁和特长隧道项目主体工程以及其他有特殊要求的工程。</w:t>
      </w:r>
    </w:p>
    <w:p w14:paraId="621D0745">
      <w:pPr>
        <w:pStyle w:val="30"/>
        <w:ind w:left="210" w:hanging="210"/>
        <w:rPr>
          <w:rFonts w:hint="eastAsia"/>
          <w:sz w:val="21"/>
          <w:szCs w:val="21"/>
        </w:rPr>
      </w:pPr>
    </w:p>
  </w:footnote>
  <w:footnote w:id="51">
    <w:p w14:paraId="5F77C787">
      <w:pPr>
        <w:pStyle w:val="30"/>
        <w:tabs>
          <w:tab w:val="left" w:pos="3780"/>
        </w:tabs>
        <w:spacing w:line="340" w:lineRule="atLeast"/>
        <w:ind w:left="210" w:hanging="210"/>
        <w:rPr>
          <w:rFonts w:hint="eastAsia"/>
        </w:rPr>
      </w:pPr>
      <w:r>
        <w:rPr>
          <w:rStyle w:val="47"/>
        </w:rPr>
        <w:footnoteRef/>
      </w:r>
      <w:r>
        <w:rPr>
          <w:rFonts w:hint="eastAsia"/>
        </w:rPr>
        <w:t>本条内容可修改为：“</w:t>
      </w:r>
      <w:r>
        <w:t>本</w:t>
      </w:r>
      <w:r>
        <w:rPr>
          <w:rFonts w:hint="eastAsia"/>
          <w:lang w:eastAsia="zh-CN"/>
        </w:rPr>
        <w:t>担保</w:t>
      </w:r>
      <w:r>
        <w:t>自</w:t>
      </w:r>
      <w:r>
        <w:rPr>
          <w:rFonts w:hint="eastAsia"/>
          <w:u w:val="single"/>
        </w:rPr>
        <w:t xml:space="preserve">         </w:t>
      </w:r>
      <w:r>
        <w:t>（生效日期）之日起生效，至</w:t>
      </w:r>
      <w:r>
        <w:rPr>
          <w:rFonts w:hint="eastAsia"/>
          <w:u w:val="single"/>
        </w:rPr>
        <w:t xml:space="preserve">         </w:t>
      </w:r>
      <w:r>
        <w:t>（失效日期）之日失效</w:t>
      </w:r>
      <w:r>
        <w:rPr>
          <w:rFonts w:hint="eastAsia"/>
        </w:rPr>
        <w:t>。”</w:t>
      </w:r>
      <w:r>
        <w:rPr>
          <w:rFonts w:hint="eastAsia"/>
          <w:sz w:val="21"/>
          <w:szCs w:val="21"/>
        </w:rPr>
        <w:t xml:space="preserve"> </w:t>
      </w:r>
      <w:r>
        <w:rPr>
          <w:rFonts w:hint="eastAsia"/>
        </w:rPr>
        <w:t>如发包人接受</w:t>
      </w:r>
      <w:r>
        <w:rPr>
          <w:rFonts w:hint="eastAsia"/>
          <w:lang w:eastAsia="zh-CN"/>
        </w:rPr>
        <w:t>履约</w:t>
      </w:r>
      <w:r>
        <w:t>保函</w:t>
      </w:r>
      <w:r>
        <w:rPr>
          <w:rFonts w:hint="eastAsia"/>
        </w:rPr>
        <w:t>采用固定有效</w:t>
      </w:r>
      <w:r>
        <w:t>期，</w:t>
      </w:r>
      <w:r>
        <w:rPr>
          <w:rFonts w:hint="eastAsia"/>
        </w:rPr>
        <w:t>在项目</w:t>
      </w:r>
      <w:r>
        <w:t>专用合同条款中</w:t>
      </w:r>
      <w:r>
        <w:rPr>
          <w:rFonts w:hint="eastAsia"/>
        </w:rPr>
        <w:t>应</w:t>
      </w:r>
      <w:r>
        <w:t>增加</w:t>
      </w:r>
      <w:r>
        <w:rPr>
          <w:rFonts w:hint="eastAsia"/>
          <w:lang w:eastAsia="zh-CN"/>
        </w:rPr>
        <w:t>保证</w:t>
      </w:r>
      <w:r>
        <w:rPr>
          <w:rFonts w:hint="eastAsia"/>
        </w:rPr>
        <w:t>承包人在</w:t>
      </w:r>
      <w:r>
        <w:rPr>
          <w:rFonts w:hint="eastAsia"/>
          <w:lang w:eastAsia="zh-CN"/>
        </w:rPr>
        <w:t>履约</w:t>
      </w:r>
      <w:r>
        <w:t>保函失效</w:t>
      </w:r>
      <w:r>
        <w:rPr>
          <w:rFonts w:hint="eastAsia"/>
          <w:lang w:eastAsia="zh-CN"/>
        </w:rPr>
        <w:t>日</w:t>
      </w:r>
      <w:r>
        <w:t>前向发包人出具后续阶段履约保函</w:t>
      </w:r>
      <w:r>
        <w:rPr>
          <w:rFonts w:hint="eastAsia"/>
          <w:lang w:eastAsia="zh-CN"/>
        </w:rPr>
        <w:t>的</w:t>
      </w:r>
      <w:r>
        <w:rPr>
          <w:rFonts w:hint="eastAsia"/>
        </w:rPr>
        <w:t>约束</w:t>
      </w:r>
      <w:r>
        <w:rPr>
          <w:rFonts w:hint="eastAsia"/>
          <w:lang w:eastAsia="zh-CN"/>
        </w:rPr>
        <w:t>性</w:t>
      </w:r>
      <w:r>
        <w:rPr>
          <w:lang w:eastAsia="zh-CN"/>
        </w:rPr>
        <w:t>条款</w:t>
      </w:r>
      <w:r>
        <w:t>，直至发包人签发交工验收证书</w:t>
      </w:r>
      <w:r>
        <w:rPr>
          <w:rFonts w:hint="eastAsia"/>
        </w:rPr>
        <w:t>且承包人按照合同约定缴纳质量保证金</w:t>
      </w:r>
      <w:r>
        <w:t>之日</w:t>
      </w:r>
      <w:r>
        <w:rPr>
          <w:rFonts w:hint="eastAsia"/>
          <w:lang w:eastAsia="zh-CN"/>
        </w:rPr>
        <w:t>为止</w:t>
      </w:r>
      <w:r>
        <w:t>。</w:t>
      </w:r>
    </w:p>
  </w:footnote>
  <w:footnote w:id="52">
    <w:p w14:paraId="4A7CFD37">
      <w:pPr>
        <w:pStyle w:val="30"/>
        <w:snapToGrid w:val="0"/>
      </w:pPr>
      <w:r>
        <w:rPr>
          <w:rStyle w:val="47"/>
          <w:kern w:val="2"/>
          <w:sz w:val="21"/>
          <w:szCs w:val="24"/>
        </w:rPr>
        <w:footnoteRef/>
      </w:r>
      <w:r>
        <w:t xml:space="preserve"> </w:t>
      </w:r>
      <w:r>
        <w:rPr>
          <w:rFonts w:hint="eastAsia"/>
          <w:lang w:val="en-US" w:eastAsia="zh-CN"/>
        </w:rPr>
        <w:t>本工程量清单仅</w:t>
      </w:r>
      <w:r>
        <w:rPr>
          <w:rFonts w:hint="eastAsia"/>
        </w:rPr>
        <w:t>适用</w:t>
      </w:r>
      <w:r>
        <w:rPr>
          <w:rFonts w:hint="eastAsia"/>
          <w:lang w:val="en-US" w:eastAsia="zh-CN"/>
        </w:rPr>
        <w:t>于</w:t>
      </w:r>
      <w:r>
        <w:rPr>
          <w:rFonts w:hint="eastAsia"/>
        </w:rPr>
        <w:t>建设项目，养护工程项目</w:t>
      </w:r>
      <w:r>
        <w:rPr>
          <w:rFonts w:hint="eastAsia"/>
          <w:lang w:eastAsia="zh-CN"/>
        </w:rPr>
        <w:t>的</w:t>
      </w:r>
      <w:r>
        <w:rPr>
          <w:rFonts w:hint="eastAsia"/>
          <w:lang w:val="en-US" w:eastAsia="zh-CN"/>
        </w:rPr>
        <w:t>工程量清单应</w:t>
      </w:r>
      <w:r>
        <w:rPr>
          <w:rFonts w:hint="eastAsia"/>
        </w:rPr>
        <w:t>参照</w:t>
      </w:r>
      <w:r>
        <w:rPr>
          <w:rFonts w:hint="eastAsia"/>
          <w:lang w:val="en-US" w:eastAsia="zh-CN"/>
        </w:rPr>
        <w:t>执行</w:t>
      </w:r>
    </w:p>
  </w:footnote>
  <w:footnote w:id="53">
    <w:p w14:paraId="126D06F2">
      <w:pPr>
        <w:pStyle w:val="30"/>
        <w:ind w:left="210" w:hanging="210"/>
        <w:rPr>
          <w:rFonts w:hint="eastAsia"/>
          <w:lang w:eastAsia="zh-CN"/>
        </w:rPr>
      </w:pPr>
      <w:r>
        <w:rPr>
          <w:rStyle w:val="47"/>
        </w:rPr>
        <w:footnoteRef/>
      </w:r>
      <w:r>
        <w:t xml:space="preserve"> </w:t>
      </w:r>
      <w:r>
        <w:rPr>
          <w:rFonts w:hint="eastAsia"/>
          <w:lang w:eastAsia="zh-CN"/>
        </w:rPr>
        <w:t>暂列金额的设置不宜超过工程量清单</w:t>
      </w:r>
      <w:r>
        <w:rPr>
          <w:szCs w:val="21"/>
        </w:rPr>
        <w:t>第100章</w:t>
      </w:r>
      <w:r>
        <w:rPr>
          <w:rFonts w:hint="eastAsia"/>
          <w:szCs w:val="21"/>
          <w:lang w:eastAsia="zh-CN"/>
        </w:rPr>
        <w:t>~</w:t>
      </w:r>
      <w:r>
        <w:rPr>
          <w:szCs w:val="21"/>
        </w:rPr>
        <w:t>700章合计金额的</w:t>
      </w:r>
      <w:r>
        <w:rPr>
          <w:rFonts w:hint="eastAsia"/>
          <w:szCs w:val="21"/>
          <w:lang w:eastAsia="zh-CN"/>
        </w:rPr>
        <w:t>3%。</w:t>
      </w:r>
    </w:p>
  </w:footnote>
  <w:footnote w:id="54">
    <w:p w14:paraId="6633A2D5">
      <w:pPr>
        <w:widowControl w:val="0"/>
        <w:adjustRightInd w:val="0"/>
        <w:snapToGrid w:val="0"/>
        <w:spacing w:line="240" w:lineRule="auto"/>
        <w:ind w:left="126" w:hanging="147" w:hangingChars="70"/>
        <w:jc w:val="both"/>
        <w:textAlignment w:val="baseline"/>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详见《公路工程标准施工招标文件》（2018年版第</w:t>
      </w:r>
      <w:r>
        <w:rPr>
          <w:rFonts w:hint="eastAsia" w:cs="Times New Roman"/>
          <w:kern w:val="0"/>
          <w:sz w:val="18"/>
          <w:szCs w:val="20"/>
          <w:lang w:val="en-US" w:eastAsia="zh-CN" w:bidi="ar-SA"/>
        </w:rPr>
        <w:t>二</w:t>
      </w:r>
      <w:r>
        <w:rPr>
          <w:rFonts w:hint="eastAsia" w:ascii="Times New Roman" w:hAnsi="Times New Roman" w:eastAsia="宋体" w:cs="Times New Roman"/>
          <w:kern w:val="0"/>
          <w:sz w:val="18"/>
          <w:szCs w:val="20"/>
          <w:lang w:val="en-US" w:eastAsia="zh-CN" w:bidi="ar-SA"/>
        </w:rPr>
        <w:t>册），</w:t>
      </w:r>
      <w:r>
        <w:rPr>
          <w:rFonts w:ascii="Times New Roman" w:hAnsi="Times New Roman" w:eastAsia="宋体" w:cs="Times New Roman"/>
          <w:kern w:val="0"/>
          <w:sz w:val="18"/>
          <w:szCs w:val="20"/>
          <w:lang w:val="en-US" w:eastAsia="zh-CN" w:bidi="ar-SA"/>
        </w:rPr>
        <w:t>招标人或</w:t>
      </w:r>
      <w:r>
        <w:rPr>
          <w:rFonts w:hint="eastAsia" w:ascii="Times New Roman" w:hAnsi="Times New Roman" w:eastAsia="宋体" w:cs="Times New Roman"/>
          <w:kern w:val="0"/>
          <w:sz w:val="18"/>
          <w:szCs w:val="20"/>
          <w:lang w:val="en-US" w:eastAsia="zh-CN" w:bidi="ar-SA"/>
        </w:rPr>
        <w:t>招标人</w:t>
      </w:r>
      <w:r>
        <w:rPr>
          <w:rFonts w:ascii="Times New Roman" w:hAnsi="Times New Roman" w:eastAsia="宋体" w:cs="Times New Roman"/>
          <w:kern w:val="0"/>
          <w:sz w:val="18"/>
          <w:szCs w:val="20"/>
          <w:lang w:val="en-US" w:eastAsia="zh-CN" w:bidi="ar-SA"/>
        </w:rPr>
        <w:t>委托的</w:t>
      </w:r>
      <w:r>
        <w:rPr>
          <w:rFonts w:hint="eastAsia" w:ascii="Times New Roman" w:hAnsi="Times New Roman" w:eastAsia="宋体" w:cs="Times New Roman"/>
          <w:kern w:val="0"/>
          <w:sz w:val="18"/>
          <w:szCs w:val="20"/>
          <w:lang w:val="en-US" w:eastAsia="zh-CN" w:bidi="ar-SA"/>
        </w:rPr>
        <w:t>咨询</w:t>
      </w:r>
      <w:r>
        <w:rPr>
          <w:rFonts w:ascii="Times New Roman" w:hAnsi="Times New Roman" w:eastAsia="宋体" w:cs="Times New Roman"/>
          <w:kern w:val="0"/>
          <w:sz w:val="18"/>
          <w:szCs w:val="20"/>
          <w:lang w:val="en-US" w:eastAsia="zh-CN" w:bidi="ar-SA"/>
        </w:rPr>
        <w:t>单位</w:t>
      </w:r>
      <w:r>
        <w:rPr>
          <w:rFonts w:hint="eastAsia" w:ascii="Times New Roman" w:hAnsi="Times New Roman" w:eastAsia="宋体" w:cs="Times New Roman"/>
          <w:kern w:val="0"/>
          <w:sz w:val="18"/>
          <w:szCs w:val="20"/>
          <w:lang w:val="en-US" w:eastAsia="zh-CN" w:bidi="ar-SA"/>
        </w:rPr>
        <w:t>可</w:t>
      </w:r>
      <w:r>
        <w:rPr>
          <w:rFonts w:ascii="Times New Roman" w:hAnsi="Times New Roman" w:eastAsia="宋体" w:cs="Times New Roman"/>
          <w:kern w:val="0"/>
          <w:sz w:val="18"/>
          <w:szCs w:val="20"/>
          <w:lang w:val="en-US" w:eastAsia="zh-CN" w:bidi="ar-SA"/>
        </w:rPr>
        <w:t>依据招标图纸文件，按照交通运输部《公路工程标准施工招标文件》“第七章 技术规范”、“第八章 工程量清单计量规则”中相关规定，根据项目特点和实际情况进行编制，向投标人免费提供下载。</w:t>
      </w:r>
    </w:p>
  </w:footnote>
  <w:footnote w:id="55">
    <w:p w14:paraId="10BF0FCB">
      <w:pPr>
        <w:widowControl w:val="0"/>
        <w:adjustRightInd w:val="0"/>
        <w:snapToGrid w:val="0"/>
        <w:spacing w:line="240" w:lineRule="auto"/>
        <w:ind w:left="126" w:hanging="147" w:hangingChars="70"/>
        <w:jc w:val="both"/>
        <w:textAlignment w:val="baseline"/>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详见《公路工程标准施工招标文件》（2018年版第三册），</w:t>
      </w:r>
      <w:r>
        <w:rPr>
          <w:rFonts w:ascii="Times New Roman" w:hAnsi="Times New Roman" w:eastAsia="宋体" w:cs="Times New Roman"/>
          <w:kern w:val="0"/>
          <w:sz w:val="18"/>
          <w:szCs w:val="20"/>
          <w:lang w:val="en-US" w:eastAsia="zh-CN" w:bidi="ar-SA"/>
        </w:rPr>
        <w:t>招标人或</w:t>
      </w:r>
      <w:r>
        <w:rPr>
          <w:rFonts w:hint="eastAsia" w:ascii="Times New Roman" w:hAnsi="Times New Roman" w:eastAsia="宋体" w:cs="Times New Roman"/>
          <w:kern w:val="0"/>
          <w:sz w:val="18"/>
          <w:szCs w:val="20"/>
          <w:lang w:val="en-US" w:eastAsia="zh-CN" w:bidi="ar-SA"/>
        </w:rPr>
        <w:t>招标人</w:t>
      </w:r>
      <w:r>
        <w:rPr>
          <w:rFonts w:ascii="Times New Roman" w:hAnsi="Times New Roman" w:eastAsia="宋体" w:cs="Times New Roman"/>
          <w:kern w:val="0"/>
          <w:sz w:val="18"/>
          <w:szCs w:val="20"/>
          <w:lang w:val="en-US" w:eastAsia="zh-CN" w:bidi="ar-SA"/>
        </w:rPr>
        <w:t>委托的</w:t>
      </w:r>
      <w:r>
        <w:rPr>
          <w:rFonts w:hint="eastAsia" w:ascii="Times New Roman" w:hAnsi="Times New Roman" w:eastAsia="宋体" w:cs="Times New Roman"/>
          <w:kern w:val="0"/>
          <w:sz w:val="18"/>
          <w:szCs w:val="20"/>
          <w:lang w:val="en-US" w:eastAsia="zh-CN" w:bidi="ar-SA"/>
        </w:rPr>
        <w:t>咨询</w:t>
      </w:r>
      <w:r>
        <w:rPr>
          <w:rFonts w:ascii="Times New Roman" w:hAnsi="Times New Roman" w:eastAsia="宋体" w:cs="Times New Roman"/>
          <w:kern w:val="0"/>
          <w:sz w:val="18"/>
          <w:szCs w:val="20"/>
          <w:lang w:val="en-US" w:eastAsia="zh-CN" w:bidi="ar-SA"/>
        </w:rPr>
        <w:t>单位</w:t>
      </w:r>
      <w:r>
        <w:rPr>
          <w:rFonts w:hint="eastAsia" w:ascii="Times New Roman" w:hAnsi="Times New Roman" w:eastAsia="宋体" w:cs="Times New Roman"/>
          <w:kern w:val="0"/>
          <w:sz w:val="18"/>
          <w:szCs w:val="20"/>
          <w:lang w:val="en-US" w:eastAsia="zh-CN" w:bidi="ar-SA"/>
        </w:rPr>
        <w:t>可</w:t>
      </w:r>
      <w:r>
        <w:rPr>
          <w:rFonts w:ascii="Times New Roman" w:hAnsi="Times New Roman" w:eastAsia="宋体" w:cs="Times New Roman"/>
          <w:kern w:val="0"/>
          <w:sz w:val="18"/>
          <w:szCs w:val="20"/>
          <w:lang w:val="en-US" w:eastAsia="zh-CN" w:bidi="ar-SA"/>
        </w:rPr>
        <w:t>依据招标图纸文件，按照交通运输部《公路工程标准施工招标文件》“第七章 技术规范”、“第八章 工程量清单计量规则”中相关规定，根据项目特点和实际情况进行编制，向投标人免费提供下载。</w:t>
      </w:r>
    </w:p>
  </w:footnote>
  <w:footnote w:id="56">
    <w:p w14:paraId="5D52AF59">
      <w:pPr>
        <w:pStyle w:val="30"/>
        <w:ind w:left="210" w:hanging="210"/>
        <w:rPr>
          <w:rFonts w:hint="eastAsia"/>
          <w:szCs w:val="18"/>
        </w:rPr>
      </w:pPr>
      <w:r>
        <w:rPr>
          <w:rStyle w:val="47"/>
          <w:szCs w:val="18"/>
        </w:rPr>
        <w:footnoteRef/>
      </w:r>
      <w:r>
        <w:rPr>
          <w:rFonts w:hint="eastAsia"/>
          <w:szCs w:val="18"/>
        </w:rPr>
        <w:t xml:space="preserve"> 招标人可结合招标项目具体特点和实际需要，对本章内容进行补充、细化。</w:t>
      </w:r>
    </w:p>
  </w:footnote>
  <w:footnote w:id="57">
    <w:p w14:paraId="1EFD6949">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w:t>
      </w:r>
      <w:r>
        <w:rPr>
          <w:rFonts w:hAnsi="宋体"/>
          <w:szCs w:val="18"/>
        </w:rPr>
        <w:t>本</w:t>
      </w:r>
      <w:r>
        <w:rPr>
          <w:rFonts w:hint="eastAsia" w:hAnsi="宋体"/>
          <w:szCs w:val="18"/>
          <w:lang w:eastAsia="zh-CN"/>
        </w:rPr>
        <w:t>条款</w:t>
      </w:r>
      <w:r>
        <w:rPr>
          <w:rFonts w:hAnsi="宋体"/>
          <w:szCs w:val="18"/>
        </w:rPr>
        <w:t>不适用于已按资格招标文件要求提供了其他管理和技术人员</w:t>
      </w:r>
      <w:r>
        <w:rPr>
          <w:rFonts w:hint="eastAsia" w:hAnsi="宋体"/>
          <w:szCs w:val="18"/>
        </w:rPr>
        <w:t>、</w:t>
      </w:r>
      <w:r>
        <w:rPr>
          <w:rFonts w:hAnsi="宋体"/>
          <w:szCs w:val="18"/>
        </w:rPr>
        <w:t>主要机械设备和试验检测设备的</w:t>
      </w:r>
      <w:r>
        <w:rPr>
          <w:rFonts w:hint="eastAsia" w:hAnsi="宋体"/>
          <w:szCs w:val="18"/>
        </w:rPr>
        <w:t>项目。</w:t>
      </w:r>
    </w:p>
  </w:footnote>
  <w:footnote w:id="58">
    <w:p w14:paraId="5DF9C02F">
      <w:pPr>
        <w:pStyle w:val="30"/>
        <w:spacing w:line="300" w:lineRule="atLeast"/>
        <w:ind w:left="180" w:hanging="210" w:hangingChars="100"/>
        <w:rPr>
          <w:szCs w:val="18"/>
        </w:rPr>
      </w:pPr>
      <w:r>
        <w:rPr>
          <w:rStyle w:val="47"/>
          <w:kern w:val="2"/>
          <w:sz w:val="21"/>
          <w:szCs w:val="18"/>
        </w:rPr>
        <w:footnoteRef/>
      </w:r>
      <w:r>
        <w:rPr>
          <w:szCs w:val="18"/>
        </w:rPr>
        <w:t xml:space="preserve"> </w:t>
      </w:r>
      <w:r>
        <w:rPr>
          <w:rFonts w:hint="eastAsia"/>
          <w:szCs w:val="18"/>
          <w:lang w:val="en-US" w:eastAsia="zh-CN"/>
        </w:rPr>
        <w:t>若联合体协议书采用线下签署方式，投标人应</w:t>
      </w:r>
      <w:r>
        <w:rPr>
          <w:rFonts w:hint="eastAsia"/>
          <w:szCs w:val="18"/>
        </w:rPr>
        <w:t>附</w:t>
      </w:r>
      <w:r>
        <w:rPr>
          <w:rFonts w:hint="eastAsia"/>
          <w:szCs w:val="18"/>
          <w:lang w:val="en-US" w:eastAsia="zh-CN"/>
        </w:rPr>
        <w:t>所有成员签字盖章后的</w:t>
      </w:r>
      <w:r>
        <w:rPr>
          <w:rFonts w:hint="eastAsia"/>
          <w:szCs w:val="18"/>
        </w:rPr>
        <w:t>联合体协议书</w:t>
      </w:r>
      <w:r>
        <w:rPr>
          <w:rFonts w:hint="eastAsia"/>
          <w:szCs w:val="18"/>
          <w:lang w:val="en-US" w:eastAsia="zh-CN"/>
        </w:rPr>
        <w:t>原件扫描件</w:t>
      </w:r>
      <w:r>
        <w:rPr>
          <w:rFonts w:hint="eastAsia"/>
          <w:szCs w:val="18"/>
          <w:highlight w:val="none"/>
          <w:lang w:val="en-US" w:eastAsia="zh-CN"/>
        </w:rPr>
        <w:t>。</w:t>
      </w:r>
    </w:p>
  </w:footnote>
  <w:footnote w:id="59">
    <w:p w14:paraId="7B03FED2">
      <w:pPr>
        <w:pStyle w:val="30"/>
        <w:snapToGrid w:val="0"/>
        <w:ind w:firstLine="0"/>
        <w:rPr>
          <w:rFonts w:hint="default" w:eastAsia="宋体"/>
          <w:lang w:val="en-US" w:eastAsia="zh-CN"/>
        </w:rPr>
      </w:pPr>
      <w:r>
        <w:rPr>
          <w:rStyle w:val="47"/>
        </w:rPr>
        <w:footnoteRef/>
      </w:r>
      <w:r>
        <w:t xml:space="preserve"> </w:t>
      </w:r>
      <w:r>
        <w:rPr>
          <w:rFonts w:hint="eastAsia"/>
          <w:lang w:val="en-US" w:eastAsia="zh-CN"/>
        </w:rPr>
        <w:t>牵头人承担施工的份额不得低于联合体其他成员。</w:t>
      </w:r>
    </w:p>
  </w:footnote>
  <w:footnote w:id="60">
    <w:p w14:paraId="75988817">
      <w:pPr>
        <w:pStyle w:val="30"/>
        <w:spacing w:line="300" w:lineRule="atLeast"/>
        <w:ind w:left="180" w:hanging="180" w:hangingChars="100"/>
        <w:rPr>
          <w:rFonts w:hint="eastAsia" w:ascii="宋体-18030" w:hAnsi="宋体-18030" w:eastAsia="宋体-18030" w:cs="宋体-18030"/>
          <w:szCs w:val="18"/>
        </w:rPr>
      </w:pPr>
      <w:r>
        <w:rPr>
          <w:rStyle w:val="47"/>
          <w:rFonts w:ascii="宋体-18030" w:hAnsi="宋体-18030" w:eastAsia="宋体-18030" w:cs="宋体-18030"/>
          <w:szCs w:val="18"/>
        </w:rPr>
        <w:footnoteRef/>
      </w:r>
      <w:r>
        <w:rPr>
          <w:rFonts w:hint="eastAsia"/>
          <w:szCs w:val="18"/>
        </w:rPr>
        <w:t xml:space="preserve"> 招标人要求投标人提供银行信贷证明是为了避免投标人中标后因流动资金不足而影响工程施工，招标人可根据招标项目具体特点和实际情况选择是否要求投标人提供银行信贷证明。如采用银行信贷证明，</w:t>
      </w:r>
      <w:r>
        <w:rPr>
          <w:rFonts w:hint="eastAsia" w:ascii="宋体" w:hAnsi="宋体" w:cs="宋体-18030"/>
          <w:szCs w:val="18"/>
        </w:rPr>
        <w:t>招标人应在此规定开具信贷证明的银行级别。</w:t>
      </w:r>
    </w:p>
  </w:footnote>
  <w:footnote w:id="61">
    <w:p w14:paraId="7B05DDBF">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62">
    <w:p w14:paraId="0EB27F2C">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63">
    <w:p w14:paraId="584722E4">
      <w:pPr>
        <w:pStyle w:val="30"/>
        <w:ind w:firstLine="0"/>
        <w:jc w:val="both"/>
        <w:rPr>
          <w:rFonts w:hint="eastAsia" w:ascii="宋体" w:hAnsi="宋体"/>
          <w:sz w:val="21"/>
          <w:szCs w:val="21"/>
        </w:rPr>
      </w:pPr>
      <w:r>
        <w:rPr>
          <w:rStyle w:val="47"/>
          <w:rFonts w:ascii="宋体" w:hAnsi="宋体"/>
        </w:rPr>
        <w:footnoteRef/>
      </w:r>
      <w:r>
        <w:rPr>
          <w:rFonts w:hint="eastAsia" w:ascii="宋体" w:hAnsi="宋体"/>
          <w:szCs w:val="18"/>
          <w:lang w:eastAsia="zh-CN"/>
        </w:rPr>
        <w:t xml:space="preserve"> </w:t>
      </w:r>
      <w:r>
        <w:rPr>
          <w:rFonts w:hint="eastAsia" w:ascii="宋体" w:hAnsi="宋体"/>
          <w:szCs w:val="18"/>
        </w:rPr>
        <w:t>本表仅适用于特别复杂的特大桥梁和特长隧道项目主体工程以及其他有特殊要求的工程。</w:t>
      </w:r>
    </w:p>
  </w:footnote>
  <w:footnote w:id="64">
    <w:p w14:paraId="1D02DD29">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65">
    <w:p w14:paraId="164982FA">
      <w:pPr>
        <w:widowControl w:val="0"/>
        <w:adjustRightInd w:val="0"/>
        <w:snapToGrid w:val="0"/>
        <w:spacing w:line="420" w:lineRule="atLeast"/>
        <w:ind w:firstLine="454"/>
        <w:jc w:val="left"/>
        <w:textAlignment w:val="baseline"/>
        <w:rPr>
          <w:rFonts w:hint="default"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zh-CN" w:eastAsia="zh-CN" w:bidi="ar-SA"/>
        </w:rPr>
        <w:t xml:space="preserve"> </w:t>
      </w:r>
      <w:r>
        <w:rPr>
          <w:rFonts w:hint="eastAsia" w:ascii="Times New Roman" w:hAnsi="Times New Roman" w:eastAsia="宋体" w:cs="Times New Roman"/>
          <w:kern w:val="0"/>
          <w:sz w:val="18"/>
          <w:szCs w:val="20"/>
          <w:lang w:val="en-US" w:eastAsia="zh-CN" w:bidi="ar-SA"/>
        </w:rPr>
        <w:t>若本次招标接受联合体投标，以联合体形式参与投标的投标人，联合体各成员应分别填写信息。</w:t>
      </w:r>
    </w:p>
  </w:footnote>
  <w:footnote w:id="66">
    <w:p w14:paraId="409E4C88">
      <w:pPr>
        <w:pStyle w:val="30"/>
        <w:spacing w:line="300" w:lineRule="atLeast"/>
        <w:ind w:firstLine="0"/>
        <w:rPr>
          <w:rFonts w:hint="eastAsia"/>
          <w:szCs w:val="18"/>
        </w:rPr>
      </w:pPr>
      <w:r>
        <w:rPr>
          <w:rStyle w:val="47"/>
          <w:szCs w:val="18"/>
        </w:rPr>
        <w:footnoteRef/>
      </w:r>
      <w:r>
        <w:rPr>
          <w:rFonts w:hint="eastAsia"/>
          <w:szCs w:val="18"/>
        </w:rPr>
        <w:t xml:space="preserve"> 一般情况下招标人应不接受调价函。</w:t>
      </w:r>
    </w:p>
  </w:footnote>
  <w:footnote w:id="67">
    <w:p w14:paraId="7852D78B">
      <w:pPr>
        <w:pStyle w:val="30"/>
        <w:spacing w:line="300" w:lineRule="atLeast"/>
        <w:ind w:left="180" w:hanging="180" w:hangingChars="100"/>
        <w:rPr>
          <w:rFonts w:hint="eastAsia"/>
          <w:szCs w:val="18"/>
        </w:rPr>
      </w:pPr>
      <w:r>
        <w:rPr>
          <w:rStyle w:val="47"/>
          <w:szCs w:val="18"/>
        </w:rPr>
        <w:footnoteRef/>
      </w:r>
      <w:r>
        <w:rPr>
          <w:szCs w:val="18"/>
        </w:rPr>
        <w:t xml:space="preserve"> </w:t>
      </w:r>
      <w:r>
        <w:rPr>
          <w:rFonts w:hint="eastAsia" w:ascii="宋体" w:hAnsi="宋体"/>
          <w:szCs w:val="18"/>
        </w:rPr>
        <w:t>调价后的工程量清单</w:t>
      </w:r>
      <w:r>
        <w:rPr>
          <w:rFonts w:ascii="宋体" w:hAnsi="宋体"/>
          <w:szCs w:val="18"/>
        </w:rPr>
        <w:t>包括工程量清单说明、投标报价说明、计日工说明、其他说明及工程量清单各</w:t>
      </w:r>
      <w:r>
        <w:rPr>
          <w:rFonts w:hAnsi="宋体"/>
          <w:szCs w:val="18"/>
        </w:rPr>
        <w:t>项表格（工程量清单表</w:t>
      </w:r>
      <w:r>
        <w:rPr>
          <w:szCs w:val="18"/>
        </w:rPr>
        <w:t>5.1~</w:t>
      </w:r>
      <w:r>
        <w:rPr>
          <w:rFonts w:hAnsi="宋体"/>
          <w:szCs w:val="18"/>
        </w:rPr>
        <w:t>表</w:t>
      </w:r>
      <w:r>
        <w:rPr>
          <w:szCs w:val="18"/>
        </w:rPr>
        <w:t>5.5）</w:t>
      </w:r>
      <w:r>
        <w:rPr>
          <w:rFonts w:hAnsi="宋体"/>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03D8A">
    <w:pPr>
      <w:pStyle w:val="27"/>
      <w:pBdr>
        <w:bottom w:val="none" w:color="auto" w:sz="0" w:space="0"/>
      </w:pBdr>
      <w:tabs>
        <w:tab w:val="left" w:pos="464"/>
        <w:tab w:val="center" w:pos="4397"/>
        <w:tab w:val="right" w:pos="8675"/>
        <w:tab w:val="clear" w:pos="8306"/>
      </w:tabs>
      <w:jc w:val="left"/>
      <w:rPr>
        <w:u w:val="single"/>
      </w:rPr>
    </w:pPr>
    <w:r>
      <w:rPr>
        <w:rFonts w:hint="eastAsia" w:eastAsia="黑体" w:cs="Times New Roman"/>
        <w:sz w:val="20"/>
        <w:szCs w:val="21"/>
        <w:u w:val="single"/>
        <w:lang w:eastAsia="zh-CN"/>
      </w:rPr>
      <w:t>辽宁省公路工程标准施工电子招标文件（2025年版）</w:t>
    </w:r>
    <w:r>
      <w:rPr>
        <w:rFonts w:hint="eastAsia" w:eastAsia="黑体" w:cs="Times New Roman"/>
        <w:sz w:val="20"/>
        <w:szCs w:val="21"/>
        <w:u w:val="single"/>
        <w:lang w:eastAsia="zh-C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6FBA3">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3C958F20">
    <w:pPr>
      <w:pStyle w:val="2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12C2">
    <w:pPr>
      <w:pStyle w:val="27"/>
      <w:jc w:val="left"/>
      <w:rPr>
        <w:rFonts w:hint="eastAsia" w:eastAsia="宋体"/>
        <w:u w:val="single"/>
        <w:lang w:eastAsia="zh-CN"/>
      </w:rPr>
    </w:pPr>
    <w:r>
      <w:rPr>
        <w:rFonts w:hint="eastAsia" w:eastAsia="黑体" w:cs="Times New Roman"/>
        <w:sz w:val="20"/>
        <w:szCs w:val="21"/>
        <w:u w:val="single"/>
        <w:lang w:eastAsia="zh-CN"/>
      </w:rPr>
      <w:t>辽宁省公路工程标准施工电子招标文件（2025年版）</w:t>
    </w:r>
  </w:p>
  <w:p w14:paraId="63835BE4">
    <w:pPr>
      <w:pStyle w:val="27"/>
      <w:rPr>
        <w:szCs w:val="17"/>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872F1">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28B51BF8">
    <w:pPr>
      <w:pStyle w:val="27"/>
    </w:pPr>
  </w:p>
  <w:p w14:paraId="4C11D0E5">
    <w:pPr>
      <w:pStyle w:val="27"/>
      <w:rPr>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EA5F0">
    <w:pPr>
      <w:pStyle w:val="27"/>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5A163">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81792"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28" name="任意多边形 28"/>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81792;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WPF3ZAAAADAEAAA8AAAAAAAAA&#10;AQAgAAAAIgAAAGRycy9kb3ducmV2LnhtbFBLAQIUABQAAAAIAIdO4kD0fVxlEAIAAHsEAAAOAAAA&#10;AAAAAAEAIAAAACgBAABkcnMvZTJvRG9jLnhtbFBLBQYAAAAABgAGAFkBAACqBQ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FEE12">
    <w:pPr>
      <w:pStyle w:val="27"/>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76ADA">
    <w:pPr>
      <w:pStyle w:val="27"/>
      <w:pBdr>
        <w:bottom w:val="single" w:color="auto" w:sz="4" w:space="0"/>
      </w:pBdr>
      <w:jc w:val="left"/>
      <w:rPr>
        <w:szCs w:val="17"/>
      </w:rPr>
    </w:pPr>
    <w:r>
      <w:rPr>
        <w:rFonts w:hint="eastAsia" w:eastAsia="黑体" w:cs="Times New Roman"/>
        <w:sz w:val="20"/>
        <w:szCs w:val="21"/>
        <w:lang w:eastAsia="zh-CN"/>
      </w:rPr>
      <w:t>辽宁省公路工程标准施工电子招标文件（2025年版）</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EC098">
    <w:pPr>
      <w:pStyle w:val="27"/>
      <w:pBdr>
        <w:bottom w:val="single" w:color="auto" w:sz="4" w:space="0"/>
      </w:pBdr>
      <w:wordWrap/>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E9C3">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03F4DB4A">
    <w:pPr>
      <w:pStyle w:val="2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E30F5">
    <w:pPr>
      <w:pStyle w:val="27"/>
      <w:pBdr>
        <w:bottom w:val="single" w:color="auto" w:sz="4" w:space="0"/>
      </w:pBdr>
      <w:jc w:val="left"/>
      <w:rPr>
        <w:szCs w:val="17"/>
      </w:rPr>
    </w:pPr>
    <w:r>
      <w:rPr>
        <w:rFonts w:hint="eastAsia" w:eastAsia="黑体" w:cs="Times New Roman"/>
        <w:sz w:val="20"/>
        <w:szCs w:val="21"/>
        <w:lang w:eastAsia="zh-CN"/>
      </w:rPr>
      <w:t>辽宁省公路工程标准施工电子招标文件（2025年版）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FC647">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48ABCB19">
    <w:pPr>
      <w:pStyle w:val="2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E5153">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7BDF4D8F">
    <w:pPr>
      <w:pStyle w:val="27"/>
      <w:rPr>
        <w:szCs w:val="17"/>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FC090">
    <w:pPr>
      <w:pStyle w:val="27"/>
      <w:wordWrap w:val="0"/>
      <w:jc w:val="right"/>
      <w:rPr>
        <w:sz w:val="17"/>
        <w:szCs w:val="17"/>
      </w:rPr>
    </w:pPr>
    <w:r>
      <w:rPr>
        <w:sz w:val="19"/>
        <w:szCs w:val="19"/>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175895</wp:posOffset>
              </wp:positionV>
              <wp:extent cx="5343525" cy="0"/>
              <wp:effectExtent l="0" t="22225" r="3175" b="28575"/>
              <wp:wrapNone/>
              <wp:docPr id="58" name="直接连接符 58"/>
              <wp:cNvGraphicFramePr/>
              <a:graphic xmlns:a="http://schemas.openxmlformats.org/drawingml/2006/main">
                <a:graphicData uri="http://schemas.microsoft.com/office/word/2010/wordprocessingShape">
                  <wps:wsp>
                    <wps:cNvCnPr/>
                    <wps:spPr>
                      <a:xfrm>
                        <a:off x="0" y="0"/>
                        <a:ext cx="5343525" cy="0"/>
                      </a:xfrm>
                      <a:prstGeom prst="line">
                        <a:avLst/>
                      </a:prstGeom>
                      <a:ln w="44450"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pt;margin-top:13.85pt;height:0pt;width:420.75pt;z-index:251661312;mso-width-relative:page;mso-height-relative:page;" filled="f" stroked="t" coordsize="21600,21600" o:gfxdata="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Vl97WAAAACAEAAA8AAAAAAAAAAQAgAAAAIgAAAGRycy9kb3ducmV2LnhtbFBL&#10;AQIUABQAAAAIAIdO4kCyjue5+AEAAO8DAAAOAAAAAAAAAAEAIAAAACUBAABkcnMvZTJvRG9jLnht&#10;bFBLBQYAAAAABgAGAFkBAACPBQAAAAA=&#10;">
              <v:fill on="f" focussize="0,0"/>
              <v:stroke weight="3.5pt" color="#000000" linestyle="thickThin" joinstyle="round"/>
              <v:imagedata o:title=""/>
              <o:lock v:ext="edit" aspectratio="f"/>
            </v:line>
          </w:pict>
        </mc:Fallback>
      </mc:AlternateContent>
    </w:r>
    <w:r>
      <w:rPr>
        <w:rFonts w:hint="eastAsia"/>
        <w:sz w:val="17"/>
        <w:szCs w:val="17"/>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A680">
    <w:pPr>
      <w:pStyle w:val="27"/>
      <w:pBdr>
        <w:bottom w:val="single" w:color="auto" w:sz="4" w:space="0"/>
      </w:pBdr>
      <w:wordWrap/>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54EF9">
    <w:pPr>
      <w:pStyle w:val="27"/>
      <w:wordWrap w:val="0"/>
      <w:ind w:right="315"/>
      <w:jc w:val="right"/>
      <w:rPr>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2BFE2">
    <w:pPr>
      <w:pStyle w:val="27"/>
      <w:pBdr>
        <w:bottom w:val="single" w:color="auto" w:sz="4" w:space="0"/>
      </w:pBdr>
      <w:jc w:val="left"/>
      <w:rPr>
        <w:rFonts w:hint="eastAsia" w:ascii="Times New Roman" w:hAnsi="Times New Roman" w:eastAsia="黑体" w:cs="Times New Roman"/>
        <w:sz w:val="20"/>
        <w:szCs w:val="21"/>
        <w:lang w:eastAsia="zh-CN"/>
      </w:rPr>
    </w:pPr>
    <w:r>
      <w:rPr>
        <w:rFonts w:hint="eastAsia" w:eastAsia="黑体" w:cs="Times New Roman"/>
        <w:sz w:val="20"/>
        <w:szCs w:val="21"/>
        <w:lang w:eastAsia="zh-CN"/>
      </w:rPr>
      <w:t>辽宁省公路工程标准施工电子招标文件（2025年版）</w:t>
    </w:r>
  </w:p>
  <w:p w14:paraId="5B99211C">
    <w:pPr>
      <w:pStyle w:val="27"/>
    </w:pPr>
  </w:p>
  <w:p w14:paraId="0BE5D19F">
    <w:pPr>
      <w:pStyle w:val="27"/>
      <w:wordWrap w:val="0"/>
      <w:ind w:right="315"/>
      <w:jc w:val="right"/>
      <w:rPr>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51ABC">
    <w:pPr>
      <w:pStyle w:val="27"/>
      <w:pBdr>
        <w:bottom w:val="single" w:color="auto" w:sz="4" w:space="0"/>
      </w:pBdr>
      <w:topLinePunct/>
      <w:spacing w:line="240" w:lineRule="atLeast"/>
      <w:ind w:right="0"/>
      <w:jc w:val="left"/>
      <w:rPr>
        <w:sz w:val="17"/>
        <w:szCs w:val="17"/>
      </w:rPr>
    </w:pPr>
    <w:r>
      <w:rPr>
        <w:rFonts w:hint="default" w:ascii="Times New Roman" w:hAnsi="Times New Roman" w:eastAsia="黑体" w:cs="Times New Roman"/>
        <w:sz w:val="20"/>
        <w:szCs w:val="21"/>
      </w:rPr>
      <w:t>辽宁省公路工程标准施工电子招标文件（</w:t>
    </w:r>
    <w:r>
      <w:rPr>
        <w:rFonts w:hint="eastAsia" w:eastAsia="黑体" w:cs="Times New Roman"/>
        <w:sz w:val="20"/>
        <w:szCs w:val="21"/>
        <w:lang w:eastAsia="zh-CN"/>
      </w:rPr>
      <w:t>2025年版</w:t>
    </w:r>
    <w:r>
      <w:rPr>
        <w:rFonts w:hint="default" w:ascii="Times New Roman" w:hAnsi="Times New Roman" w:eastAsia="黑体" w:cs="Times New Roman"/>
        <w:sz w:val="20"/>
        <w:szCs w:val="21"/>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84519">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4EF60988">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5EC2">
    <w:pPr>
      <w:pBdr>
        <w:bottom w:val="single" w:color="auto" w:sz="4" w:space="1"/>
      </w:pBdr>
      <w:topLinePunct/>
      <w:spacing w:line="240" w:lineRule="atLeast"/>
      <w:ind w:right="190"/>
      <w:jc w:val="left"/>
      <w:rPr>
        <w:rFonts w:hint="eastAsia" w:eastAsia="黑体"/>
        <w:sz w:val="17"/>
        <w:szCs w:val="17"/>
        <w:lang w:val="en-US" w:eastAsia="zh-CN"/>
      </w:rPr>
    </w:pPr>
    <w:r>
      <w:rPr>
        <w:rStyle w:val="52"/>
        <w:rFonts w:hint="eastAsia" w:eastAsia="黑体"/>
        <w:b w:val="0"/>
        <w:bCs w:val="0"/>
        <w:kern w:val="10"/>
        <w:sz w:val="22"/>
        <w:szCs w:val="22"/>
        <w:lang w:eastAsia="zh-CN"/>
      </w:rPr>
      <w:t>辽宁省公路工程标准施工电子招标文件（2025年版）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F4EA9">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6D45BB87">
    <w:pPr>
      <w:pStyle w:val="27"/>
    </w:pPr>
  </w:p>
  <w:p w14:paraId="4F940A40">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13E4">
    <w:pPr>
      <w:pStyle w:val="27"/>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8C048"/>
    <w:multiLevelType w:val="singleLevel"/>
    <w:tmpl w:val="AA78C048"/>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EnclosedCircleChinese"/>
    <w:numRestart w:val="eachPage"/>
    <w:footnote w:id="136"/>
    <w:footnote w:id="13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mZTQ4Y2Y2NGEzY2MxZDQyNGU0OThlOWNkMmVjZTMifQ=="/>
  </w:docVars>
  <w:rsids>
    <w:rsidRoot w:val="00183A6E"/>
    <w:rsid w:val="0000001F"/>
    <w:rsid w:val="0000015E"/>
    <w:rsid w:val="00000524"/>
    <w:rsid w:val="0000071E"/>
    <w:rsid w:val="00000EEC"/>
    <w:rsid w:val="000027F1"/>
    <w:rsid w:val="0000303A"/>
    <w:rsid w:val="00003C39"/>
    <w:rsid w:val="00003C73"/>
    <w:rsid w:val="00003F34"/>
    <w:rsid w:val="00004004"/>
    <w:rsid w:val="0000436D"/>
    <w:rsid w:val="00005158"/>
    <w:rsid w:val="00005781"/>
    <w:rsid w:val="00005AF8"/>
    <w:rsid w:val="0000601A"/>
    <w:rsid w:val="000060FE"/>
    <w:rsid w:val="000062A9"/>
    <w:rsid w:val="00006980"/>
    <w:rsid w:val="00006E02"/>
    <w:rsid w:val="0000700D"/>
    <w:rsid w:val="00007455"/>
    <w:rsid w:val="00007E1B"/>
    <w:rsid w:val="00010F5B"/>
    <w:rsid w:val="0001202A"/>
    <w:rsid w:val="0001267B"/>
    <w:rsid w:val="00012A9E"/>
    <w:rsid w:val="00012D09"/>
    <w:rsid w:val="000135D2"/>
    <w:rsid w:val="0001364D"/>
    <w:rsid w:val="00014EA1"/>
    <w:rsid w:val="000152F7"/>
    <w:rsid w:val="00015501"/>
    <w:rsid w:val="0001594C"/>
    <w:rsid w:val="00015B67"/>
    <w:rsid w:val="00015FF0"/>
    <w:rsid w:val="00016921"/>
    <w:rsid w:val="0001738A"/>
    <w:rsid w:val="000173A0"/>
    <w:rsid w:val="0001746B"/>
    <w:rsid w:val="000175A9"/>
    <w:rsid w:val="00017876"/>
    <w:rsid w:val="00017E9C"/>
    <w:rsid w:val="00020375"/>
    <w:rsid w:val="000207C2"/>
    <w:rsid w:val="00021472"/>
    <w:rsid w:val="0002185D"/>
    <w:rsid w:val="0002204B"/>
    <w:rsid w:val="00022E41"/>
    <w:rsid w:val="00023047"/>
    <w:rsid w:val="000234C8"/>
    <w:rsid w:val="00023529"/>
    <w:rsid w:val="00023703"/>
    <w:rsid w:val="000237C3"/>
    <w:rsid w:val="0002394B"/>
    <w:rsid w:val="00023E8C"/>
    <w:rsid w:val="00024283"/>
    <w:rsid w:val="00024371"/>
    <w:rsid w:val="00024D41"/>
    <w:rsid w:val="00025A82"/>
    <w:rsid w:val="00026423"/>
    <w:rsid w:val="000265D3"/>
    <w:rsid w:val="00026D2B"/>
    <w:rsid w:val="000272D1"/>
    <w:rsid w:val="0003009E"/>
    <w:rsid w:val="0003015B"/>
    <w:rsid w:val="000302DB"/>
    <w:rsid w:val="00030850"/>
    <w:rsid w:val="00030F00"/>
    <w:rsid w:val="00031249"/>
    <w:rsid w:val="000316B1"/>
    <w:rsid w:val="000318AC"/>
    <w:rsid w:val="00031A9B"/>
    <w:rsid w:val="0003252B"/>
    <w:rsid w:val="0003369F"/>
    <w:rsid w:val="000336A8"/>
    <w:rsid w:val="000339C0"/>
    <w:rsid w:val="00033BA1"/>
    <w:rsid w:val="00033CB7"/>
    <w:rsid w:val="00034A2F"/>
    <w:rsid w:val="0003557E"/>
    <w:rsid w:val="000357A5"/>
    <w:rsid w:val="00035836"/>
    <w:rsid w:val="00035C00"/>
    <w:rsid w:val="0003643A"/>
    <w:rsid w:val="0003653D"/>
    <w:rsid w:val="00036575"/>
    <w:rsid w:val="00036605"/>
    <w:rsid w:val="00036E8E"/>
    <w:rsid w:val="00037A32"/>
    <w:rsid w:val="000406C1"/>
    <w:rsid w:val="0004141C"/>
    <w:rsid w:val="00041598"/>
    <w:rsid w:val="0004179D"/>
    <w:rsid w:val="0004186E"/>
    <w:rsid w:val="0004197A"/>
    <w:rsid w:val="00041DCF"/>
    <w:rsid w:val="000426F6"/>
    <w:rsid w:val="0004298A"/>
    <w:rsid w:val="00042A06"/>
    <w:rsid w:val="00042F0B"/>
    <w:rsid w:val="00043269"/>
    <w:rsid w:val="00043437"/>
    <w:rsid w:val="00043481"/>
    <w:rsid w:val="00043722"/>
    <w:rsid w:val="00043BA4"/>
    <w:rsid w:val="00043BB1"/>
    <w:rsid w:val="00043D44"/>
    <w:rsid w:val="00044548"/>
    <w:rsid w:val="00045307"/>
    <w:rsid w:val="00045318"/>
    <w:rsid w:val="00045474"/>
    <w:rsid w:val="00045BF8"/>
    <w:rsid w:val="00046385"/>
    <w:rsid w:val="0004688A"/>
    <w:rsid w:val="000468D7"/>
    <w:rsid w:val="00046C0C"/>
    <w:rsid w:val="00046C6C"/>
    <w:rsid w:val="000470FD"/>
    <w:rsid w:val="00047E18"/>
    <w:rsid w:val="00047F50"/>
    <w:rsid w:val="0005001E"/>
    <w:rsid w:val="0005085F"/>
    <w:rsid w:val="00050A3B"/>
    <w:rsid w:val="00050A57"/>
    <w:rsid w:val="00050ACF"/>
    <w:rsid w:val="00050C5E"/>
    <w:rsid w:val="000519C9"/>
    <w:rsid w:val="00051D76"/>
    <w:rsid w:val="000528C6"/>
    <w:rsid w:val="00052AEB"/>
    <w:rsid w:val="0005336F"/>
    <w:rsid w:val="0005350A"/>
    <w:rsid w:val="0005365E"/>
    <w:rsid w:val="00054111"/>
    <w:rsid w:val="000555D9"/>
    <w:rsid w:val="00055AB6"/>
    <w:rsid w:val="00056868"/>
    <w:rsid w:val="000572A7"/>
    <w:rsid w:val="000603C4"/>
    <w:rsid w:val="000608B3"/>
    <w:rsid w:val="000615E4"/>
    <w:rsid w:val="000616D0"/>
    <w:rsid w:val="00061BC0"/>
    <w:rsid w:val="00061E21"/>
    <w:rsid w:val="00061FA0"/>
    <w:rsid w:val="00063161"/>
    <w:rsid w:val="00063B44"/>
    <w:rsid w:val="00063B57"/>
    <w:rsid w:val="00063E83"/>
    <w:rsid w:val="00063EAB"/>
    <w:rsid w:val="000643F2"/>
    <w:rsid w:val="0006462C"/>
    <w:rsid w:val="00064857"/>
    <w:rsid w:val="0006494A"/>
    <w:rsid w:val="00065384"/>
    <w:rsid w:val="0006548E"/>
    <w:rsid w:val="00065B0A"/>
    <w:rsid w:val="00065F8D"/>
    <w:rsid w:val="0006638C"/>
    <w:rsid w:val="000667E8"/>
    <w:rsid w:val="0007022C"/>
    <w:rsid w:val="0007037D"/>
    <w:rsid w:val="00070522"/>
    <w:rsid w:val="00070656"/>
    <w:rsid w:val="000706F5"/>
    <w:rsid w:val="00070FE7"/>
    <w:rsid w:val="000715D7"/>
    <w:rsid w:val="000716AB"/>
    <w:rsid w:val="00071B4F"/>
    <w:rsid w:val="00071B8A"/>
    <w:rsid w:val="00072643"/>
    <w:rsid w:val="0007269F"/>
    <w:rsid w:val="00072E36"/>
    <w:rsid w:val="00073431"/>
    <w:rsid w:val="00073C97"/>
    <w:rsid w:val="00074090"/>
    <w:rsid w:val="000740B0"/>
    <w:rsid w:val="0007425D"/>
    <w:rsid w:val="00074972"/>
    <w:rsid w:val="00074C68"/>
    <w:rsid w:val="00074D82"/>
    <w:rsid w:val="00074FF8"/>
    <w:rsid w:val="00075B9F"/>
    <w:rsid w:val="00076473"/>
    <w:rsid w:val="00076D26"/>
    <w:rsid w:val="00076F72"/>
    <w:rsid w:val="00076FD6"/>
    <w:rsid w:val="00077029"/>
    <w:rsid w:val="00077120"/>
    <w:rsid w:val="00077713"/>
    <w:rsid w:val="00077756"/>
    <w:rsid w:val="0007778E"/>
    <w:rsid w:val="00077EAC"/>
    <w:rsid w:val="000805BB"/>
    <w:rsid w:val="000808D7"/>
    <w:rsid w:val="00080DF4"/>
    <w:rsid w:val="00080E55"/>
    <w:rsid w:val="00080E94"/>
    <w:rsid w:val="0008123A"/>
    <w:rsid w:val="000814B2"/>
    <w:rsid w:val="00081A55"/>
    <w:rsid w:val="00083415"/>
    <w:rsid w:val="00083489"/>
    <w:rsid w:val="000845C3"/>
    <w:rsid w:val="00084744"/>
    <w:rsid w:val="0008478E"/>
    <w:rsid w:val="000849ED"/>
    <w:rsid w:val="00084C06"/>
    <w:rsid w:val="00085174"/>
    <w:rsid w:val="000858F1"/>
    <w:rsid w:val="00085B7E"/>
    <w:rsid w:val="00085E0C"/>
    <w:rsid w:val="00085E67"/>
    <w:rsid w:val="00085F8E"/>
    <w:rsid w:val="00086300"/>
    <w:rsid w:val="00086CB8"/>
    <w:rsid w:val="0008716E"/>
    <w:rsid w:val="00087B78"/>
    <w:rsid w:val="00087C4A"/>
    <w:rsid w:val="00090056"/>
    <w:rsid w:val="00090245"/>
    <w:rsid w:val="00090903"/>
    <w:rsid w:val="0009131C"/>
    <w:rsid w:val="000915D5"/>
    <w:rsid w:val="00091922"/>
    <w:rsid w:val="00091EF6"/>
    <w:rsid w:val="0009214B"/>
    <w:rsid w:val="000931C5"/>
    <w:rsid w:val="0009379A"/>
    <w:rsid w:val="00093BEA"/>
    <w:rsid w:val="000947D7"/>
    <w:rsid w:val="00094875"/>
    <w:rsid w:val="00094C83"/>
    <w:rsid w:val="00094FED"/>
    <w:rsid w:val="0009547B"/>
    <w:rsid w:val="00095BA8"/>
    <w:rsid w:val="00095BD6"/>
    <w:rsid w:val="00095F22"/>
    <w:rsid w:val="000972BB"/>
    <w:rsid w:val="00097DDB"/>
    <w:rsid w:val="000A01B9"/>
    <w:rsid w:val="000A0AFA"/>
    <w:rsid w:val="000A18E2"/>
    <w:rsid w:val="000A1D8C"/>
    <w:rsid w:val="000A2246"/>
    <w:rsid w:val="000A26A9"/>
    <w:rsid w:val="000A29C7"/>
    <w:rsid w:val="000A2A4A"/>
    <w:rsid w:val="000A2ACB"/>
    <w:rsid w:val="000A2AEF"/>
    <w:rsid w:val="000A2D88"/>
    <w:rsid w:val="000A31F5"/>
    <w:rsid w:val="000A3C9C"/>
    <w:rsid w:val="000A48DA"/>
    <w:rsid w:val="000A4951"/>
    <w:rsid w:val="000A4A47"/>
    <w:rsid w:val="000A5528"/>
    <w:rsid w:val="000A567A"/>
    <w:rsid w:val="000A5935"/>
    <w:rsid w:val="000A5CF1"/>
    <w:rsid w:val="000A5EFF"/>
    <w:rsid w:val="000A610F"/>
    <w:rsid w:val="000A627F"/>
    <w:rsid w:val="000A659F"/>
    <w:rsid w:val="000A6613"/>
    <w:rsid w:val="000A6891"/>
    <w:rsid w:val="000A6913"/>
    <w:rsid w:val="000A6A4C"/>
    <w:rsid w:val="000A6C53"/>
    <w:rsid w:val="000A7442"/>
    <w:rsid w:val="000A7B25"/>
    <w:rsid w:val="000A7E78"/>
    <w:rsid w:val="000B006E"/>
    <w:rsid w:val="000B070D"/>
    <w:rsid w:val="000B09DA"/>
    <w:rsid w:val="000B0F3E"/>
    <w:rsid w:val="000B24A3"/>
    <w:rsid w:val="000B24F4"/>
    <w:rsid w:val="000B286D"/>
    <w:rsid w:val="000B34E6"/>
    <w:rsid w:val="000B35A6"/>
    <w:rsid w:val="000B388D"/>
    <w:rsid w:val="000B389E"/>
    <w:rsid w:val="000B3922"/>
    <w:rsid w:val="000B3D2C"/>
    <w:rsid w:val="000B48BB"/>
    <w:rsid w:val="000B4953"/>
    <w:rsid w:val="000B4E6F"/>
    <w:rsid w:val="000B501B"/>
    <w:rsid w:val="000B513E"/>
    <w:rsid w:val="000B55F0"/>
    <w:rsid w:val="000B5FAF"/>
    <w:rsid w:val="000B6A50"/>
    <w:rsid w:val="000B6B21"/>
    <w:rsid w:val="000B6E09"/>
    <w:rsid w:val="000B75C5"/>
    <w:rsid w:val="000C0031"/>
    <w:rsid w:val="000C04FC"/>
    <w:rsid w:val="000C18B8"/>
    <w:rsid w:val="000C2010"/>
    <w:rsid w:val="000C2160"/>
    <w:rsid w:val="000C22FD"/>
    <w:rsid w:val="000C29B6"/>
    <w:rsid w:val="000C2BAB"/>
    <w:rsid w:val="000C32FE"/>
    <w:rsid w:val="000C3341"/>
    <w:rsid w:val="000C3414"/>
    <w:rsid w:val="000C36DC"/>
    <w:rsid w:val="000C3ADC"/>
    <w:rsid w:val="000C3DF6"/>
    <w:rsid w:val="000C3EEC"/>
    <w:rsid w:val="000C40AF"/>
    <w:rsid w:val="000C4363"/>
    <w:rsid w:val="000C473F"/>
    <w:rsid w:val="000C4C93"/>
    <w:rsid w:val="000C4E3A"/>
    <w:rsid w:val="000C532C"/>
    <w:rsid w:val="000C566F"/>
    <w:rsid w:val="000C5DFE"/>
    <w:rsid w:val="000C678C"/>
    <w:rsid w:val="000C697F"/>
    <w:rsid w:val="000C6B91"/>
    <w:rsid w:val="000C6DED"/>
    <w:rsid w:val="000C74BA"/>
    <w:rsid w:val="000C7B6F"/>
    <w:rsid w:val="000D0394"/>
    <w:rsid w:val="000D0506"/>
    <w:rsid w:val="000D0946"/>
    <w:rsid w:val="000D0ABC"/>
    <w:rsid w:val="000D0F21"/>
    <w:rsid w:val="000D12D1"/>
    <w:rsid w:val="000D19D3"/>
    <w:rsid w:val="000D1A37"/>
    <w:rsid w:val="000D1B0E"/>
    <w:rsid w:val="000D1BBD"/>
    <w:rsid w:val="000D2418"/>
    <w:rsid w:val="000D25F4"/>
    <w:rsid w:val="000D2739"/>
    <w:rsid w:val="000D2880"/>
    <w:rsid w:val="000D28FA"/>
    <w:rsid w:val="000D35F3"/>
    <w:rsid w:val="000D3D94"/>
    <w:rsid w:val="000D40D1"/>
    <w:rsid w:val="000D4177"/>
    <w:rsid w:val="000D4BFB"/>
    <w:rsid w:val="000D4CCF"/>
    <w:rsid w:val="000D4D62"/>
    <w:rsid w:val="000D4E80"/>
    <w:rsid w:val="000D5115"/>
    <w:rsid w:val="000D5765"/>
    <w:rsid w:val="000D57FA"/>
    <w:rsid w:val="000D5CCF"/>
    <w:rsid w:val="000D60F8"/>
    <w:rsid w:val="000D6ABE"/>
    <w:rsid w:val="000D6B3E"/>
    <w:rsid w:val="000D6CF7"/>
    <w:rsid w:val="000D7C93"/>
    <w:rsid w:val="000E05E0"/>
    <w:rsid w:val="000E0742"/>
    <w:rsid w:val="000E087A"/>
    <w:rsid w:val="000E0F59"/>
    <w:rsid w:val="000E0F8F"/>
    <w:rsid w:val="000E14FD"/>
    <w:rsid w:val="000E15CC"/>
    <w:rsid w:val="000E1BAC"/>
    <w:rsid w:val="000E1C9D"/>
    <w:rsid w:val="000E1D39"/>
    <w:rsid w:val="000E1E2A"/>
    <w:rsid w:val="000E1F2B"/>
    <w:rsid w:val="000E2216"/>
    <w:rsid w:val="000E2955"/>
    <w:rsid w:val="000E2BBA"/>
    <w:rsid w:val="000E3659"/>
    <w:rsid w:val="000E3A5C"/>
    <w:rsid w:val="000E4159"/>
    <w:rsid w:val="000E4316"/>
    <w:rsid w:val="000E4358"/>
    <w:rsid w:val="000E58C7"/>
    <w:rsid w:val="000E5ABE"/>
    <w:rsid w:val="000E5B50"/>
    <w:rsid w:val="000E66F7"/>
    <w:rsid w:val="000E6F28"/>
    <w:rsid w:val="000E7263"/>
    <w:rsid w:val="000E7387"/>
    <w:rsid w:val="000E751B"/>
    <w:rsid w:val="000E7614"/>
    <w:rsid w:val="000E7A3F"/>
    <w:rsid w:val="000E7BC6"/>
    <w:rsid w:val="000F0614"/>
    <w:rsid w:val="000F08A1"/>
    <w:rsid w:val="000F125B"/>
    <w:rsid w:val="000F18AD"/>
    <w:rsid w:val="000F219D"/>
    <w:rsid w:val="000F23BC"/>
    <w:rsid w:val="000F2EB8"/>
    <w:rsid w:val="000F2F8A"/>
    <w:rsid w:val="000F2FBE"/>
    <w:rsid w:val="000F34B1"/>
    <w:rsid w:val="000F3BC4"/>
    <w:rsid w:val="000F3E55"/>
    <w:rsid w:val="000F3EFB"/>
    <w:rsid w:val="000F48C0"/>
    <w:rsid w:val="000F5CC3"/>
    <w:rsid w:val="000F5ED0"/>
    <w:rsid w:val="000F6B5A"/>
    <w:rsid w:val="000F6DFE"/>
    <w:rsid w:val="000F7128"/>
    <w:rsid w:val="000F79B4"/>
    <w:rsid w:val="000F7FB7"/>
    <w:rsid w:val="0010009E"/>
    <w:rsid w:val="001000F9"/>
    <w:rsid w:val="001004F4"/>
    <w:rsid w:val="00101096"/>
    <w:rsid w:val="001012B9"/>
    <w:rsid w:val="00101462"/>
    <w:rsid w:val="0010183A"/>
    <w:rsid w:val="00101CB6"/>
    <w:rsid w:val="0010238C"/>
    <w:rsid w:val="00102510"/>
    <w:rsid w:val="00102585"/>
    <w:rsid w:val="0010271E"/>
    <w:rsid w:val="0010293D"/>
    <w:rsid w:val="001029A6"/>
    <w:rsid w:val="00102DC7"/>
    <w:rsid w:val="00103696"/>
    <w:rsid w:val="0010444F"/>
    <w:rsid w:val="001045E4"/>
    <w:rsid w:val="001046F1"/>
    <w:rsid w:val="001049F2"/>
    <w:rsid w:val="001053C2"/>
    <w:rsid w:val="00105799"/>
    <w:rsid w:val="00105F4B"/>
    <w:rsid w:val="001062B7"/>
    <w:rsid w:val="001064B4"/>
    <w:rsid w:val="0010678A"/>
    <w:rsid w:val="00106927"/>
    <w:rsid w:val="00106AB6"/>
    <w:rsid w:val="00106F6C"/>
    <w:rsid w:val="00111409"/>
    <w:rsid w:val="00111797"/>
    <w:rsid w:val="001117F2"/>
    <w:rsid w:val="00111946"/>
    <w:rsid w:val="00111966"/>
    <w:rsid w:val="00111CBB"/>
    <w:rsid w:val="0011236D"/>
    <w:rsid w:val="001123D8"/>
    <w:rsid w:val="00112B4A"/>
    <w:rsid w:val="00112E6E"/>
    <w:rsid w:val="00113540"/>
    <w:rsid w:val="00113D3F"/>
    <w:rsid w:val="001140AD"/>
    <w:rsid w:val="0011496D"/>
    <w:rsid w:val="00115546"/>
    <w:rsid w:val="001157AB"/>
    <w:rsid w:val="00115D86"/>
    <w:rsid w:val="00115EFE"/>
    <w:rsid w:val="0011640B"/>
    <w:rsid w:val="0011674E"/>
    <w:rsid w:val="00116C28"/>
    <w:rsid w:val="00116E0E"/>
    <w:rsid w:val="00116F83"/>
    <w:rsid w:val="001171B1"/>
    <w:rsid w:val="00117803"/>
    <w:rsid w:val="00117A3A"/>
    <w:rsid w:val="00120BCB"/>
    <w:rsid w:val="00121D54"/>
    <w:rsid w:val="00122B32"/>
    <w:rsid w:val="00122DD3"/>
    <w:rsid w:val="00122FC9"/>
    <w:rsid w:val="00123468"/>
    <w:rsid w:val="00123772"/>
    <w:rsid w:val="00123FBF"/>
    <w:rsid w:val="00124485"/>
    <w:rsid w:val="001247DB"/>
    <w:rsid w:val="0012509C"/>
    <w:rsid w:val="001251FF"/>
    <w:rsid w:val="00125420"/>
    <w:rsid w:val="0012551E"/>
    <w:rsid w:val="00127200"/>
    <w:rsid w:val="00127689"/>
    <w:rsid w:val="00127B5C"/>
    <w:rsid w:val="00130705"/>
    <w:rsid w:val="001309EA"/>
    <w:rsid w:val="00131930"/>
    <w:rsid w:val="00131AEF"/>
    <w:rsid w:val="001320D1"/>
    <w:rsid w:val="001321CB"/>
    <w:rsid w:val="0013292B"/>
    <w:rsid w:val="00132B16"/>
    <w:rsid w:val="00132D96"/>
    <w:rsid w:val="00133B3C"/>
    <w:rsid w:val="00133B60"/>
    <w:rsid w:val="001344FC"/>
    <w:rsid w:val="001348D0"/>
    <w:rsid w:val="00134B32"/>
    <w:rsid w:val="00134C18"/>
    <w:rsid w:val="00134C27"/>
    <w:rsid w:val="0013505A"/>
    <w:rsid w:val="001365B8"/>
    <w:rsid w:val="0014008F"/>
    <w:rsid w:val="0014069F"/>
    <w:rsid w:val="001406FD"/>
    <w:rsid w:val="00140804"/>
    <w:rsid w:val="00140A61"/>
    <w:rsid w:val="00140F0E"/>
    <w:rsid w:val="0014123A"/>
    <w:rsid w:val="00141966"/>
    <w:rsid w:val="00141D5D"/>
    <w:rsid w:val="00141E3A"/>
    <w:rsid w:val="001421E7"/>
    <w:rsid w:val="00142219"/>
    <w:rsid w:val="00142B3F"/>
    <w:rsid w:val="00142E68"/>
    <w:rsid w:val="0014306A"/>
    <w:rsid w:val="001434AA"/>
    <w:rsid w:val="00143C47"/>
    <w:rsid w:val="00143C48"/>
    <w:rsid w:val="00143C68"/>
    <w:rsid w:val="00143CF7"/>
    <w:rsid w:val="00143EA5"/>
    <w:rsid w:val="00144441"/>
    <w:rsid w:val="00144B21"/>
    <w:rsid w:val="001459F8"/>
    <w:rsid w:val="00145E6D"/>
    <w:rsid w:val="0014600B"/>
    <w:rsid w:val="0014658C"/>
    <w:rsid w:val="00146710"/>
    <w:rsid w:val="0014690F"/>
    <w:rsid w:val="00146989"/>
    <w:rsid w:val="00147A6D"/>
    <w:rsid w:val="00150F4D"/>
    <w:rsid w:val="00151038"/>
    <w:rsid w:val="00151A7F"/>
    <w:rsid w:val="00151F2E"/>
    <w:rsid w:val="00151FC8"/>
    <w:rsid w:val="001527C1"/>
    <w:rsid w:val="00152861"/>
    <w:rsid w:val="001535C8"/>
    <w:rsid w:val="00153DAB"/>
    <w:rsid w:val="00153DBD"/>
    <w:rsid w:val="0015423F"/>
    <w:rsid w:val="00155293"/>
    <w:rsid w:val="00155667"/>
    <w:rsid w:val="00155FC6"/>
    <w:rsid w:val="00156AD4"/>
    <w:rsid w:val="00157151"/>
    <w:rsid w:val="00157E52"/>
    <w:rsid w:val="001600C8"/>
    <w:rsid w:val="00160277"/>
    <w:rsid w:val="00160D73"/>
    <w:rsid w:val="0016205A"/>
    <w:rsid w:val="00162319"/>
    <w:rsid w:val="001623CE"/>
    <w:rsid w:val="00162541"/>
    <w:rsid w:val="001631FF"/>
    <w:rsid w:val="001639C4"/>
    <w:rsid w:val="0016425B"/>
    <w:rsid w:val="00164863"/>
    <w:rsid w:val="00164893"/>
    <w:rsid w:val="00164EDC"/>
    <w:rsid w:val="0016516B"/>
    <w:rsid w:val="001655A3"/>
    <w:rsid w:val="00165E5B"/>
    <w:rsid w:val="00166BD3"/>
    <w:rsid w:val="001675B1"/>
    <w:rsid w:val="00167A32"/>
    <w:rsid w:val="00167F63"/>
    <w:rsid w:val="00167F89"/>
    <w:rsid w:val="00170071"/>
    <w:rsid w:val="001701AF"/>
    <w:rsid w:val="001701DF"/>
    <w:rsid w:val="0017098D"/>
    <w:rsid w:val="00170CF8"/>
    <w:rsid w:val="00170DD7"/>
    <w:rsid w:val="00171326"/>
    <w:rsid w:val="00171A81"/>
    <w:rsid w:val="00171EEA"/>
    <w:rsid w:val="001722A2"/>
    <w:rsid w:val="00172ECE"/>
    <w:rsid w:val="00173F8F"/>
    <w:rsid w:val="00174C65"/>
    <w:rsid w:val="0017537A"/>
    <w:rsid w:val="001755A3"/>
    <w:rsid w:val="00175C51"/>
    <w:rsid w:val="00175F34"/>
    <w:rsid w:val="00175F61"/>
    <w:rsid w:val="0017601A"/>
    <w:rsid w:val="0017609D"/>
    <w:rsid w:val="0017610F"/>
    <w:rsid w:val="00176668"/>
    <w:rsid w:val="00176EED"/>
    <w:rsid w:val="00177050"/>
    <w:rsid w:val="00177857"/>
    <w:rsid w:val="00177F61"/>
    <w:rsid w:val="001801E3"/>
    <w:rsid w:val="00180461"/>
    <w:rsid w:val="00180BD9"/>
    <w:rsid w:val="001819F4"/>
    <w:rsid w:val="00181DE7"/>
    <w:rsid w:val="0018299C"/>
    <w:rsid w:val="00182E08"/>
    <w:rsid w:val="00182EE9"/>
    <w:rsid w:val="0018342A"/>
    <w:rsid w:val="00183553"/>
    <w:rsid w:val="001836B7"/>
    <w:rsid w:val="00183A6E"/>
    <w:rsid w:val="00183AA1"/>
    <w:rsid w:val="00183B15"/>
    <w:rsid w:val="001844D0"/>
    <w:rsid w:val="00184660"/>
    <w:rsid w:val="00184741"/>
    <w:rsid w:val="00185557"/>
    <w:rsid w:val="00185C87"/>
    <w:rsid w:val="00185CA1"/>
    <w:rsid w:val="00185F3E"/>
    <w:rsid w:val="001861A7"/>
    <w:rsid w:val="001861EF"/>
    <w:rsid w:val="001867B8"/>
    <w:rsid w:val="001868CE"/>
    <w:rsid w:val="00186DA8"/>
    <w:rsid w:val="0018784D"/>
    <w:rsid w:val="00187F1D"/>
    <w:rsid w:val="00190010"/>
    <w:rsid w:val="0019028F"/>
    <w:rsid w:val="001907E8"/>
    <w:rsid w:val="00191065"/>
    <w:rsid w:val="001914A6"/>
    <w:rsid w:val="00191DE6"/>
    <w:rsid w:val="00192400"/>
    <w:rsid w:val="0019254B"/>
    <w:rsid w:val="0019378D"/>
    <w:rsid w:val="00194424"/>
    <w:rsid w:val="00195B3D"/>
    <w:rsid w:val="00195EE2"/>
    <w:rsid w:val="00196648"/>
    <w:rsid w:val="0019679B"/>
    <w:rsid w:val="0019708F"/>
    <w:rsid w:val="001970B8"/>
    <w:rsid w:val="00197173"/>
    <w:rsid w:val="00197451"/>
    <w:rsid w:val="001974F4"/>
    <w:rsid w:val="001976DF"/>
    <w:rsid w:val="001979F5"/>
    <w:rsid w:val="00197C2B"/>
    <w:rsid w:val="001A01CC"/>
    <w:rsid w:val="001A022D"/>
    <w:rsid w:val="001A040D"/>
    <w:rsid w:val="001A07DC"/>
    <w:rsid w:val="001A0AD5"/>
    <w:rsid w:val="001A1653"/>
    <w:rsid w:val="001A1705"/>
    <w:rsid w:val="001A1B7D"/>
    <w:rsid w:val="001A2072"/>
    <w:rsid w:val="001A23E6"/>
    <w:rsid w:val="001A25A2"/>
    <w:rsid w:val="001A2E89"/>
    <w:rsid w:val="001A2F26"/>
    <w:rsid w:val="001A394A"/>
    <w:rsid w:val="001A4A1E"/>
    <w:rsid w:val="001A504B"/>
    <w:rsid w:val="001A5437"/>
    <w:rsid w:val="001A60BC"/>
    <w:rsid w:val="001A657E"/>
    <w:rsid w:val="001A7133"/>
    <w:rsid w:val="001A7519"/>
    <w:rsid w:val="001B0287"/>
    <w:rsid w:val="001B0400"/>
    <w:rsid w:val="001B08C8"/>
    <w:rsid w:val="001B095D"/>
    <w:rsid w:val="001B12B3"/>
    <w:rsid w:val="001B1532"/>
    <w:rsid w:val="001B156A"/>
    <w:rsid w:val="001B1621"/>
    <w:rsid w:val="001B1665"/>
    <w:rsid w:val="001B1C37"/>
    <w:rsid w:val="001B2591"/>
    <w:rsid w:val="001B2724"/>
    <w:rsid w:val="001B296B"/>
    <w:rsid w:val="001B3077"/>
    <w:rsid w:val="001B32C4"/>
    <w:rsid w:val="001B3A92"/>
    <w:rsid w:val="001B42CF"/>
    <w:rsid w:val="001B4551"/>
    <w:rsid w:val="001B4C52"/>
    <w:rsid w:val="001B5962"/>
    <w:rsid w:val="001B5C46"/>
    <w:rsid w:val="001B709E"/>
    <w:rsid w:val="001B7600"/>
    <w:rsid w:val="001B7645"/>
    <w:rsid w:val="001B7ADE"/>
    <w:rsid w:val="001B7F6B"/>
    <w:rsid w:val="001B7FAA"/>
    <w:rsid w:val="001C03EC"/>
    <w:rsid w:val="001C0798"/>
    <w:rsid w:val="001C0E0C"/>
    <w:rsid w:val="001C118A"/>
    <w:rsid w:val="001C1F0F"/>
    <w:rsid w:val="001C2569"/>
    <w:rsid w:val="001C2706"/>
    <w:rsid w:val="001C2806"/>
    <w:rsid w:val="001C2F08"/>
    <w:rsid w:val="001C371D"/>
    <w:rsid w:val="001C392F"/>
    <w:rsid w:val="001C3B66"/>
    <w:rsid w:val="001C3FC6"/>
    <w:rsid w:val="001C4D94"/>
    <w:rsid w:val="001C515C"/>
    <w:rsid w:val="001C63CB"/>
    <w:rsid w:val="001C65FC"/>
    <w:rsid w:val="001C6637"/>
    <w:rsid w:val="001D02B6"/>
    <w:rsid w:val="001D052F"/>
    <w:rsid w:val="001D0A38"/>
    <w:rsid w:val="001D0C48"/>
    <w:rsid w:val="001D10E6"/>
    <w:rsid w:val="001D1199"/>
    <w:rsid w:val="001D11C3"/>
    <w:rsid w:val="001D12E4"/>
    <w:rsid w:val="001D152C"/>
    <w:rsid w:val="001D15E8"/>
    <w:rsid w:val="001D167A"/>
    <w:rsid w:val="001D18FC"/>
    <w:rsid w:val="001D1E44"/>
    <w:rsid w:val="001D20FC"/>
    <w:rsid w:val="001D3C52"/>
    <w:rsid w:val="001D4235"/>
    <w:rsid w:val="001D4307"/>
    <w:rsid w:val="001D4407"/>
    <w:rsid w:val="001D4565"/>
    <w:rsid w:val="001D4A24"/>
    <w:rsid w:val="001D53FE"/>
    <w:rsid w:val="001D54A2"/>
    <w:rsid w:val="001D5866"/>
    <w:rsid w:val="001D6EE0"/>
    <w:rsid w:val="001D6FAE"/>
    <w:rsid w:val="001D70E5"/>
    <w:rsid w:val="001D741C"/>
    <w:rsid w:val="001D7D69"/>
    <w:rsid w:val="001D7EDD"/>
    <w:rsid w:val="001E0669"/>
    <w:rsid w:val="001E0B04"/>
    <w:rsid w:val="001E115B"/>
    <w:rsid w:val="001E12A8"/>
    <w:rsid w:val="001E1714"/>
    <w:rsid w:val="001E1824"/>
    <w:rsid w:val="001E1832"/>
    <w:rsid w:val="001E19EB"/>
    <w:rsid w:val="001E1B30"/>
    <w:rsid w:val="001E2042"/>
    <w:rsid w:val="001E373B"/>
    <w:rsid w:val="001E3A60"/>
    <w:rsid w:val="001E4157"/>
    <w:rsid w:val="001E495F"/>
    <w:rsid w:val="001E49AB"/>
    <w:rsid w:val="001E4B2C"/>
    <w:rsid w:val="001E58DE"/>
    <w:rsid w:val="001E5AF5"/>
    <w:rsid w:val="001E5CBA"/>
    <w:rsid w:val="001E5D85"/>
    <w:rsid w:val="001E6663"/>
    <w:rsid w:val="001E6754"/>
    <w:rsid w:val="001E679A"/>
    <w:rsid w:val="001E6FFE"/>
    <w:rsid w:val="001E7AC9"/>
    <w:rsid w:val="001F0C8E"/>
    <w:rsid w:val="001F10F7"/>
    <w:rsid w:val="001F239A"/>
    <w:rsid w:val="001F24D2"/>
    <w:rsid w:val="001F2CFE"/>
    <w:rsid w:val="001F3230"/>
    <w:rsid w:val="001F3253"/>
    <w:rsid w:val="001F358E"/>
    <w:rsid w:val="001F36DC"/>
    <w:rsid w:val="001F3F62"/>
    <w:rsid w:val="001F42BD"/>
    <w:rsid w:val="001F43A5"/>
    <w:rsid w:val="001F5509"/>
    <w:rsid w:val="001F583B"/>
    <w:rsid w:val="001F5A6D"/>
    <w:rsid w:val="001F5A72"/>
    <w:rsid w:val="001F617F"/>
    <w:rsid w:val="001F61A4"/>
    <w:rsid w:val="001F6978"/>
    <w:rsid w:val="001F6AF8"/>
    <w:rsid w:val="001F6C09"/>
    <w:rsid w:val="001F6CCF"/>
    <w:rsid w:val="001F7CBA"/>
    <w:rsid w:val="00200308"/>
    <w:rsid w:val="00200443"/>
    <w:rsid w:val="00200867"/>
    <w:rsid w:val="00200ECF"/>
    <w:rsid w:val="00201064"/>
    <w:rsid w:val="0020150A"/>
    <w:rsid w:val="0020179E"/>
    <w:rsid w:val="00201AC4"/>
    <w:rsid w:val="00201AE1"/>
    <w:rsid w:val="002021E7"/>
    <w:rsid w:val="00202688"/>
    <w:rsid w:val="002028BE"/>
    <w:rsid w:val="00202C8B"/>
    <w:rsid w:val="00202E5F"/>
    <w:rsid w:val="0020303F"/>
    <w:rsid w:val="00203537"/>
    <w:rsid w:val="002039EA"/>
    <w:rsid w:val="00203B2C"/>
    <w:rsid w:val="00204216"/>
    <w:rsid w:val="00204671"/>
    <w:rsid w:val="002046F4"/>
    <w:rsid w:val="00204811"/>
    <w:rsid w:val="002054A7"/>
    <w:rsid w:val="002057AD"/>
    <w:rsid w:val="00205D23"/>
    <w:rsid w:val="00205FD8"/>
    <w:rsid w:val="00206515"/>
    <w:rsid w:val="002065A4"/>
    <w:rsid w:val="002065E5"/>
    <w:rsid w:val="00206837"/>
    <w:rsid w:val="00206911"/>
    <w:rsid w:val="00207070"/>
    <w:rsid w:val="00210137"/>
    <w:rsid w:val="00210261"/>
    <w:rsid w:val="002108B3"/>
    <w:rsid w:val="00210A9D"/>
    <w:rsid w:val="00211F2E"/>
    <w:rsid w:val="00212112"/>
    <w:rsid w:val="0021229E"/>
    <w:rsid w:val="00212EEE"/>
    <w:rsid w:val="002130F9"/>
    <w:rsid w:val="002142C1"/>
    <w:rsid w:val="002144BD"/>
    <w:rsid w:val="00214840"/>
    <w:rsid w:val="00215256"/>
    <w:rsid w:val="002154B6"/>
    <w:rsid w:val="002154BD"/>
    <w:rsid w:val="00215715"/>
    <w:rsid w:val="00215AF8"/>
    <w:rsid w:val="002160BA"/>
    <w:rsid w:val="002165D8"/>
    <w:rsid w:val="0021666A"/>
    <w:rsid w:val="00216E27"/>
    <w:rsid w:val="00216E7F"/>
    <w:rsid w:val="00217257"/>
    <w:rsid w:val="00217A95"/>
    <w:rsid w:val="0022109F"/>
    <w:rsid w:val="00221594"/>
    <w:rsid w:val="0022195C"/>
    <w:rsid w:val="002219FC"/>
    <w:rsid w:val="0022318A"/>
    <w:rsid w:val="002232FA"/>
    <w:rsid w:val="002234BF"/>
    <w:rsid w:val="00223842"/>
    <w:rsid w:val="0022391D"/>
    <w:rsid w:val="00223B1E"/>
    <w:rsid w:val="00223B68"/>
    <w:rsid w:val="00223C5E"/>
    <w:rsid w:val="0022409B"/>
    <w:rsid w:val="002244A4"/>
    <w:rsid w:val="0022468C"/>
    <w:rsid w:val="0022479F"/>
    <w:rsid w:val="00224EA5"/>
    <w:rsid w:val="00225054"/>
    <w:rsid w:val="002250A2"/>
    <w:rsid w:val="00225152"/>
    <w:rsid w:val="002252C2"/>
    <w:rsid w:val="002264C5"/>
    <w:rsid w:val="00226CFF"/>
    <w:rsid w:val="00227584"/>
    <w:rsid w:val="002275FD"/>
    <w:rsid w:val="00227A17"/>
    <w:rsid w:val="00227FD0"/>
    <w:rsid w:val="0023000B"/>
    <w:rsid w:val="00230711"/>
    <w:rsid w:val="00230CC1"/>
    <w:rsid w:val="00230E1A"/>
    <w:rsid w:val="00231924"/>
    <w:rsid w:val="00231BEF"/>
    <w:rsid w:val="00232E38"/>
    <w:rsid w:val="00233041"/>
    <w:rsid w:val="002331CB"/>
    <w:rsid w:val="00233430"/>
    <w:rsid w:val="0023365A"/>
    <w:rsid w:val="00233816"/>
    <w:rsid w:val="00233BA2"/>
    <w:rsid w:val="00233F0A"/>
    <w:rsid w:val="00234046"/>
    <w:rsid w:val="0023437D"/>
    <w:rsid w:val="00234492"/>
    <w:rsid w:val="002359BB"/>
    <w:rsid w:val="00235B31"/>
    <w:rsid w:val="0023617C"/>
    <w:rsid w:val="00236466"/>
    <w:rsid w:val="00237420"/>
    <w:rsid w:val="0023753D"/>
    <w:rsid w:val="0023753F"/>
    <w:rsid w:val="002375FD"/>
    <w:rsid w:val="00237600"/>
    <w:rsid w:val="002378C0"/>
    <w:rsid w:val="002378E0"/>
    <w:rsid w:val="0023798D"/>
    <w:rsid w:val="00237AC6"/>
    <w:rsid w:val="00240277"/>
    <w:rsid w:val="00240294"/>
    <w:rsid w:val="002402B6"/>
    <w:rsid w:val="0024089F"/>
    <w:rsid w:val="00240FFC"/>
    <w:rsid w:val="00241377"/>
    <w:rsid w:val="0024141E"/>
    <w:rsid w:val="00241641"/>
    <w:rsid w:val="002418BA"/>
    <w:rsid w:val="00241A25"/>
    <w:rsid w:val="00241CF9"/>
    <w:rsid w:val="00241F5A"/>
    <w:rsid w:val="00242399"/>
    <w:rsid w:val="002425C2"/>
    <w:rsid w:val="00242C8C"/>
    <w:rsid w:val="00242E9C"/>
    <w:rsid w:val="00242F46"/>
    <w:rsid w:val="00243153"/>
    <w:rsid w:val="0024330C"/>
    <w:rsid w:val="00243CE1"/>
    <w:rsid w:val="0024401D"/>
    <w:rsid w:val="0024448F"/>
    <w:rsid w:val="00245539"/>
    <w:rsid w:val="0024573D"/>
    <w:rsid w:val="00245B13"/>
    <w:rsid w:val="00245B4A"/>
    <w:rsid w:val="00246087"/>
    <w:rsid w:val="002462F5"/>
    <w:rsid w:val="00246467"/>
    <w:rsid w:val="00246A6B"/>
    <w:rsid w:val="00246F4C"/>
    <w:rsid w:val="0024754E"/>
    <w:rsid w:val="00247C28"/>
    <w:rsid w:val="00247E30"/>
    <w:rsid w:val="002504A3"/>
    <w:rsid w:val="002508CE"/>
    <w:rsid w:val="00250B12"/>
    <w:rsid w:val="00251054"/>
    <w:rsid w:val="0025110B"/>
    <w:rsid w:val="0025166D"/>
    <w:rsid w:val="00251817"/>
    <w:rsid w:val="00251CAE"/>
    <w:rsid w:val="00251F0B"/>
    <w:rsid w:val="00252CCC"/>
    <w:rsid w:val="00253008"/>
    <w:rsid w:val="00253015"/>
    <w:rsid w:val="0025381B"/>
    <w:rsid w:val="002538A3"/>
    <w:rsid w:val="00253C13"/>
    <w:rsid w:val="00254698"/>
    <w:rsid w:val="00254F66"/>
    <w:rsid w:val="002551C1"/>
    <w:rsid w:val="00255397"/>
    <w:rsid w:val="002557AD"/>
    <w:rsid w:val="00255950"/>
    <w:rsid w:val="00255EA5"/>
    <w:rsid w:val="00255F7D"/>
    <w:rsid w:val="002560D1"/>
    <w:rsid w:val="00256B38"/>
    <w:rsid w:val="00256E0A"/>
    <w:rsid w:val="002576FA"/>
    <w:rsid w:val="00260B83"/>
    <w:rsid w:val="00260C2E"/>
    <w:rsid w:val="00260CED"/>
    <w:rsid w:val="00260E20"/>
    <w:rsid w:val="00261214"/>
    <w:rsid w:val="00261345"/>
    <w:rsid w:val="00262680"/>
    <w:rsid w:val="00262BD1"/>
    <w:rsid w:val="00262BEA"/>
    <w:rsid w:val="00262FF8"/>
    <w:rsid w:val="00263183"/>
    <w:rsid w:val="00263A33"/>
    <w:rsid w:val="002645C4"/>
    <w:rsid w:val="00264A64"/>
    <w:rsid w:val="00264BDF"/>
    <w:rsid w:val="00264E78"/>
    <w:rsid w:val="002659F2"/>
    <w:rsid w:val="00265EA7"/>
    <w:rsid w:val="00266923"/>
    <w:rsid w:val="00266DC2"/>
    <w:rsid w:val="00267C08"/>
    <w:rsid w:val="00270595"/>
    <w:rsid w:val="00270AEF"/>
    <w:rsid w:val="00270D76"/>
    <w:rsid w:val="00270F3F"/>
    <w:rsid w:val="0027103D"/>
    <w:rsid w:val="002711B5"/>
    <w:rsid w:val="00271294"/>
    <w:rsid w:val="002716E5"/>
    <w:rsid w:val="0027179D"/>
    <w:rsid w:val="002717DC"/>
    <w:rsid w:val="00273222"/>
    <w:rsid w:val="00274630"/>
    <w:rsid w:val="00274C9D"/>
    <w:rsid w:val="0027590F"/>
    <w:rsid w:val="00275CB1"/>
    <w:rsid w:val="00276F9A"/>
    <w:rsid w:val="002776CE"/>
    <w:rsid w:val="0028018D"/>
    <w:rsid w:val="00280D65"/>
    <w:rsid w:val="0028154B"/>
    <w:rsid w:val="002818E7"/>
    <w:rsid w:val="00281C4D"/>
    <w:rsid w:val="0028205E"/>
    <w:rsid w:val="00282120"/>
    <w:rsid w:val="002827B0"/>
    <w:rsid w:val="00282B9A"/>
    <w:rsid w:val="00282CC6"/>
    <w:rsid w:val="00282CE9"/>
    <w:rsid w:val="00283A57"/>
    <w:rsid w:val="00283AD7"/>
    <w:rsid w:val="00283E11"/>
    <w:rsid w:val="0028427F"/>
    <w:rsid w:val="00284410"/>
    <w:rsid w:val="00284557"/>
    <w:rsid w:val="00284B3B"/>
    <w:rsid w:val="00285158"/>
    <w:rsid w:val="00285553"/>
    <w:rsid w:val="002857E8"/>
    <w:rsid w:val="002860C8"/>
    <w:rsid w:val="00286646"/>
    <w:rsid w:val="002867AF"/>
    <w:rsid w:val="00286EE8"/>
    <w:rsid w:val="00286F27"/>
    <w:rsid w:val="002870FA"/>
    <w:rsid w:val="00287DBC"/>
    <w:rsid w:val="00287FA5"/>
    <w:rsid w:val="002904C2"/>
    <w:rsid w:val="00290590"/>
    <w:rsid w:val="002907FE"/>
    <w:rsid w:val="0029091B"/>
    <w:rsid w:val="00290C6D"/>
    <w:rsid w:val="00291290"/>
    <w:rsid w:val="002912BB"/>
    <w:rsid w:val="00291E84"/>
    <w:rsid w:val="0029264B"/>
    <w:rsid w:val="00292868"/>
    <w:rsid w:val="00292C9F"/>
    <w:rsid w:val="00292CBA"/>
    <w:rsid w:val="00292CF2"/>
    <w:rsid w:val="0029313E"/>
    <w:rsid w:val="00294316"/>
    <w:rsid w:val="00294C70"/>
    <w:rsid w:val="00295361"/>
    <w:rsid w:val="0029631E"/>
    <w:rsid w:val="00296D16"/>
    <w:rsid w:val="00296DFF"/>
    <w:rsid w:val="002973CE"/>
    <w:rsid w:val="002975F0"/>
    <w:rsid w:val="002A0882"/>
    <w:rsid w:val="002A092D"/>
    <w:rsid w:val="002A12FA"/>
    <w:rsid w:val="002A1845"/>
    <w:rsid w:val="002A19AC"/>
    <w:rsid w:val="002A1E56"/>
    <w:rsid w:val="002A2BAF"/>
    <w:rsid w:val="002A31B3"/>
    <w:rsid w:val="002A33CE"/>
    <w:rsid w:val="002A36E1"/>
    <w:rsid w:val="002A3A20"/>
    <w:rsid w:val="002A43B7"/>
    <w:rsid w:val="002A4544"/>
    <w:rsid w:val="002A481F"/>
    <w:rsid w:val="002A4928"/>
    <w:rsid w:val="002A4B4C"/>
    <w:rsid w:val="002A572F"/>
    <w:rsid w:val="002A6594"/>
    <w:rsid w:val="002A65EE"/>
    <w:rsid w:val="002A694F"/>
    <w:rsid w:val="002A698F"/>
    <w:rsid w:val="002A6E6F"/>
    <w:rsid w:val="002A6F1D"/>
    <w:rsid w:val="002A71DB"/>
    <w:rsid w:val="002A799E"/>
    <w:rsid w:val="002A7B59"/>
    <w:rsid w:val="002A7D63"/>
    <w:rsid w:val="002B00AF"/>
    <w:rsid w:val="002B077D"/>
    <w:rsid w:val="002B0F88"/>
    <w:rsid w:val="002B12D2"/>
    <w:rsid w:val="002B1C38"/>
    <w:rsid w:val="002B26A2"/>
    <w:rsid w:val="002B35BE"/>
    <w:rsid w:val="002B35CA"/>
    <w:rsid w:val="002B362B"/>
    <w:rsid w:val="002B3A08"/>
    <w:rsid w:val="002B3D00"/>
    <w:rsid w:val="002B46BC"/>
    <w:rsid w:val="002B51B7"/>
    <w:rsid w:val="002B52FB"/>
    <w:rsid w:val="002B5F2B"/>
    <w:rsid w:val="002B5F92"/>
    <w:rsid w:val="002B6389"/>
    <w:rsid w:val="002B6EB0"/>
    <w:rsid w:val="002B7884"/>
    <w:rsid w:val="002C04C4"/>
    <w:rsid w:val="002C074C"/>
    <w:rsid w:val="002C0774"/>
    <w:rsid w:val="002C07D6"/>
    <w:rsid w:val="002C0E9E"/>
    <w:rsid w:val="002C1978"/>
    <w:rsid w:val="002C1B69"/>
    <w:rsid w:val="002C255D"/>
    <w:rsid w:val="002C2F03"/>
    <w:rsid w:val="002C382F"/>
    <w:rsid w:val="002C5279"/>
    <w:rsid w:val="002C57DB"/>
    <w:rsid w:val="002C5ECE"/>
    <w:rsid w:val="002C66A4"/>
    <w:rsid w:val="002C695C"/>
    <w:rsid w:val="002C6C43"/>
    <w:rsid w:val="002C6D70"/>
    <w:rsid w:val="002C6EF3"/>
    <w:rsid w:val="002C6FD8"/>
    <w:rsid w:val="002C745C"/>
    <w:rsid w:val="002C7DC5"/>
    <w:rsid w:val="002D06A7"/>
    <w:rsid w:val="002D0B49"/>
    <w:rsid w:val="002D136C"/>
    <w:rsid w:val="002D1882"/>
    <w:rsid w:val="002D1BBD"/>
    <w:rsid w:val="002D1CEF"/>
    <w:rsid w:val="002D2D6A"/>
    <w:rsid w:val="002D2FCF"/>
    <w:rsid w:val="002D3271"/>
    <w:rsid w:val="002D3343"/>
    <w:rsid w:val="002D3953"/>
    <w:rsid w:val="002D39DD"/>
    <w:rsid w:val="002D3E80"/>
    <w:rsid w:val="002D419F"/>
    <w:rsid w:val="002D45D8"/>
    <w:rsid w:val="002D461D"/>
    <w:rsid w:val="002D479D"/>
    <w:rsid w:val="002D48A5"/>
    <w:rsid w:val="002D502C"/>
    <w:rsid w:val="002D5771"/>
    <w:rsid w:val="002D5838"/>
    <w:rsid w:val="002D5B4D"/>
    <w:rsid w:val="002D680E"/>
    <w:rsid w:val="002D703D"/>
    <w:rsid w:val="002D7532"/>
    <w:rsid w:val="002D7F4A"/>
    <w:rsid w:val="002E0209"/>
    <w:rsid w:val="002E074A"/>
    <w:rsid w:val="002E0889"/>
    <w:rsid w:val="002E09B3"/>
    <w:rsid w:val="002E0ADE"/>
    <w:rsid w:val="002E0C80"/>
    <w:rsid w:val="002E0E6A"/>
    <w:rsid w:val="002E0FAE"/>
    <w:rsid w:val="002E1611"/>
    <w:rsid w:val="002E18BB"/>
    <w:rsid w:val="002E1922"/>
    <w:rsid w:val="002E1A96"/>
    <w:rsid w:val="002E20D6"/>
    <w:rsid w:val="002E3058"/>
    <w:rsid w:val="002E34CA"/>
    <w:rsid w:val="002E47F0"/>
    <w:rsid w:val="002E4888"/>
    <w:rsid w:val="002E4900"/>
    <w:rsid w:val="002E49D5"/>
    <w:rsid w:val="002E4BB3"/>
    <w:rsid w:val="002E4DDE"/>
    <w:rsid w:val="002E517A"/>
    <w:rsid w:val="002E57A7"/>
    <w:rsid w:val="002E58B9"/>
    <w:rsid w:val="002E58D0"/>
    <w:rsid w:val="002E5C0F"/>
    <w:rsid w:val="002E5CE5"/>
    <w:rsid w:val="002E634D"/>
    <w:rsid w:val="002E7071"/>
    <w:rsid w:val="002E7166"/>
    <w:rsid w:val="002F07D4"/>
    <w:rsid w:val="002F0D32"/>
    <w:rsid w:val="002F1006"/>
    <w:rsid w:val="002F14E5"/>
    <w:rsid w:val="002F14E7"/>
    <w:rsid w:val="002F15CE"/>
    <w:rsid w:val="002F172C"/>
    <w:rsid w:val="002F1F70"/>
    <w:rsid w:val="002F36FE"/>
    <w:rsid w:val="002F3979"/>
    <w:rsid w:val="002F3CB3"/>
    <w:rsid w:val="002F3CE3"/>
    <w:rsid w:val="002F3D41"/>
    <w:rsid w:val="002F45BC"/>
    <w:rsid w:val="002F4B12"/>
    <w:rsid w:val="002F53BA"/>
    <w:rsid w:val="002F58B0"/>
    <w:rsid w:val="002F5EB5"/>
    <w:rsid w:val="002F6395"/>
    <w:rsid w:val="002F6598"/>
    <w:rsid w:val="002F681C"/>
    <w:rsid w:val="002F6F71"/>
    <w:rsid w:val="002F7756"/>
    <w:rsid w:val="002F785A"/>
    <w:rsid w:val="002F788C"/>
    <w:rsid w:val="002F79F8"/>
    <w:rsid w:val="00300146"/>
    <w:rsid w:val="00300B2E"/>
    <w:rsid w:val="00300B50"/>
    <w:rsid w:val="00300BE1"/>
    <w:rsid w:val="00300D79"/>
    <w:rsid w:val="00300EE0"/>
    <w:rsid w:val="0030157A"/>
    <w:rsid w:val="003017C5"/>
    <w:rsid w:val="00301D28"/>
    <w:rsid w:val="00301F70"/>
    <w:rsid w:val="003028CB"/>
    <w:rsid w:val="00302A44"/>
    <w:rsid w:val="00302CED"/>
    <w:rsid w:val="00303B96"/>
    <w:rsid w:val="0030464A"/>
    <w:rsid w:val="00304FBF"/>
    <w:rsid w:val="003054A7"/>
    <w:rsid w:val="00305986"/>
    <w:rsid w:val="003067C8"/>
    <w:rsid w:val="00306EF6"/>
    <w:rsid w:val="00307F11"/>
    <w:rsid w:val="003103D6"/>
    <w:rsid w:val="00310B0A"/>
    <w:rsid w:val="0031105E"/>
    <w:rsid w:val="003111CE"/>
    <w:rsid w:val="0031154C"/>
    <w:rsid w:val="00311722"/>
    <w:rsid w:val="003119EE"/>
    <w:rsid w:val="00311B2A"/>
    <w:rsid w:val="00311C97"/>
    <w:rsid w:val="003120AC"/>
    <w:rsid w:val="00312230"/>
    <w:rsid w:val="0031284C"/>
    <w:rsid w:val="00312914"/>
    <w:rsid w:val="00312EEA"/>
    <w:rsid w:val="003134CD"/>
    <w:rsid w:val="00313BA2"/>
    <w:rsid w:val="00313FFC"/>
    <w:rsid w:val="0031441C"/>
    <w:rsid w:val="003145E2"/>
    <w:rsid w:val="00314F2A"/>
    <w:rsid w:val="003152FA"/>
    <w:rsid w:val="00316AB5"/>
    <w:rsid w:val="00316D72"/>
    <w:rsid w:val="00317875"/>
    <w:rsid w:val="0032034D"/>
    <w:rsid w:val="00320940"/>
    <w:rsid w:val="003209BE"/>
    <w:rsid w:val="00320A94"/>
    <w:rsid w:val="00320BD3"/>
    <w:rsid w:val="00321196"/>
    <w:rsid w:val="003211A3"/>
    <w:rsid w:val="00321684"/>
    <w:rsid w:val="00321988"/>
    <w:rsid w:val="00321A10"/>
    <w:rsid w:val="00322872"/>
    <w:rsid w:val="003228F1"/>
    <w:rsid w:val="00322A99"/>
    <w:rsid w:val="00322E8C"/>
    <w:rsid w:val="0032306E"/>
    <w:rsid w:val="00323A0A"/>
    <w:rsid w:val="00323B36"/>
    <w:rsid w:val="003242D3"/>
    <w:rsid w:val="00324910"/>
    <w:rsid w:val="0032505F"/>
    <w:rsid w:val="003261F6"/>
    <w:rsid w:val="00326B81"/>
    <w:rsid w:val="00327062"/>
    <w:rsid w:val="003271C1"/>
    <w:rsid w:val="00327756"/>
    <w:rsid w:val="00330C1D"/>
    <w:rsid w:val="00331598"/>
    <w:rsid w:val="003318DE"/>
    <w:rsid w:val="00331C54"/>
    <w:rsid w:val="00331CF7"/>
    <w:rsid w:val="0033218E"/>
    <w:rsid w:val="0033235F"/>
    <w:rsid w:val="0033237D"/>
    <w:rsid w:val="003324D5"/>
    <w:rsid w:val="003325C4"/>
    <w:rsid w:val="0033260F"/>
    <w:rsid w:val="00332AC5"/>
    <w:rsid w:val="00332EA0"/>
    <w:rsid w:val="00332F54"/>
    <w:rsid w:val="0033354C"/>
    <w:rsid w:val="00333865"/>
    <w:rsid w:val="003349C8"/>
    <w:rsid w:val="003354E9"/>
    <w:rsid w:val="00335C08"/>
    <w:rsid w:val="00335D91"/>
    <w:rsid w:val="00335DB8"/>
    <w:rsid w:val="00335E1C"/>
    <w:rsid w:val="00335E38"/>
    <w:rsid w:val="00336371"/>
    <w:rsid w:val="00336526"/>
    <w:rsid w:val="003366F0"/>
    <w:rsid w:val="00336E0B"/>
    <w:rsid w:val="00337ABE"/>
    <w:rsid w:val="00337AE0"/>
    <w:rsid w:val="00337E74"/>
    <w:rsid w:val="003411DE"/>
    <w:rsid w:val="0034176D"/>
    <w:rsid w:val="00341D3B"/>
    <w:rsid w:val="003420D2"/>
    <w:rsid w:val="003422A7"/>
    <w:rsid w:val="003426CA"/>
    <w:rsid w:val="00342E44"/>
    <w:rsid w:val="00343320"/>
    <w:rsid w:val="003437DA"/>
    <w:rsid w:val="00343DD3"/>
    <w:rsid w:val="003442B0"/>
    <w:rsid w:val="00344435"/>
    <w:rsid w:val="003446AE"/>
    <w:rsid w:val="003449AB"/>
    <w:rsid w:val="00344CA8"/>
    <w:rsid w:val="00344F5F"/>
    <w:rsid w:val="003450A7"/>
    <w:rsid w:val="00345192"/>
    <w:rsid w:val="00345382"/>
    <w:rsid w:val="00345CAD"/>
    <w:rsid w:val="00346124"/>
    <w:rsid w:val="0034615D"/>
    <w:rsid w:val="00346770"/>
    <w:rsid w:val="003469BC"/>
    <w:rsid w:val="00346DE8"/>
    <w:rsid w:val="003474E5"/>
    <w:rsid w:val="00347C54"/>
    <w:rsid w:val="003501DE"/>
    <w:rsid w:val="003503C9"/>
    <w:rsid w:val="003505CC"/>
    <w:rsid w:val="00350B9A"/>
    <w:rsid w:val="00352B43"/>
    <w:rsid w:val="00353498"/>
    <w:rsid w:val="0035354D"/>
    <w:rsid w:val="00353ED8"/>
    <w:rsid w:val="00354126"/>
    <w:rsid w:val="00354D5A"/>
    <w:rsid w:val="00354D89"/>
    <w:rsid w:val="00354EB9"/>
    <w:rsid w:val="003553E6"/>
    <w:rsid w:val="0035543F"/>
    <w:rsid w:val="00355BC2"/>
    <w:rsid w:val="00355CB4"/>
    <w:rsid w:val="00357162"/>
    <w:rsid w:val="0035763B"/>
    <w:rsid w:val="003601DD"/>
    <w:rsid w:val="00360F69"/>
    <w:rsid w:val="00361452"/>
    <w:rsid w:val="00361FEE"/>
    <w:rsid w:val="00362CAE"/>
    <w:rsid w:val="00362CC1"/>
    <w:rsid w:val="00362DE3"/>
    <w:rsid w:val="00363015"/>
    <w:rsid w:val="00364210"/>
    <w:rsid w:val="0036437B"/>
    <w:rsid w:val="00364502"/>
    <w:rsid w:val="00364B09"/>
    <w:rsid w:val="00364B32"/>
    <w:rsid w:val="00365029"/>
    <w:rsid w:val="00365C66"/>
    <w:rsid w:val="00365CD8"/>
    <w:rsid w:val="00365D9F"/>
    <w:rsid w:val="00366397"/>
    <w:rsid w:val="00366A85"/>
    <w:rsid w:val="003675AB"/>
    <w:rsid w:val="003676FA"/>
    <w:rsid w:val="00367C29"/>
    <w:rsid w:val="00367EE6"/>
    <w:rsid w:val="00370083"/>
    <w:rsid w:val="003701AF"/>
    <w:rsid w:val="003702A1"/>
    <w:rsid w:val="00371088"/>
    <w:rsid w:val="003714E8"/>
    <w:rsid w:val="00371C3C"/>
    <w:rsid w:val="00371E9B"/>
    <w:rsid w:val="00372165"/>
    <w:rsid w:val="003728BF"/>
    <w:rsid w:val="00372B64"/>
    <w:rsid w:val="00372B66"/>
    <w:rsid w:val="00372D45"/>
    <w:rsid w:val="00372DF3"/>
    <w:rsid w:val="00372DF4"/>
    <w:rsid w:val="0037306A"/>
    <w:rsid w:val="00373A02"/>
    <w:rsid w:val="003741EB"/>
    <w:rsid w:val="003742E2"/>
    <w:rsid w:val="00374AB2"/>
    <w:rsid w:val="00374E9B"/>
    <w:rsid w:val="00375522"/>
    <w:rsid w:val="003756E1"/>
    <w:rsid w:val="003759A2"/>
    <w:rsid w:val="00375A72"/>
    <w:rsid w:val="00375B25"/>
    <w:rsid w:val="003762A4"/>
    <w:rsid w:val="003766E6"/>
    <w:rsid w:val="00376A2E"/>
    <w:rsid w:val="00376BC6"/>
    <w:rsid w:val="00376CA3"/>
    <w:rsid w:val="003772C0"/>
    <w:rsid w:val="00377E55"/>
    <w:rsid w:val="003802FF"/>
    <w:rsid w:val="00380674"/>
    <w:rsid w:val="00380B17"/>
    <w:rsid w:val="00380BC4"/>
    <w:rsid w:val="00381B78"/>
    <w:rsid w:val="003822FB"/>
    <w:rsid w:val="003825EF"/>
    <w:rsid w:val="00382686"/>
    <w:rsid w:val="00383352"/>
    <w:rsid w:val="00383B6F"/>
    <w:rsid w:val="00383D62"/>
    <w:rsid w:val="00383F32"/>
    <w:rsid w:val="00384164"/>
    <w:rsid w:val="003842D6"/>
    <w:rsid w:val="003843D8"/>
    <w:rsid w:val="003848D5"/>
    <w:rsid w:val="00384E7E"/>
    <w:rsid w:val="00385CA1"/>
    <w:rsid w:val="00385E29"/>
    <w:rsid w:val="00385F95"/>
    <w:rsid w:val="003861C1"/>
    <w:rsid w:val="00386377"/>
    <w:rsid w:val="00386418"/>
    <w:rsid w:val="00390092"/>
    <w:rsid w:val="003911CA"/>
    <w:rsid w:val="003916E0"/>
    <w:rsid w:val="0039180F"/>
    <w:rsid w:val="00391DD7"/>
    <w:rsid w:val="00391E4C"/>
    <w:rsid w:val="00391EA1"/>
    <w:rsid w:val="003920A8"/>
    <w:rsid w:val="00392853"/>
    <w:rsid w:val="003931CC"/>
    <w:rsid w:val="003936B9"/>
    <w:rsid w:val="00393EAA"/>
    <w:rsid w:val="003945D9"/>
    <w:rsid w:val="00394826"/>
    <w:rsid w:val="0039512F"/>
    <w:rsid w:val="00395452"/>
    <w:rsid w:val="003955F3"/>
    <w:rsid w:val="00395BB7"/>
    <w:rsid w:val="003961E1"/>
    <w:rsid w:val="0039708B"/>
    <w:rsid w:val="003970AF"/>
    <w:rsid w:val="00397240"/>
    <w:rsid w:val="00397FC6"/>
    <w:rsid w:val="003A0B84"/>
    <w:rsid w:val="003A0CE7"/>
    <w:rsid w:val="003A0D2E"/>
    <w:rsid w:val="003A1020"/>
    <w:rsid w:val="003A1689"/>
    <w:rsid w:val="003A1CB4"/>
    <w:rsid w:val="003A1E22"/>
    <w:rsid w:val="003A2CBF"/>
    <w:rsid w:val="003A2E95"/>
    <w:rsid w:val="003A2F3E"/>
    <w:rsid w:val="003A31D9"/>
    <w:rsid w:val="003A368E"/>
    <w:rsid w:val="003A3B5A"/>
    <w:rsid w:val="003A3E83"/>
    <w:rsid w:val="003A3EC5"/>
    <w:rsid w:val="003A47C2"/>
    <w:rsid w:val="003A4AF9"/>
    <w:rsid w:val="003A4EDC"/>
    <w:rsid w:val="003A5761"/>
    <w:rsid w:val="003A5EF8"/>
    <w:rsid w:val="003A610B"/>
    <w:rsid w:val="003A6751"/>
    <w:rsid w:val="003A6D0E"/>
    <w:rsid w:val="003A6EC9"/>
    <w:rsid w:val="003A7119"/>
    <w:rsid w:val="003A7582"/>
    <w:rsid w:val="003A7642"/>
    <w:rsid w:val="003B0065"/>
    <w:rsid w:val="003B12D1"/>
    <w:rsid w:val="003B1DEA"/>
    <w:rsid w:val="003B249C"/>
    <w:rsid w:val="003B24A5"/>
    <w:rsid w:val="003B3126"/>
    <w:rsid w:val="003B38E9"/>
    <w:rsid w:val="003B3CDF"/>
    <w:rsid w:val="003B3FE6"/>
    <w:rsid w:val="003B440A"/>
    <w:rsid w:val="003B44D7"/>
    <w:rsid w:val="003B46AA"/>
    <w:rsid w:val="003B4820"/>
    <w:rsid w:val="003B4CAF"/>
    <w:rsid w:val="003B5262"/>
    <w:rsid w:val="003B5308"/>
    <w:rsid w:val="003B5503"/>
    <w:rsid w:val="003B5581"/>
    <w:rsid w:val="003B6514"/>
    <w:rsid w:val="003B665E"/>
    <w:rsid w:val="003B6FA8"/>
    <w:rsid w:val="003B741A"/>
    <w:rsid w:val="003B763E"/>
    <w:rsid w:val="003B7D81"/>
    <w:rsid w:val="003B7E96"/>
    <w:rsid w:val="003B7EE7"/>
    <w:rsid w:val="003C0284"/>
    <w:rsid w:val="003C0515"/>
    <w:rsid w:val="003C11A6"/>
    <w:rsid w:val="003C148E"/>
    <w:rsid w:val="003C199A"/>
    <w:rsid w:val="003C2730"/>
    <w:rsid w:val="003C30F9"/>
    <w:rsid w:val="003C365A"/>
    <w:rsid w:val="003C369E"/>
    <w:rsid w:val="003C41DE"/>
    <w:rsid w:val="003C4C15"/>
    <w:rsid w:val="003C4DA7"/>
    <w:rsid w:val="003C544B"/>
    <w:rsid w:val="003C5992"/>
    <w:rsid w:val="003C5B5D"/>
    <w:rsid w:val="003C6031"/>
    <w:rsid w:val="003C6202"/>
    <w:rsid w:val="003C6A36"/>
    <w:rsid w:val="003C6D13"/>
    <w:rsid w:val="003C70BF"/>
    <w:rsid w:val="003D0570"/>
    <w:rsid w:val="003D0A1C"/>
    <w:rsid w:val="003D0C03"/>
    <w:rsid w:val="003D0D30"/>
    <w:rsid w:val="003D103E"/>
    <w:rsid w:val="003D213A"/>
    <w:rsid w:val="003D2635"/>
    <w:rsid w:val="003D2985"/>
    <w:rsid w:val="003D2C1F"/>
    <w:rsid w:val="003D3331"/>
    <w:rsid w:val="003D33EA"/>
    <w:rsid w:val="003D35E1"/>
    <w:rsid w:val="003D3DEB"/>
    <w:rsid w:val="003D3EC0"/>
    <w:rsid w:val="003D4341"/>
    <w:rsid w:val="003D4474"/>
    <w:rsid w:val="003D46DF"/>
    <w:rsid w:val="003D489F"/>
    <w:rsid w:val="003D4E0E"/>
    <w:rsid w:val="003D5A84"/>
    <w:rsid w:val="003D6D8A"/>
    <w:rsid w:val="003D760C"/>
    <w:rsid w:val="003D76EE"/>
    <w:rsid w:val="003E0605"/>
    <w:rsid w:val="003E08CC"/>
    <w:rsid w:val="003E0907"/>
    <w:rsid w:val="003E0BA6"/>
    <w:rsid w:val="003E0E31"/>
    <w:rsid w:val="003E10C3"/>
    <w:rsid w:val="003E1145"/>
    <w:rsid w:val="003E118B"/>
    <w:rsid w:val="003E25AC"/>
    <w:rsid w:val="003E26C1"/>
    <w:rsid w:val="003E2DB1"/>
    <w:rsid w:val="003E3BA5"/>
    <w:rsid w:val="003E3C39"/>
    <w:rsid w:val="003E4BED"/>
    <w:rsid w:val="003E5177"/>
    <w:rsid w:val="003E64C5"/>
    <w:rsid w:val="003E73D3"/>
    <w:rsid w:val="003E776A"/>
    <w:rsid w:val="003E7FDB"/>
    <w:rsid w:val="003F014D"/>
    <w:rsid w:val="003F0488"/>
    <w:rsid w:val="003F0751"/>
    <w:rsid w:val="003F07EA"/>
    <w:rsid w:val="003F09A0"/>
    <w:rsid w:val="003F1366"/>
    <w:rsid w:val="003F15D3"/>
    <w:rsid w:val="003F2702"/>
    <w:rsid w:val="003F2CDC"/>
    <w:rsid w:val="003F32E3"/>
    <w:rsid w:val="003F3365"/>
    <w:rsid w:val="003F35F8"/>
    <w:rsid w:val="003F45BE"/>
    <w:rsid w:val="003F4987"/>
    <w:rsid w:val="003F4BA3"/>
    <w:rsid w:val="003F514A"/>
    <w:rsid w:val="003F5530"/>
    <w:rsid w:val="003F58B9"/>
    <w:rsid w:val="003F59C0"/>
    <w:rsid w:val="003F5E5C"/>
    <w:rsid w:val="003F63FF"/>
    <w:rsid w:val="003F64C7"/>
    <w:rsid w:val="003F6522"/>
    <w:rsid w:val="003F6917"/>
    <w:rsid w:val="003F71DC"/>
    <w:rsid w:val="003F798F"/>
    <w:rsid w:val="003F7AD3"/>
    <w:rsid w:val="003F7EF5"/>
    <w:rsid w:val="00400384"/>
    <w:rsid w:val="0040044D"/>
    <w:rsid w:val="00400769"/>
    <w:rsid w:val="00400874"/>
    <w:rsid w:val="00400AA1"/>
    <w:rsid w:val="00400F42"/>
    <w:rsid w:val="004014D5"/>
    <w:rsid w:val="004015E3"/>
    <w:rsid w:val="00401841"/>
    <w:rsid w:val="00402FBA"/>
    <w:rsid w:val="004035E3"/>
    <w:rsid w:val="00403C6A"/>
    <w:rsid w:val="0040412B"/>
    <w:rsid w:val="0040423B"/>
    <w:rsid w:val="0040437F"/>
    <w:rsid w:val="00404B61"/>
    <w:rsid w:val="00404BFD"/>
    <w:rsid w:val="00404D26"/>
    <w:rsid w:val="00404EF8"/>
    <w:rsid w:val="00404F0B"/>
    <w:rsid w:val="00405982"/>
    <w:rsid w:val="00405C49"/>
    <w:rsid w:val="004060DE"/>
    <w:rsid w:val="0040649F"/>
    <w:rsid w:val="00406AD5"/>
    <w:rsid w:val="00406C43"/>
    <w:rsid w:val="00406CE9"/>
    <w:rsid w:val="00406D0B"/>
    <w:rsid w:val="00406D99"/>
    <w:rsid w:val="00406EB1"/>
    <w:rsid w:val="00406FD8"/>
    <w:rsid w:val="004105E4"/>
    <w:rsid w:val="00410643"/>
    <w:rsid w:val="00411189"/>
    <w:rsid w:val="004128A9"/>
    <w:rsid w:val="004138F7"/>
    <w:rsid w:val="00413CBF"/>
    <w:rsid w:val="0041412C"/>
    <w:rsid w:val="004151DA"/>
    <w:rsid w:val="004151FA"/>
    <w:rsid w:val="00415BDB"/>
    <w:rsid w:val="004163D1"/>
    <w:rsid w:val="00416C6E"/>
    <w:rsid w:val="00416E0E"/>
    <w:rsid w:val="004174E8"/>
    <w:rsid w:val="00417703"/>
    <w:rsid w:val="00420398"/>
    <w:rsid w:val="00420828"/>
    <w:rsid w:val="00420B88"/>
    <w:rsid w:val="00420D50"/>
    <w:rsid w:val="004217F9"/>
    <w:rsid w:val="00421A17"/>
    <w:rsid w:val="00421C18"/>
    <w:rsid w:val="00421D40"/>
    <w:rsid w:val="00421E45"/>
    <w:rsid w:val="00421E5F"/>
    <w:rsid w:val="004222DC"/>
    <w:rsid w:val="004227E5"/>
    <w:rsid w:val="00425F8F"/>
    <w:rsid w:val="00426080"/>
    <w:rsid w:val="00426335"/>
    <w:rsid w:val="0042678E"/>
    <w:rsid w:val="004269CF"/>
    <w:rsid w:val="00426AA6"/>
    <w:rsid w:val="00426CEC"/>
    <w:rsid w:val="00426DAE"/>
    <w:rsid w:val="00426F13"/>
    <w:rsid w:val="0042701C"/>
    <w:rsid w:val="00427223"/>
    <w:rsid w:val="00427530"/>
    <w:rsid w:val="00430AA0"/>
    <w:rsid w:val="0043202D"/>
    <w:rsid w:val="00432C07"/>
    <w:rsid w:val="00432D33"/>
    <w:rsid w:val="00433008"/>
    <w:rsid w:val="004339C8"/>
    <w:rsid w:val="00433D3E"/>
    <w:rsid w:val="00434726"/>
    <w:rsid w:val="0043492D"/>
    <w:rsid w:val="00435000"/>
    <w:rsid w:val="004352E7"/>
    <w:rsid w:val="004357B9"/>
    <w:rsid w:val="00435A81"/>
    <w:rsid w:val="00436BFC"/>
    <w:rsid w:val="00437B32"/>
    <w:rsid w:val="00437FDD"/>
    <w:rsid w:val="004410AA"/>
    <w:rsid w:val="00441931"/>
    <w:rsid w:val="00441C30"/>
    <w:rsid w:val="00441F02"/>
    <w:rsid w:val="00441F3B"/>
    <w:rsid w:val="00442374"/>
    <w:rsid w:val="00442497"/>
    <w:rsid w:val="00442C76"/>
    <w:rsid w:val="00442FD7"/>
    <w:rsid w:val="00442FF3"/>
    <w:rsid w:val="004436DB"/>
    <w:rsid w:val="0044461A"/>
    <w:rsid w:val="00444D6A"/>
    <w:rsid w:val="00445116"/>
    <w:rsid w:val="00445131"/>
    <w:rsid w:val="0044522F"/>
    <w:rsid w:val="00445384"/>
    <w:rsid w:val="004456E5"/>
    <w:rsid w:val="00445B35"/>
    <w:rsid w:val="004462F4"/>
    <w:rsid w:val="00446676"/>
    <w:rsid w:val="00446D47"/>
    <w:rsid w:val="00446E17"/>
    <w:rsid w:val="00446E9F"/>
    <w:rsid w:val="004470AC"/>
    <w:rsid w:val="004477EE"/>
    <w:rsid w:val="0045032D"/>
    <w:rsid w:val="004503D5"/>
    <w:rsid w:val="00450BE5"/>
    <w:rsid w:val="00450CC3"/>
    <w:rsid w:val="00450D34"/>
    <w:rsid w:val="00450FA9"/>
    <w:rsid w:val="0045116B"/>
    <w:rsid w:val="00451A2D"/>
    <w:rsid w:val="00452AB5"/>
    <w:rsid w:val="00452BC4"/>
    <w:rsid w:val="00452E6A"/>
    <w:rsid w:val="004531C9"/>
    <w:rsid w:val="004534FA"/>
    <w:rsid w:val="00453996"/>
    <w:rsid w:val="004544AA"/>
    <w:rsid w:val="0045458E"/>
    <w:rsid w:val="004545AD"/>
    <w:rsid w:val="00454618"/>
    <w:rsid w:val="00454634"/>
    <w:rsid w:val="00454804"/>
    <w:rsid w:val="0045486F"/>
    <w:rsid w:val="00454EFE"/>
    <w:rsid w:val="00454FCD"/>
    <w:rsid w:val="0045554D"/>
    <w:rsid w:val="004557EC"/>
    <w:rsid w:val="00456422"/>
    <w:rsid w:val="004566E6"/>
    <w:rsid w:val="00456E02"/>
    <w:rsid w:val="004570E7"/>
    <w:rsid w:val="00457E09"/>
    <w:rsid w:val="00460163"/>
    <w:rsid w:val="00460300"/>
    <w:rsid w:val="00460332"/>
    <w:rsid w:val="0046067C"/>
    <w:rsid w:val="004606E6"/>
    <w:rsid w:val="004609C4"/>
    <w:rsid w:val="00460F3F"/>
    <w:rsid w:val="00461B4B"/>
    <w:rsid w:val="00461D43"/>
    <w:rsid w:val="00461E14"/>
    <w:rsid w:val="00463979"/>
    <w:rsid w:val="00464302"/>
    <w:rsid w:val="00465029"/>
    <w:rsid w:val="0046548A"/>
    <w:rsid w:val="004656B8"/>
    <w:rsid w:val="00465C92"/>
    <w:rsid w:val="00465EF9"/>
    <w:rsid w:val="00465F5A"/>
    <w:rsid w:val="004663A9"/>
    <w:rsid w:val="00466685"/>
    <w:rsid w:val="00466F9D"/>
    <w:rsid w:val="00467427"/>
    <w:rsid w:val="00467A8D"/>
    <w:rsid w:val="004700B4"/>
    <w:rsid w:val="00470A7A"/>
    <w:rsid w:val="00470DD6"/>
    <w:rsid w:val="00471F8B"/>
    <w:rsid w:val="00472204"/>
    <w:rsid w:val="00472B57"/>
    <w:rsid w:val="00473207"/>
    <w:rsid w:val="00473301"/>
    <w:rsid w:val="0047333E"/>
    <w:rsid w:val="00473442"/>
    <w:rsid w:val="00473D74"/>
    <w:rsid w:val="004742D3"/>
    <w:rsid w:val="00474921"/>
    <w:rsid w:val="00474AC9"/>
    <w:rsid w:val="0047520D"/>
    <w:rsid w:val="004752A8"/>
    <w:rsid w:val="00475756"/>
    <w:rsid w:val="0047576E"/>
    <w:rsid w:val="00476228"/>
    <w:rsid w:val="00476343"/>
    <w:rsid w:val="004768FA"/>
    <w:rsid w:val="00477291"/>
    <w:rsid w:val="00480424"/>
    <w:rsid w:val="00480C2C"/>
    <w:rsid w:val="00480C99"/>
    <w:rsid w:val="0048190D"/>
    <w:rsid w:val="00481D5F"/>
    <w:rsid w:val="004823D6"/>
    <w:rsid w:val="00482801"/>
    <w:rsid w:val="00482DA1"/>
    <w:rsid w:val="00482F8A"/>
    <w:rsid w:val="00483258"/>
    <w:rsid w:val="004833EE"/>
    <w:rsid w:val="00483464"/>
    <w:rsid w:val="0048365D"/>
    <w:rsid w:val="004836E5"/>
    <w:rsid w:val="00483C13"/>
    <w:rsid w:val="00483EC8"/>
    <w:rsid w:val="00484149"/>
    <w:rsid w:val="0048468D"/>
    <w:rsid w:val="0048497F"/>
    <w:rsid w:val="00484EB3"/>
    <w:rsid w:val="0048505C"/>
    <w:rsid w:val="00485300"/>
    <w:rsid w:val="004855D4"/>
    <w:rsid w:val="00485B35"/>
    <w:rsid w:val="00485DB1"/>
    <w:rsid w:val="00485F6B"/>
    <w:rsid w:val="00486019"/>
    <w:rsid w:val="00486D08"/>
    <w:rsid w:val="00487578"/>
    <w:rsid w:val="004877B3"/>
    <w:rsid w:val="00490DDF"/>
    <w:rsid w:val="00491E4A"/>
    <w:rsid w:val="00492156"/>
    <w:rsid w:val="004922EB"/>
    <w:rsid w:val="0049273C"/>
    <w:rsid w:val="00492BDA"/>
    <w:rsid w:val="00492D16"/>
    <w:rsid w:val="00492DED"/>
    <w:rsid w:val="004933DC"/>
    <w:rsid w:val="00493C24"/>
    <w:rsid w:val="00493CA6"/>
    <w:rsid w:val="00493D49"/>
    <w:rsid w:val="00493E57"/>
    <w:rsid w:val="00494DD5"/>
    <w:rsid w:val="004951DC"/>
    <w:rsid w:val="00495734"/>
    <w:rsid w:val="00495786"/>
    <w:rsid w:val="00495AC1"/>
    <w:rsid w:val="00495C83"/>
    <w:rsid w:val="00495F8D"/>
    <w:rsid w:val="004962AD"/>
    <w:rsid w:val="004966FB"/>
    <w:rsid w:val="00496B87"/>
    <w:rsid w:val="00496D71"/>
    <w:rsid w:val="00497165"/>
    <w:rsid w:val="00497F76"/>
    <w:rsid w:val="004A01F9"/>
    <w:rsid w:val="004A03AB"/>
    <w:rsid w:val="004A0AF5"/>
    <w:rsid w:val="004A0E13"/>
    <w:rsid w:val="004A147F"/>
    <w:rsid w:val="004A1661"/>
    <w:rsid w:val="004A1ED8"/>
    <w:rsid w:val="004A227D"/>
    <w:rsid w:val="004A30AF"/>
    <w:rsid w:val="004A31CC"/>
    <w:rsid w:val="004A3577"/>
    <w:rsid w:val="004A3FD6"/>
    <w:rsid w:val="004A4222"/>
    <w:rsid w:val="004A42C6"/>
    <w:rsid w:val="004A482A"/>
    <w:rsid w:val="004A485C"/>
    <w:rsid w:val="004A4D09"/>
    <w:rsid w:val="004A4E33"/>
    <w:rsid w:val="004A5065"/>
    <w:rsid w:val="004A5FB1"/>
    <w:rsid w:val="004A609E"/>
    <w:rsid w:val="004A631A"/>
    <w:rsid w:val="004A6972"/>
    <w:rsid w:val="004A6CE6"/>
    <w:rsid w:val="004A7371"/>
    <w:rsid w:val="004A74E2"/>
    <w:rsid w:val="004B01DD"/>
    <w:rsid w:val="004B0A53"/>
    <w:rsid w:val="004B0CEC"/>
    <w:rsid w:val="004B1927"/>
    <w:rsid w:val="004B1B5C"/>
    <w:rsid w:val="004B1CE6"/>
    <w:rsid w:val="004B1E02"/>
    <w:rsid w:val="004B2285"/>
    <w:rsid w:val="004B2EFD"/>
    <w:rsid w:val="004B36ED"/>
    <w:rsid w:val="004B3BE4"/>
    <w:rsid w:val="004B3CB0"/>
    <w:rsid w:val="004B455A"/>
    <w:rsid w:val="004B4A5F"/>
    <w:rsid w:val="004B4DCC"/>
    <w:rsid w:val="004B4F53"/>
    <w:rsid w:val="004B4FEF"/>
    <w:rsid w:val="004B5550"/>
    <w:rsid w:val="004B567C"/>
    <w:rsid w:val="004B57F7"/>
    <w:rsid w:val="004B583B"/>
    <w:rsid w:val="004B5CA1"/>
    <w:rsid w:val="004B649F"/>
    <w:rsid w:val="004B66D4"/>
    <w:rsid w:val="004B69DF"/>
    <w:rsid w:val="004B6A69"/>
    <w:rsid w:val="004B7196"/>
    <w:rsid w:val="004B73A9"/>
    <w:rsid w:val="004B78DA"/>
    <w:rsid w:val="004B78EB"/>
    <w:rsid w:val="004B7BEC"/>
    <w:rsid w:val="004C049B"/>
    <w:rsid w:val="004C0626"/>
    <w:rsid w:val="004C0EDF"/>
    <w:rsid w:val="004C1919"/>
    <w:rsid w:val="004C19F7"/>
    <w:rsid w:val="004C1D8B"/>
    <w:rsid w:val="004C1DA8"/>
    <w:rsid w:val="004C210B"/>
    <w:rsid w:val="004C21B8"/>
    <w:rsid w:val="004C238E"/>
    <w:rsid w:val="004C2551"/>
    <w:rsid w:val="004C2EEA"/>
    <w:rsid w:val="004C326B"/>
    <w:rsid w:val="004C3E6F"/>
    <w:rsid w:val="004C4195"/>
    <w:rsid w:val="004C438E"/>
    <w:rsid w:val="004C5E9F"/>
    <w:rsid w:val="004C6EEE"/>
    <w:rsid w:val="004C76A2"/>
    <w:rsid w:val="004C7B09"/>
    <w:rsid w:val="004C7C90"/>
    <w:rsid w:val="004C7CD8"/>
    <w:rsid w:val="004D039B"/>
    <w:rsid w:val="004D0DA1"/>
    <w:rsid w:val="004D0F80"/>
    <w:rsid w:val="004D1560"/>
    <w:rsid w:val="004D195B"/>
    <w:rsid w:val="004D1A4B"/>
    <w:rsid w:val="004D1B94"/>
    <w:rsid w:val="004D1E2C"/>
    <w:rsid w:val="004D221E"/>
    <w:rsid w:val="004D256D"/>
    <w:rsid w:val="004D2793"/>
    <w:rsid w:val="004D2CBC"/>
    <w:rsid w:val="004D2F12"/>
    <w:rsid w:val="004D4135"/>
    <w:rsid w:val="004D565F"/>
    <w:rsid w:val="004D5793"/>
    <w:rsid w:val="004D5B19"/>
    <w:rsid w:val="004D5BC1"/>
    <w:rsid w:val="004D5F90"/>
    <w:rsid w:val="004D688C"/>
    <w:rsid w:val="004D6CF4"/>
    <w:rsid w:val="004D6D0C"/>
    <w:rsid w:val="004D7A55"/>
    <w:rsid w:val="004E0095"/>
    <w:rsid w:val="004E095F"/>
    <w:rsid w:val="004E0B7F"/>
    <w:rsid w:val="004E0DD0"/>
    <w:rsid w:val="004E0F30"/>
    <w:rsid w:val="004E110B"/>
    <w:rsid w:val="004E15C5"/>
    <w:rsid w:val="004E1991"/>
    <w:rsid w:val="004E245C"/>
    <w:rsid w:val="004E252A"/>
    <w:rsid w:val="004E2786"/>
    <w:rsid w:val="004E28E1"/>
    <w:rsid w:val="004E2D6E"/>
    <w:rsid w:val="004E3423"/>
    <w:rsid w:val="004E3823"/>
    <w:rsid w:val="004E387F"/>
    <w:rsid w:val="004E3C80"/>
    <w:rsid w:val="004E4122"/>
    <w:rsid w:val="004E4440"/>
    <w:rsid w:val="004E4825"/>
    <w:rsid w:val="004E516B"/>
    <w:rsid w:val="004E5504"/>
    <w:rsid w:val="004E5A75"/>
    <w:rsid w:val="004E5E8E"/>
    <w:rsid w:val="004E6347"/>
    <w:rsid w:val="004E6357"/>
    <w:rsid w:val="004E6943"/>
    <w:rsid w:val="004E72B9"/>
    <w:rsid w:val="004E759C"/>
    <w:rsid w:val="004E7ADA"/>
    <w:rsid w:val="004E7D13"/>
    <w:rsid w:val="004E7FAF"/>
    <w:rsid w:val="004F004B"/>
    <w:rsid w:val="004F0171"/>
    <w:rsid w:val="004F03E0"/>
    <w:rsid w:val="004F08D9"/>
    <w:rsid w:val="004F0909"/>
    <w:rsid w:val="004F0DE3"/>
    <w:rsid w:val="004F0FCC"/>
    <w:rsid w:val="004F1C39"/>
    <w:rsid w:val="004F1D9F"/>
    <w:rsid w:val="004F2390"/>
    <w:rsid w:val="004F24B0"/>
    <w:rsid w:val="004F27D5"/>
    <w:rsid w:val="004F2ADF"/>
    <w:rsid w:val="004F36AE"/>
    <w:rsid w:val="004F39C0"/>
    <w:rsid w:val="004F3C95"/>
    <w:rsid w:val="004F4492"/>
    <w:rsid w:val="004F45B3"/>
    <w:rsid w:val="004F50D0"/>
    <w:rsid w:val="004F5188"/>
    <w:rsid w:val="004F5827"/>
    <w:rsid w:val="004F5A80"/>
    <w:rsid w:val="004F5B61"/>
    <w:rsid w:val="004F606D"/>
    <w:rsid w:val="004F66D1"/>
    <w:rsid w:val="004F6A6D"/>
    <w:rsid w:val="004F6C18"/>
    <w:rsid w:val="004F6C2D"/>
    <w:rsid w:val="004F6E2D"/>
    <w:rsid w:val="004F6E32"/>
    <w:rsid w:val="004F7461"/>
    <w:rsid w:val="0050020B"/>
    <w:rsid w:val="005002F3"/>
    <w:rsid w:val="00500548"/>
    <w:rsid w:val="005008EC"/>
    <w:rsid w:val="00500D4E"/>
    <w:rsid w:val="00500E47"/>
    <w:rsid w:val="00501493"/>
    <w:rsid w:val="0050191C"/>
    <w:rsid w:val="00502A4B"/>
    <w:rsid w:val="00502AE8"/>
    <w:rsid w:val="00502F64"/>
    <w:rsid w:val="005036D3"/>
    <w:rsid w:val="005039F1"/>
    <w:rsid w:val="00504773"/>
    <w:rsid w:val="00504C63"/>
    <w:rsid w:val="00505052"/>
    <w:rsid w:val="00505C75"/>
    <w:rsid w:val="00506745"/>
    <w:rsid w:val="0050693F"/>
    <w:rsid w:val="00506A55"/>
    <w:rsid w:val="00506A72"/>
    <w:rsid w:val="00506EAB"/>
    <w:rsid w:val="00506F43"/>
    <w:rsid w:val="00507446"/>
    <w:rsid w:val="00507849"/>
    <w:rsid w:val="00507E80"/>
    <w:rsid w:val="00510236"/>
    <w:rsid w:val="00510AF5"/>
    <w:rsid w:val="00510F70"/>
    <w:rsid w:val="00511047"/>
    <w:rsid w:val="005113F3"/>
    <w:rsid w:val="00511C56"/>
    <w:rsid w:val="00511FA9"/>
    <w:rsid w:val="005124C9"/>
    <w:rsid w:val="0051323D"/>
    <w:rsid w:val="00513BBF"/>
    <w:rsid w:val="00513CC1"/>
    <w:rsid w:val="005144DB"/>
    <w:rsid w:val="00514E87"/>
    <w:rsid w:val="00514F08"/>
    <w:rsid w:val="00515F7A"/>
    <w:rsid w:val="005168BE"/>
    <w:rsid w:val="00516AE1"/>
    <w:rsid w:val="00516C80"/>
    <w:rsid w:val="00516DA4"/>
    <w:rsid w:val="005172FD"/>
    <w:rsid w:val="00517540"/>
    <w:rsid w:val="00520DBC"/>
    <w:rsid w:val="00520F15"/>
    <w:rsid w:val="00520F24"/>
    <w:rsid w:val="00521296"/>
    <w:rsid w:val="00521583"/>
    <w:rsid w:val="00521B2F"/>
    <w:rsid w:val="00521C45"/>
    <w:rsid w:val="00522077"/>
    <w:rsid w:val="00522AC0"/>
    <w:rsid w:val="00522CD0"/>
    <w:rsid w:val="00523195"/>
    <w:rsid w:val="0052344E"/>
    <w:rsid w:val="0052376A"/>
    <w:rsid w:val="005237F3"/>
    <w:rsid w:val="00523CEB"/>
    <w:rsid w:val="00523EEF"/>
    <w:rsid w:val="00525843"/>
    <w:rsid w:val="00525864"/>
    <w:rsid w:val="00525B8C"/>
    <w:rsid w:val="00525F80"/>
    <w:rsid w:val="005260D2"/>
    <w:rsid w:val="00526108"/>
    <w:rsid w:val="00527971"/>
    <w:rsid w:val="00527B6F"/>
    <w:rsid w:val="00530440"/>
    <w:rsid w:val="00530800"/>
    <w:rsid w:val="00531B2B"/>
    <w:rsid w:val="00532CE3"/>
    <w:rsid w:val="005336FE"/>
    <w:rsid w:val="005338BD"/>
    <w:rsid w:val="005343BC"/>
    <w:rsid w:val="00534B00"/>
    <w:rsid w:val="005358FA"/>
    <w:rsid w:val="00535F07"/>
    <w:rsid w:val="00536625"/>
    <w:rsid w:val="00536A9E"/>
    <w:rsid w:val="00536B59"/>
    <w:rsid w:val="00536F35"/>
    <w:rsid w:val="0053732D"/>
    <w:rsid w:val="0053751E"/>
    <w:rsid w:val="005375D5"/>
    <w:rsid w:val="00537DC1"/>
    <w:rsid w:val="0054023C"/>
    <w:rsid w:val="005404B7"/>
    <w:rsid w:val="0054113D"/>
    <w:rsid w:val="00541756"/>
    <w:rsid w:val="005418F9"/>
    <w:rsid w:val="00542B4C"/>
    <w:rsid w:val="00542CA3"/>
    <w:rsid w:val="00542F2C"/>
    <w:rsid w:val="005432B2"/>
    <w:rsid w:val="00543709"/>
    <w:rsid w:val="005437B3"/>
    <w:rsid w:val="005439FE"/>
    <w:rsid w:val="005444D6"/>
    <w:rsid w:val="00544BE5"/>
    <w:rsid w:val="00545060"/>
    <w:rsid w:val="005453C9"/>
    <w:rsid w:val="00545400"/>
    <w:rsid w:val="0054571D"/>
    <w:rsid w:val="005459F7"/>
    <w:rsid w:val="00545BE6"/>
    <w:rsid w:val="00545E1F"/>
    <w:rsid w:val="0054637E"/>
    <w:rsid w:val="00546973"/>
    <w:rsid w:val="00546D10"/>
    <w:rsid w:val="00547043"/>
    <w:rsid w:val="00547348"/>
    <w:rsid w:val="005477C4"/>
    <w:rsid w:val="0054791E"/>
    <w:rsid w:val="00547D91"/>
    <w:rsid w:val="00547EA0"/>
    <w:rsid w:val="00550001"/>
    <w:rsid w:val="0055082D"/>
    <w:rsid w:val="00550893"/>
    <w:rsid w:val="00550986"/>
    <w:rsid w:val="00550DE1"/>
    <w:rsid w:val="00551129"/>
    <w:rsid w:val="00551135"/>
    <w:rsid w:val="00551296"/>
    <w:rsid w:val="005514FB"/>
    <w:rsid w:val="005515A8"/>
    <w:rsid w:val="00551983"/>
    <w:rsid w:val="0055208D"/>
    <w:rsid w:val="005526BE"/>
    <w:rsid w:val="00552D06"/>
    <w:rsid w:val="00553022"/>
    <w:rsid w:val="0055305D"/>
    <w:rsid w:val="00553082"/>
    <w:rsid w:val="00553350"/>
    <w:rsid w:val="005539F1"/>
    <w:rsid w:val="00553EF6"/>
    <w:rsid w:val="00554B2B"/>
    <w:rsid w:val="00554E70"/>
    <w:rsid w:val="0055598A"/>
    <w:rsid w:val="00555B2A"/>
    <w:rsid w:val="00555CEE"/>
    <w:rsid w:val="00555D4F"/>
    <w:rsid w:val="0055630A"/>
    <w:rsid w:val="00556535"/>
    <w:rsid w:val="00556842"/>
    <w:rsid w:val="00556D65"/>
    <w:rsid w:val="00557518"/>
    <w:rsid w:val="00557979"/>
    <w:rsid w:val="00557B37"/>
    <w:rsid w:val="00557CAA"/>
    <w:rsid w:val="00557D78"/>
    <w:rsid w:val="0056002D"/>
    <w:rsid w:val="005603BC"/>
    <w:rsid w:val="005604D9"/>
    <w:rsid w:val="00560FAC"/>
    <w:rsid w:val="0056107B"/>
    <w:rsid w:val="00561AFF"/>
    <w:rsid w:val="00562797"/>
    <w:rsid w:val="00563D9B"/>
    <w:rsid w:val="005641F8"/>
    <w:rsid w:val="00565C3B"/>
    <w:rsid w:val="00566C7E"/>
    <w:rsid w:val="0056719E"/>
    <w:rsid w:val="00567497"/>
    <w:rsid w:val="00567E44"/>
    <w:rsid w:val="005708CC"/>
    <w:rsid w:val="00570958"/>
    <w:rsid w:val="00570C56"/>
    <w:rsid w:val="00570ED5"/>
    <w:rsid w:val="00571056"/>
    <w:rsid w:val="00572F6F"/>
    <w:rsid w:val="005730DB"/>
    <w:rsid w:val="00573368"/>
    <w:rsid w:val="00574AD4"/>
    <w:rsid w:val="00574C42"/>
    <w:rsid w:val="0057565B"/>
    <w:rsid w:val="005756FC"/>
    <w:rsid w:val="00576244"/>
    <w:rsid w:val="005763B0"/>
    <w:rsid w:val="00576593"/>
    <w:rsid w:val="00576B3A"/>
    <w:rsid w:val="00576B63"/>
    <w:rsid w:val="005770C6"/>
    <w:rsid w:val="00580182"/>
    <w:rsid w:val="00580698"/>
    <w:rsid w:val="005812E7"/>
    <w:rsid w:val="0058140B"/>
    <w:rsid w:val="00582471"/>
    <w:rsid w:val="0058290B"/>
    <w:rsid w:val="005832B5"/>
    <w:rsid w:val="0058337B"/>
    <w:rsid w:val="005839BA"/>
    <w:rsid w:val="005846CF"/>
    <w:rsid w:val="00584BFC"/>
    <w:rsid w:val="005853FB"/>
    <w:rsid w:val="00585661"/>
    <w:rsid w:val="005857E4"/>
    <w:rsid w:val="005859CA"/>
    <w:rsid w:val="00585F75"/>
    <w:rsid w:val="00586878"/>
    <w:rsid w:val="00586E76"/>
    <w:rsid w:val="00587085"/>
    <w:rsid w:val="0058721F"/>
    <w:rsid w:val="00587453"/>
    <w:rsid w:val="0058759D"/>
    <w:rsid w:val="00587671"/>
    <w:rsid w:val="00587A4E"/>
    <w:rsid w:val="00587EBE"/>
    <w:rsid w:val="00590297"/>
    <w:rsid w:val="005902AE"/>
    <w:rsid w:val="005917E6"/>
    <w:rsid w:val="00591848"/>
    <w:rsid w:val="005922CA"/>
    <w:rsid w:val="005934A4"/>
    <w:rsid w:val="00593503"/>
    <w:rsid w:val="00593653"/>
    <w:rsid w:val="00593655"/>
    <w:rsid w:val="00593CF2"/>
    <w:rsid w:val="00593DE5"/>
    <w:rsid w:val="0059446D"/>
    <w:rsid w:val="00594A62"/>
    <w:rsid w:val="00594ABB"/>
    <w:rsid w:val="00594FF5"/>
    <w:rsid w:val="00595786"/>
    <w:rsid w:val="00595956"/>
    <w:rsid w:val="00595C88"/>
    <w:rsid w:val="00595D93"/>
    <w:rsid w:val="00595ECD"/>
    <w:rsid w:val="00596745"/>
    <w:rsid w:val="005968A9"/>
    <w:rsid w:val="0059694F"/>
    <w:rsid w:val="00596FB9"/>
    <w:rsid w:val="00597359"/>
    <w:rsid w:val="005A0671"/>
    <w:rsid w:val="005A0F9E"/>
    <w:rsid w:val="005A129A"/>
    <w:rsid w:val="005A177A"/>
    <w:rsid w:val="005A27D9"/>
    <w:rsid w:val="005A3336"/>
    <w:rsid w:val="005A33E0"/>
    <w:rsid w:val="005A383A"/>
    <w:rsid w:val="005A3B75"/>
    <w:rsid w:val="005A46FC"/>
    <w:rsid w:val="005A4A30"/>
    <w:rsid w:val="005A4B2C"/>
    <w:rsid w:val="005A4E64"/>
    <w:rsid w:val="005A51F2"/>
    <w:rsid w:val="005A553D"/>
    <w:rsid w:val="005A5970"/>
    <w:rsid w:val="005A5BE0"/>
    <w:rsid w:val="005A6290"/>
    <w:rsid w:val="005A6334"/>
    <w:rsid w:val="005A779F"/>
    <w:rsid w:val="005A78F8"/>
    <w:rsid w:val="005B077F"/>
    <w:rsid w:val="005B0860"/>
    <w:rsid w:val="005B0865"/>
    <w:rsid w:val="005B0A0C"/>
    <w:rsid w:val="005B0C27"/>
    <w:rsid w:val="005B1945"/>
    <w:rsid w:val="005B1AA5"/>
    <w:rsid w:val="005B1B44"/>
    <w:rsid w:val="005B1C7D"/>
    <w:rsid w:val="005B1E98"/>
    <w:rsid w:val="005B325A"/>
    <w:rsid w:val="005B329A"/>
    <w:rsid w:val="005B3F6E"/>
    <w:rsid w:val="005B4054"/>
    <w:rsid w:val="005B44F6"/>
    <w:rsid w:val="005B4EA2"/>
    <w:rsid w:val="005B4F90"/>
    <w:rsid w:val="005B5860"/>
    <w:rsid w:val="005B5B67"/>
    <w:rsid w:val="005B5C46"/>
    <w:rsid w:val="005B609C"/>
    <w:rsid w:val="005B6287"/>
    <w:rsid w:val="005B6386"/>
    <w:rsid w:val="005B65A5"/>
    <w:rsid w:val="005B6870"/>
    <w:rsid w:val="005B689C"/>
    <w:rsid w:val="005B6B70"/>
    <w:rsid w:val="005B6E09"/>
    <w:rsid w:val="005B74F3"/>
    <w:rsid w:val="005B79E5"/>
    <w:rsid w:val="005C045C"/>
    <w:rsid w:val="005C0F7C"/>
    <w:rsid w:val="005C10D8"/>
    <w:rsid w:val="005C1461"/>
    <w:rsid w:val="005C22CE"/>
    <w:rsid w:val="005C2684"/>
    <w:rsid w:val="005C2688"/>
    <w:rsid w:val="005C289E"/>
    <w:rsid w:val="005C2C1D"/>
    <w:rsid w:val="005C2D58"/>
    <w:rsid w:val="005C3542"/>
    <w:rsid w:val="005C422A"/>
    <w:rsid w:val="005C4492"/>
    <w:rsid w:val="005C4716"/>
    <w:rsid w:val="005C4912"/>
    <w:rsid w:val="005C4BE6"/>
    <w:rsid w:val="005C4E5F"/>
    <w:rsid w:val="005C577B"/>
    <w:rsid w:val="005C5C94"/>
    <w:rsid w:val="005C658B"/>
    <w:rsid w:val="005D0034"/>
    <w:rsid w:val="005D0464"/>
    <w:rsid w:val="005D0DF1"/>
    <w:rsid w:val="005D0FBC"/>
    <w:rsid w:val="005D1B8F"/>
    <w:rsid w:val="005D29DA"/>
    <w:rsid w:val="005D2CE7"/>
    <w:rsid w:val="005D2E2D"/>
    <w:rsid w:val="005D2F7D"/>
    <w:rsid w:val="005D3007"/>
    <w:rsid w:val="005D3A42"/>
    <w:rsid w:val="005D3B65"/>
    <w:rsid w:val="005D3EEA"/>
    <w:rsid w:val="005D4057"/>
    <w:rsid w:val="005D469F"/>
    <w:rsid w:val="005D4946"/>
    <w:rsid w:val="005D49C8"/>
    <w:rsid w:val="005D4A03"/>
    <w:rsid w:val="005D4E4E"/>
    <w:rsid w:val="005D5165"/>
    <w:rsid w:val="005D5CE6"/>
    <w:rsid w:val="005D657F"/>
    <w:rsid w:val="005D694E"/>
    <w:rsid w:val="005D69AB"/>
    <w:rsid w:val="005D6B06"/>
    <w:rsid w:val="005D6C1B"/>
    <w:rsid w:val="005D7144"/>
    <w:rsid w:val="005D7462"/>
    <w:rsid w:val="005D751E"/>
    <w:rsid w:val="005D7D89"/>
    <w:rsid w:val="005D7FC5"/>
    <w:rsid w:val="005E038C"/>
    <w:rsid w:val="005E0B7C"/>
    <w:rsid w:val="005E0E3D"/>
    <w:rsid w:val="005E16DE"/>
    <w:rsid w:val="005E1C85"/>
    <w:rsid w:val="005E1FDF"/>
    <w:rsid w:val="005E2271"/>
    <w:rsid w:val="005E2DFB"/>
    <w:rsid w:val="005E3265"/>
    <w:rsid w:val="005E3300"/>
    <w:rsid w:val="005E3667"/>
    <w:rsid w:val="005E38B6"/>
    <w:rsid w:val="005E3D05"/>
    <w:rsid w:val="005E432B"/>
    <w:rsid w:val="005E447C"/>
    <w:rsid w:val="005E475B"/>
    <w:rsid w:val="005E50E3"/>
    <w:rsid w:val="005E5795"/>
    <w:rsid w:val="005E57D3"/>
    <w:rsid w:val="005E5AE5"/>
    <w:rsid w:val="005E608F"/>
    <w:rsid w:val="005E62B0"/>
    <w:rsid w:val="005E6D8D"/>
    <w:rsid w:val="005E70E4"/>
    <w:rsid w:val="005E76E9"/>
    <w:rsid w:val="005E76EA"/>
    <w:rsid w:val="005E777D"/>
    <w:rsid w:val="005E7F7F"/>
    <w:rsid w:val="005F0438"/>
    <w:rsid w:val="005F07C4"/>
    <w:rsid w:val="005F085A"/>
    <w:rsid w:val="005F086D"/>
    <w:rsid w:val="005F0A3E"/>
    <w:rsid w:val="005F0A3F"/>
    <w:rsid w:val="005F0C81"/>
    <w:rsid w:val="005F0DC1"/>
    <w:rsid w:val="005F10DB"/>
    <w:rsid w:val="005F116D"/>
    <w:rsid w:val="005F1530"/>
    <w:rsid w:val="005F1A20"/>
    <w:rsid w:val="005F1B03"/>
    <w:rsid w:val="005F391F"/>
    <w:rsid w:val="005F4561"/>
    <w:rsid w:val="005F4B62"/>
    <w:rsid w:val="005F4BAE"/>
    <w:rsid w:val="005F4D7E"/>
    <w:rsid w:val="005F51A2"/>
    <w:rsid w:val="005F5402"/>
    <w:rsid w:val="005F5604"/>
    <w:rsid w:val="005F58D6"/>
    <w:rsid w:val="005F5A1B"/>
    <w:rsid w:val="005F5C4D"/>
    <w:rsid w:val="005F5DC4"/>
    <w:rsid w:val="005F6523"/>
    <w:rsid w:val="005F6EDE"/>
    <w:rsid w:val="005F734B"/>
    <w:rsid w:val="005F77A3"/>
    <w:rsid w:val="005F7FC5"/>
    <w:rsid w:val="00600B55"/>
    <w:rsid w:val="00600EA6"/>
    <w:rsid w:val="0060173A"/>
    <w:rsid w:val="00601807"/>
    <w:rsid w:val="006020E7"/>
    <w:rsid w:val="006028FC"/>
    <w:rsid w:val="006028FD"/>
    <w:rsid w:val="00602996"/>
    <w:rsid w:val="00602E81"/>
    <w:rsid w:val="00603706"/>
    <w:rsid w:val="006037A8"/>
    <w:rsid w:val="00603AAA"/>
    <w:rsid w:val="00603C92"/>
    <w:rsid w:val="00603D69"/>
    <w:rsid w:val="00603DA0"/>
    <w:rsid w:val="006042FA"/>
    <w:rsid w:val="0060450B"/>
    <w:rsid w:val="0060491C"/>
    <w:rsid w:val="0060493B"/>
    <w:rsid w:val="006051FA"/>
    <w:rsid w:val="0060533A"/>
    <w:rsid w:val="006067AB"/>
    <w:rsid w:val="00606C2A"/>
    <w:rsid w:val="00606D70"/>
    <w:rsid w:val="00607350"/>
    <w:rsid w:val="00607FFE"/>
    <w:rsid w:val="0061030D"/>
    <w:rsid w:val="00610417"/>
    <w:rsid w:val="0061094A"/>
    <w:rsid w:val="00610A54"/>
    <w:rsid w:val="00610F45"/>
    <w:rsid w:val="00610F8F"/>
    <w:rsid w:val="006111D2"/>
    <w:rsid w:val="00611984"/>
    <w:rsid w:val="00611F71"/>
    <w:rsid w:val="00612AFE"/>
    <w:rsid w:val="0061330D"/>
    <w:rsid w:val="00613BDC"/>
    <w:rsid w:val="006142AD"/>
    <w:rsid w:val="006144F9"/>
    <w:rsid w:val="00614550"/>
    <w:rsid w:val="00614C14"/>
    <w:rsid w:val="006150E6"/>
    <w:rsid w:val="00616991"/>
    <w:rsid w:val="00616DE0"/>
    <w:rsid w:val="006170F0"/>
    <w:rsid w:val="00617454"/>
    <w:rsid w:val="006203D3"/>
    <w:rsid w:val="0062096D"/>
    <w:rsid w:val="0062111A"/>
    <w:rsid w:val="006212A2"/>
    <w:rsid w:val="00621661"/>
    <w:rsid w:val="00621C9C"/>
    <w:rsid w:val="006223CC"/>
    <w:rsid w:val="00622610"/>
    <w:rsid w:val="0062296B"/>
    <w:rsid w:val="00623013"/>
    <w:rsid w:val="00623100"/>
    <w:rsid w:val="00623886"/>
    <w:rsid w:val="00623C21"/>
    <w:rsid w:val="006247B9"/>
    <w:rsid w:val="00624972"/>
    <w:rsid w:val="006250D6"/>
    <w:rsid w:val="0062561A"/>
    <w:rsid w:val="0062579F"/>
    <w:rsid w:val="006257D1"/>
    <w:rsid w:val="00625994"/>
    <w:rsid w:val="00625C2D"/>
    <w:rsid w:val="00625CA4"/>
    <w:rsid w:val="00626D2F"/>
    <w:rsid w:val="00627046"/>
    <w:rsid w:val="006275F4"/>
    <w:rsid w:val="006277E2"/>
    <w:rsid w:val="00627CA8"/>
    <w:rsid w:val="00627E1A"/>
    <w:rsid w:val="00630271"/>
    <w:rsid w:val="00630369"/>
    <w:rsid w:val="0063062D"/>
    <w:rsid w:val="00630D40"/>
    <w:rsid w:val="0063179E"/>
    <w:rsid w:val="006317EE"/>
    <w:rsid w:val="00632575"/>
    <w:rsid w:val="00632C1A"/>
    <w:rsid w:val="00632D2F"/>
    <w:rsid w:val="00632D3D"/>
    <w:rsid w:val="00632DD5"/>
    <w:rsid w:val="00633172"/>
    <w:rsid w:val="00633327"/>
    <w:rsid w:val="006336F6"/>
    <w:rsid w:val="006337E4"/>
    <w:rsid w:val="0063393B"/>
    <w:rsid w:val="00633945"/>
    <w:rsid w:val="00633B33"/>
    <w:rsid w:val="006345C3"/>
    <w:rsid w:val="006346A3"/>
    <w:rsid w:val="0063480C"/>
    <w:rsid w:val="00634D0C"/>
    <w:rsid w:val="00634ED0"/>
    <w:rsid w:val="00634FE8"/>
    <w:rsid w:val="00635753"/>
    <w:rsid w:val="0063622F"/>
    <w:rsid w:val="006366FE"/>
    <w:rsid w:val="00636749"/>
    <w:rsid w:val="0063685A"/>
    <w:rsid w:val="0063696D"/>
    <w:rsid w:val="00636F07"/>
    <w:rsid w:val="00637002"/>
    <w:rsid w:val="006378EF"/>
    <w:rsid w:val="0064051A"/>
    <w:rsid w:val="006407B4"/>
    <w:rsid w:val="00640D4E"/>
    <w:rsid w:val="006414A8"/>
    <w:rsid w:val="006414FF"/>
    <w:rsid w:val="006416F3"/>
    <w:rsid w:val="00641752"/>
    <w:rsid w:val="00641DA0"/>
    <w:rsid w:val="00641E99"/>
    <w:rsid w:val="006420EA"/>
    <w:rsid w:val="006421BA"/>
    <w:rsid w:val="006421D4"/>
    <w:rsid w:val="00642288"/>
    <w:rsid w:val="00642533"/>
    <w:rsid w:val="00643EFF"/>
    <w:rsid w:val="00644DC5"/>
    <w:rsid w:val="00644F89"/>
    <w:rsid w:val="006457BF"/>
    <w:rsid w:val="006458C3"/>
    <w:rsid w:val="00645F0D"/>
    <w:rsid w:val="0064756D"/>
    <w:rsid w:val="00647714"/>
    <w:rsid w:val="0064782C"/>
    <w:rsid w:val="00647B83"/>
    <w:rsid w:val="00647F04"/>
    <w:rsid w:val="0065094D"/>
    <w:rsid w:val="00650A4E"/>
    <w:rsid w:val="00650B65"/>
    <w:rsid w:val="00650DDE"/>
    <w:rsid w:val="00651039"/>
    <w:rsid w:val="0065104A"/>
    <w:rsid w:val="006515D7"/>
    <w:rsid w:val="00651A4C"/>
    <w:rsid w:val="006521C7"/>
    <w:rsid w:val="0065220F"/>
    <w:rsid w:val="006525C9"/>
    <w:rsid w:val="006526AD"/>
    <w:rsid w:val="0065349D"/>
    <w:rsid w:val="006540F9"/>
    <w:rsid w:val="00654128"/>
    <w:rsid w:val="006542A1"/>
    <w:rsid w:val="006543ED"/>
    <w:rsid w:val="006544D9"/>
    <w:rsid w:val="006548E3"/>
    <w:rsid w:val="00654B38"/>
    <w:rsid w:val="00655280"/>
    <w:rsid w:val="00655E5F"/>
    <w:rsid w:val="00656A63"/>
    <w:rsid w:val="006571F4"/>
    <w:rsid w:val="006575F7"/>
    <w:rsid w:val="00657B11"/>
    <w:rsid w:val="00657D25"/>
    <w:rsid w:val="00657E65"/>
    <w:rsid w:val="006600DF"/>
    <w:rsid w:val="006601D7"/>
    <w:rsid w:val="00660497"/>
    <w:rsid w:val="00660ABC"/>
    <w:rsid w:val="00660EA3"/>
    <w:rsid w:val="00661D53"/>
    <w:rsid w:val="00661F5D"/>
    <w:rsid w:val="006627D2"/>
    <w:rsid w:val="00662AF4"/>
    <w:rsid w:val="00663069"/>
    <w:rsid w:val="006635BD"/>
    <w:rsid w:val="00664117"/>
    <w:rsid w:val="006642FA"/>
    <w:rsid w:val="00664449"/>
    <w:rsid w:val="00664E8A"/>
    <w:rsid w:val="00665500"/>
    <w:rsid w:val="0066581A"/>
    <w:rsid w:val="0066592A"/>
    <w:rsid w:val="00665E9F"/>
    <w:rsid w:val="006663A0"/>
    <w:rsid w:val="00666729"/>
    <w:rsid w:val="00666861"/>
    <w:rsid w:val="00666AC1"/>
    <w:rsid w:val="00666D1D"/>
    <w:rsid w:val="0066740C"/>
    <w:rsid w:val="0066747A"/>
    <w:rsid w:val="00667BE1"/>
    <w:rsid w:val="006704CF"/>
    <w:rsid w:val="006706BD"/>
    <w:rsid w:val="00670C38"/>
    <w:rsid w:val="00671107"/>
    <w:rsid w:val="00671B7E"/>
    <w:rsid w:val="00672059"/>
    <w:rsid w:val="00672339"/>
    <w:rsid w:val="00672666"/>
    <w:rsid w:val="00672811"/>
    <w:rsid w:val="00672843"/>
    <w:rsid w:val="006728F0"/>
    <w:rsid w:val="00672D41"/>
    <w:rsid w:val="00672DE4"/>
    <w:rsid w:val="00673A87"/>
    <w:rsid w:val="00673AD9"/>
    <w:rsid w:val="00675391"/>
    <w:rsid w:val="0067545D"/>
    <w:rsid w:val="00675644"/>
    <w:rsid w:val="006758F5"/>
    <w:rsid w:val="00675D83"/>
    <w:rsid w:val="00675D95"/>
    <w:rsid w:val="00675EDE"/>
    <w:rsid w:val="006763CA"/>
    <w:rsid w:val="006764FF"/>
    <w:rsid w:val="00676788"/>
    <w:rsid w:val="006767FE"/>
    <w:rsid w:val="00676FEE"/>
    <w:rsid w:val="006771B5"/>
    <w:rsid w:val="00677856"/>
    <w:rsid w:val="00677DE0"/>
    <w:rsid w:val="00680C27"/>
    <w:rsid w:val="00680FAB"/>
    <w:rsid w:val="006816F2"/>
    <w:rsid w:val="00681952"/>
    <w:rsid w:val="00681CD6"/>
    <w:rsid w:val="00681D62"/>
    <w:rsid w:val="00681E17"/>
    <w:rsid w:val="0068260C"/>
    <w:rsid w:val="00682B47"/>
    <w:rsid w:val="00682B86"/>
    <w:rsid w:val="00682BED"/>
    <w:rsid w:val="00682DF6"/>
    <w:rsid w:val="00682FD5"/>
    <w:rsid w:val="0068339E"/>
    <w:rsid w:val="006835AE"/>
    <w:rsid w:val="006836D5"/>
    <w:rsid w:val="00684023"/>
    <w:rsid w:val="00684541"/>
    <w:rsid w:val="0068487E"/>
    <w:rsid w:val="00684D31"/>
    <w:rsid w:val="00684E65"/>
    <w:rsid w:val="00684F02"/>
    <w:rsid w:val="0068506F"/>
    <w:rsid w:val="006856BD"/>
    <w:rsid w:val="006859B5"/>
    <w:rsid w:val="00685A4C"/>
    <w:rsid w:val="00685D34"/>
    <w:rsid w:val="00685EAD"/>
    <w:rsid w:val="006861E8"/>
    <w:rsid w:val="0068633C"/>
    <w:rsid w:val="006863EA"/>
    <w:rsid w:val="0068652B"/>
    <w:rsid w:val="00686A99"/>
    <w:rsid w:val="00686CD3"/>
    <w:rsid w:val="00687638"/>
    <w:rsid w:val="0068785A"/>
    <w:rsid w:val="00687B77"/>
    <w:rsid w:val="006907D8"/>
    <w:rsid w:val="0069094A"/>
    <w:rsid w:val="00690F8C"/>
    <w:rsid w:val="006918F5"/>
    <w:rsid w:val="00692180"/>
    <w:rsid w:val="00692274"/>
    <w:rsid w:val="0069257A"/>
    <w:rsid w:val="006927D1"/>
    <w:rsid w:val="00692A1C"/>
    <w:rsid w:val="00692A5E"/>
    <w:rsid w:val="00692BA6"/>
    <w:rsid w:val="00692FD4"/>
    <w:rsid w:val="006930D3"/>
    <w:rsid w:val="00693F46"/>
    <w:rsid w:val="00693FC2"/>
    <w:rsid w:val="0069423F"/>
    <w:rsid w:val="006945BF"/>
    <w:rsid w:val="00695983"/>
    <w:rsid w:val="00695A56"/>
    <w:rsid w:val="00695C21"/>
    <w:rsid w:val="006965BF"/>
    <w:rsid w:val="006975BE"/>
    <w:rsid w:val="0069760C"/>
    <w:rsid w:val="00697655"/>
    <w:rsid w:val="00697A9A"/>
    <w:rsid w:val="00697C62"/>
    <w:rsid w:val="00697DF2"/>
    <w:rsid w:val="00697F96"/>
    <w:rsid w:val="00697FD7"/>
    <w:rsid w:val="006A03E0"/>
    <w:rsid w:val="006A04F5"/>
    <w:rsid w:val="006A0AC4"/>
    <w:rsid w:val="006A0B0B"/>
    <w:rsid w:val="006A0B7E"/>
    <w:rsid w:val="006A1079"/>
    <w:rsid w:val="006A1AC8"/>
    <w:rsid w:val="006A22C6"/>
    <w:rsid w:val="006A2CD3"/>
    <w:rsid w:val="006A338A"/>
    <w:rsid w:val="006A3791"/>
    <w:rsid w:val="006A45A7"/>
    <w:rsid w:val="006A49FF"/>
    <w:rsid w:val="006A4D7C"/>
    <w:rsid w:val="006A5420"/>
    <w:rsid w:val="006A5774"/>
    <w:rsid w:val="006A58E8"/>
    <w:rsid w:val="006A599E"/>
    <w:rsid w:val="006A59CE"/>
    <w:rsid w:val="006A5AB5"/>
    <w:rsid w:val="006A5C64"/>
    <w:rsid w:val="006A5D68"/>
    <w:rsid w:val="006A60AD"/>
    <w:rsid w:val="006A64FF"/>
    <w:rsid w:val="006A7562"/>
    <w:rsid w:val="006B0224"/>
    <w:rsid w:val="006B0457"/>
    <w:rsid w:val="006B1D01"/>
    <w:rsid w:val="006B246B"/>
    <w:rsid w:val="006B2F9C"/>
    <w:rsid w:val="006B3F9B"/>
    <w:rsid w:val="006B4091"/>
    <w:rsid w:val="006B44FD"/>
    <w:rsid w:val="006B4C72"/>
    <w:rsid w:val="006B6B9F"/>
    <w:rsid w:val="006B70DD"/>
    <w:rsid w:val="006B734B"/>
    <w:rsid w:val="006B739D"/>
    <w:rsid w:val="006B74C1"/>
    <w:rsid w:val="006B7AEF"/>
    <w:rsid w:val="006B7DBB"/>
    <w:rsid w:val="006B7E03"/>
    <w:rsid w:val="006C051A"/>
    <w:rsid w:val="006C0949"/>
    <w:rsid w:val="006C198E"/>
    <w:rsid w:val="006C1F3C"/>
    <w:rsid w:val="006C2699"/>
    <w:rsid w:val="006C290D"/>
    <w:rsid w:val="006C2A13"/>
    <w:rsid w:val="006C2FE0"/>
    <w:rsid w:val="006C3618"/>
    <w:rsid w:val="006C4D07"/>
    <w:rsid w:val="006C4F7C"/>
    <w:rsid w:val="006C5675"/>
    <w:rsid w:val="006C5CA3"/>
    <w:rsid w:val="006C65DF"/>
    <w:rsid w:val="006C6860"/>
    <w:rsid w:val="006C6B2B"/>
    <w:rsid w:val="006C6C71"/>
    <w:rsid w:val="006C70BC"/>
    <w:rsid w:val="006C7BF7"/>
    <w:rsid w:val="006D00F5"/>
    <w:rsid w:val="006D021F"/>
    <w:rsid w:val="006D04E7"/>
    <w:rsid w:val="006D09F0"/>
    <w:rsid w:val="006D0D9A"/>
    <w:rsid w:val="006D0E10"/>
    <w:rsid w:val="006D1085"/>
    <w:rsid w:val="006D155D"/>
    <w:rsid w:val="006D1997"/>
    <w:rsid w:val="006D1CA1"/>
    <w:rsid w:val="006D1FEF"/>
    <w:rsid w:val="006D2155"/>
    <w:rsid w:val="006D238D"/>
    <w:rsid w:val="006D26DC"/>
    <w:rsid w:val="006D2818"/>
    <w:rsid w:val="006D2AA9"/>
    <w:rsid w:val="006D400F"/>
    <w:rsid w:val="006D4922"/>
    <w:rsid w:val="006D4D9A"/>
    <w:rsid w:val="006D4EB5"/>
    <w:rsid w:val="006D5034"/>
    <w:rsid w:val="006D54CD"/>
    <w:rsid w:val="006D562F"/>
    <w:rsid w:val="006D5A95"/>
    <w:rsid w:val="006D5B54"/>
    <w:rsid w:val="006D5DE1"/>
    <w:rsid w:val="006D6660"/>
    <w:rsid w:val="006D66C7"/>
    <w:rsid w:val="006D6EBE"/>
    <w:rsid w:val="006D7866"/>
    <w:rsid w:val="006E03B4"/>
    <w:rsid w:val="006E0772"/>
    <w:rsid w:val="006E0E3A"/>
    <w:rsid w:val="006E1315"/>
    <w:rsid w:val="006E1A1E"/>
    <w:rsid w:val="006E1B7C"/>
    <w:rsid w:val="006E2214"/>
    <w:rsid w:val="006E251B"/>
    <w:rsid w:val="006E292E"/>
    <w:rsid w:val="006E2A2C"/>
    <w:rsid w:val="006E3360"/>
    <w:rsid w:val="006E3927"/>
    <w:rsid w:val="006E39E3"/>
    <w:rsid w:val="006E3CBF"/>
    <w:rsid w:val="006E4AFD"/>
    <w:rsid w:val="006E52D8"/>
    <w:rsid w:val="006E598C"/>
    <w:rsid w:val="006E5BA3"/>
    <w:rsid w:val="006E5DD8"/>
    <w:rsid w:val="006E68D4"/>
    <w:rsid w:val="006E6E50"/>
    <w:rsid w:val="006E6FC8"/>
    <w:rsid w:val="006E7454"/>
    <w:rsid w:val="006E7827"/>
    <w:rsid w:val="006E782C"/>
    <w:rsid w:val="006F018F"/>
    <w:rsid w:val="006F02E2"/>
    <w:rsid w:val="006F0537"/>
    <w:rsid w:val="006F0582"/>
    <w:rsid w:val="006F0AFE"/>
    <w:rsid w:val="006F0BFA"/>
    <w:rsid w:val="006F0FA1"/>
    <w:rsid w:val="006F1536"/>
    <w:rsid w:val="006F28EB"/>
    <w:rsid w:val="006F2EA4"/>
    <w:rsid w:val="006F3425"/>
    <w:rsid w:val="006F3806"/>
    <w:rsid w:val="006F3C37"/>
    <w:rsid w:val="006F3DAA"/>
    <w:rsid w:val="006F45D7"/>
    <w:rsid w:val="006F4BD2"/>
    <w:rsid w:val="006F4C8C"/>
    <w:rsid w:val="006F4EDA"/>
    <w:rsid w:val="006F5C36"/>
    <w:rsid w:val="006F6A21"/>
    <w:rsid w:val="006F6F3F"/>
    <w:rsid w:val="006F7CD4"/>
    <w:rsid w:val="006F7D98"/>
    <w:rsid w:val="0070026A"/>
    <w:rsid w:val="00700604"/>
    <w:rsid w:val="00700833"/>
    <w:rsid w:val="00700CF5"/>
    <w:rsid w:val="0070119D"/>
    <w:rsid w:val="00701534"/>
    <w:rsid w:val="00701913"/>
    <w:rsid w:val="00701E01"/>
    <w:rsid w:val="0070216B"/>
    <w:rsid w:val="00702EC6"/>
    <w:rsid w:val="00703590"/>
    <w:rsid w:val="007035A7"/>
    <w:rsid w:val="00703E8E"/>
    <w:rsid w:val="00704483"/>
    <w:rsid w:val="00704B04"/>
    <w:rsid w:val="00704C28"/>
    <w:rsid w:val="00704D4B"/>
    <w:rsid w:val="007050CB"/>
    <w:rsid w:val="00705303"/>
    <w:rsid w:val="007054A7"/>
    <w:rsid w:val="00705A71"/>
    <w:rsid w:val="00705C21"/>
    <w:rsid w:val="00706E3D"/>
    <w:rsid w:val="00706E58"/>
    <w:rsid w:val="007077F9"/>
    <w:rsid w:val="00707F0B"/>
    <w:rsid w:val="0071024C"/>
    <w:rsid w:val="00710460"/>
    <w:rsid w:val="00710748"/>
    <w:rsid w:val="007108DE"/>
    <w:rsid w:val="00710906"/>
    <w:rsid w:val="00710B3E"/>
    <w:rsid w:val="00710F95"/>
    <w:rsid w:val="007110E0"/>
    <w:rsid w:val="007117F9"/>
    <w:rsid w:val="00711AB3"/>
    <w:rsid w:val="00711B61"/>
    <w:rsid w:val="00711E60"/>
    <w:rsid w:val="00712363"/>
    <w:rsid w:val="007123A6"/>
    <w:rsid w:val="007127DA"/>
    <w:rsid w:val="00712A62"/>
    <w:rsid w:val="00713757"/>
    <w:rsid w:val="00713965"/>
    <w:rsid w:val="00713DD2"/>
    <w:rsid w:val="00713FFA"/>
    <w:rsid w:val="00714376"/>
    <w:rsid w:val="00714852"/>
    <w:rsid w:val="007159C7"/>
    <w:rsid w:val="00716402"/>
    <w:rsid w:val="0071666F"/>
    <w:rsid w:val="007167A1"/>
    <w:rsid w:val="00716877"/>
    <w:rsid w:val="00716CAC"/>
    <w:rsid w:val="0071763B"/>
    <w:rsid w:val="00717A1F"/>
    <w:rsid w:val="0072059B"/>
    <w:rsid w:val="007208F7"/>
    <w:rsid w:val="007209F0"/>
    <w:rsid w:val="00721933"/>
    <w:rsid w:val="007226B4"/>
    <w:rsid w:val="00723825"/>
    <w:rsid w:val="00723D68"/>
    <w:rsid w:val="0072464C"/>
    <w:rsid w:val="00724BEA"/>
    <w:rsid w:val="00724D65"/>
    <w:rsid w:val="007255D8"/>
    <w:rsid w:val="0072593A"/>
    <w:rsid w:val="00725FF0"/>
    <w:rsid w:val="007264F6"/>
    <w:rsid w:val="00726762"/>
    <w:rsid w:val="00726F54"/>
    <w:rsid w:val="007271A4"/>
    <w:rsid w:val="00727655"/>
    <w:rsid w:val="007276B9"/>
    <w:rsid w:val="00727837"/>
    <w:rsid w:val="00727C2B"/>
    <w:rsid w:val="00730373"/>
    <w:rsid w:val="007305F3"/>
    <w:rsid w:val="00730BE6"/>
    <w:rsid w:val="00730CD3"/>
    <w:rsid w:val="00732237"/>
    <w:rsid w:val="00732254"/>
    <w:rsid w:val="00732417"/>
    <w:rsid w:val="007324A2"/>
    <w:rsid w:val="007328F6"/>
    <w:rsid w:val="00732FD8"/>
    <w:rsid w:val="00733110"/>
    <w:rsid w:val="007338E1"/>
    <w:rsid w:val="007342F7"/>
    <w:rsid w:val="00734FFB"/>
    <w:rsid w:val="00735536"/>
    <w:rsid w:val="00735EA1"/>
    <w:rsid w:val="00736A29"/>
    <w:rsid w:val="00736C0C"/>
    <w:rsid w:val="00736E03"/>
    <w:rsid w:val="00736F98"/>
    <w:rsid w:val="00737012"/>
    <w:rsid w:val="007371E4"/>
    <w:rsid w:val="00737214"/>
    <w:rsid w:val="007372AA"/>
    <w:rsid w:val="0073748A"/>
    <w:rsid w:val="007378BF"/>
    <w:rsid w:val="00737AEA"/>
    <w:rsid w:val="00737E34"/>
    <w:rsid w:val="00737F2A"/>
    <w:rsid w:val="0074019B"/>
    <w:rsid w:val="00740236"/>
    <w:rsid w:val="00740F31"/>
    <w:rsid w:val="0074127E"/>
    <w:rsid w:val="007417D7"/>
    <w:rsid w:val="00741B27"/>
    <w:rsid w:val="007424D2"/>
    <w:rsid w:val="00742B0B"/>
    <w:rsid w:val="00742BE5"/>
    <w:rsid w:val="00742CFC"/>
    <w:rsid w:val="00742E96"/>
    <w:rsid w:val="00743382"/>
    <w:rsid w:val="0074422A"/>
    <w:rsid w:val="007446C3"/>
    <w:rsid w:val="00744951"/>
    <w:rsid w:val="00744952"/>
    <w:rsid w:val="007456E8"/>
    <w:rsid w:val="0074595D"/>
    <w:rsid w:val="00745C16"/>
    <w:rsid w:val="00745DD1"/>
    <w:rsid w:val="00745EF4"/>
    <w:rsid w:val="007464BD"/>
    <w:rsid w:val="0074671F"/>
    <w:rsid w:val="00746905"/>
    <w:rsid w:val="007471A7"/>
    <w:rsid w:val="007472AA"/>
    <w:rsid w:val="0074730E"/>
    <w:rsid w:val="00747332"/>
    <w:rsid w:val="00747476"/>
    <w:rsid w:val="0074760F"/>
    <w:rsid w:val="00747D1F"/>
    <w:rsid w:val="0075012F"/>
    <w:rsid w:val="007505D9"/>
    <w:rsid w:val="007506C3"/>
    <w:rsid w:val="007508DA"/>
    <w:rsid w:val="00751713"/>
    <w:rsid w:val="00751E1F"/>
    <w:rsid w:val="007521B9"/>
    <w:rsid w:val="007521F2"/>
    <w:rsid w:val="00752794"/>
    <w:rsid w:val="00752C4C"/>
    <w:rsid w:val="007530D1"/>
    <w:rsid w:val="00753CA1"/>
    <w:rsid w:val="007547BF"/>
    <w:rsid w:val="00754994"/>
    <w:rsid w:val="00754C12"/>
    <w:rsid w:val="00754F19"/>
    <w:rsid w:val="00755152"/>
    <w:rsid w:val="0075569A"/>
    <w:rsid w:val="0075571A"/>
    <w:rsid w:val="00755ED2"/>
    <w:rsid w:val="007562A6"/>
    <w:rsid w:val="0075664F"/>
    <w:rsid w:val="007567C1"/>
    <w:rsid w:val="00756CB5"/>
    <w:rsid w:val="00757333"/>
    <w:rsid w:val="00757517"/>
    <w:rsid w:val="007575E9"/>
    <w:rsid w:val="007577D2"/>
    <w:rsid w:val="007578C3"/>
    <w:rsid w:val="00757C2E"/>
    <w:rsid w:val="00760E2A"/>
    <w:rsid w:val="007611BB"/>
    <w:rsid w:val="007615FC"/>
    <w:rsid w:val="00761DC8"/>
    <w:rsid w:val="00761DDD"/>
    <w:rsid w:val="00762D1C"/>
    <w:rsid w:val="0076364F"/>
    <w:rsid w:val="00763D4B"/>
    <w:rsid w:val="007647C8"/>
    <w:rsid w:val="00764E19"/>
    <w:rsid w:val="007657B2"/>
    <w:rsid w:val="00765807"/>
    <w:rsid w:val="00765C33"/>
    <w:rsid w:val="00765F9E"/>
    <w:rsid w:val="0076686F"/>
    <w:rsid w:val="00767803"/>
    <w:rsid w:val="00767A36"/>
    <w:rsid w:val="00767CA6"/>
    <w:rsid w:val="007701F5"/>
    <w:rsid w:val="0077167D"/>
    <w:rsid w:val="00771DCD"/>
    <w:rsid w:val="007721DE"/>
    <w:rsid w:val="007726D4"/>
    <w:rsid w:val="00772B22"/>
    <w:rsid w:val="00772B26"/>
    <w:rsid w:val="007737EF"/>
    <w:rsid w:val="00773C3D"/>
    <w:rsid w:val="00773DDA"/>
    <w:rsid w:val="00775080"/>
    <w:rsid w:val="00775505"/>
    <w:rsid w:val="00775994"/>
    <w:rsid w:val="007759BA"/>
    <w:rsid w:val="00775D59"/>
    <w:rsid w:val="00776660"/>
    <w:rsid w:val="0077682B"/>
    <w:rsid w:val="00776856"/>
    <w:rsid w:val="0077717B"/>
    <w:rsid w:val="0077775B"/>
    <w:rsid w:val="0077788F"/>
    <w:rsid w:val="00777A23"/>
    <w:rsid w:val="00777D8F"/>
    <w:rsid w:val="007804D5"/>
    <w:rsid w:val="00780650"/>
    <w:rsid w:val="00780A34"/>
    <w:rsid w:val="00780BE0"/>
    <w:rsid w:val="00781057"/>
    <w:rsid w:val="00781231"/>
    <w:rsid w:val="00781726"/>
    <w:rsid w:val="00781B8F"/>
    <w:rsid w:val="00781CDE"/>
    <w:rsid w:val="00782ACF"/>
    <w:rsid w:val="00783173"/>
    <w:rsid w:val="007831B2"/>
    <w:rsid w:val="00783910"/>
    <w:rsid w:val="00783A25"/>
    <w:rsid w:val="00783D87"/>
    <w:rsid w:val="00784B30"/>
    <w:rsid w:val="00784BBD"/>
    <w:rsid w:val="00784D1D"/>
    <w:rsid w:val="007857AF"/>
    <w:rsid w:val="00785E5C"/>
    <w:rsid w:val="00785E7F"/>
    <w:rsid w:val="00785FEA"/>
    <w:rsid w:val="007861C1"/>
    <w:rsid w:val="00786326"/>
    <w:rsid w:val="007863C9"/>
    <w:rsid w:val="00786874"/>
    <w:rsid w:val="00786889"/>
    <w:rsid w:val="00786E63"/>
    <w:rsid w:val="00787102"/>
    <w:rsid w:val="00790538"/>
    <w:rsid w:val="00790A4E"/>
    <w:rsid w:val="00790DB5"/>
    <w:rsid w:val="00791009"/>
    <w:rsid w:val="00791D0D"/>
    <w:rsid w:val="00791E27"/>
    <w:rsid w:val="007924C8"/>
    <w:rsid w:val="0079266C"/>
    <w:rsid w:val="00793D15"/>
    <w:rsid w:val="00795136"/>
    <w:rsid w:val="007959B0"/>
    <w:rsid w:val="00796037"/>
    <w:rsid w:val="00796129"/>
    <w:rsid w:val="0079682B"/>
    <w:rsid w:val="00796E41"/>
    <w:rsid w:val="007970A4"/>
    <w:rsid w:val="0079755D"/>
    <w:rsid w:val="00797AD0"/>
    <w:rsid w:val="00797B5C"/>
    <w:rsid w:val="00797BA9"/>
    <w:rsid w:val="00797C0A"/>
    <w:rsid w:val="007A0244"/>
    <w:rsid w:val="007A02A2"/>
    <w:rsid w:val="007A0BE8"/>
    <w:rsid w:val="007A0CD6"/>
    <w:rsid w:val="007A1651"/>
    <w:rsid w:val="007A17CD"/>
    <w:rsid w:val="007A1B51"/>
    <w:rsid w:val="007A1E9E"/>
    <w:rsid w:val="007A2D4A"/>
    <w:rsid w:val="007A2E82"/>
    <w:rsid w:val="007A37BA"/>
    <w:rsid w:val="007A3A16"/>
    <w:rsid w:val="007A3AE6"/>
    <w:rsid w:val="007A4627"/>
    <w:rsid w:val="007A4BA9"/>
    <w:rsid w:val="007A4D95"/>
    <w:rsid w:val="007A512B"/>
    <w:rsid w:val="007A5830"/>
    <w:rsid w:val="007A5F75"/>
    <w:rsid w:val="007A654C"/>
    <w:rsid w:val="007A6AF1"/>
    <w:rsid w:val="007A7C2C"/>
    <w:rsid w:val="007B0347"/>
    <w:rsid w:val="007B059E"/>
    <w:rsid w:val="007B073E"/>
    <w:rsid w:val="007B1518"/>
    <w:rsid w:val="007B1B0F"/>
    <w:rsid w:val="007B1B31"/>
    <w:rsid w:val="007B1B3C"/>
    <w:rsid w:val="007B20D7"/>
    <w:rsid w:val="007B26E4"/>
    <w:rsid w:val="007B29A5"/>
    <w:rsid w:val="007B3673"/>
    <w:rsid w:val="007B3895"/>
    <w:rsid w:val="007B3F22"/>
    <w:rsid w:val="007B4174"/>
    <w:rsid w:val="007B46C1"/>
    <w:rsid w:val="007B4D86"/>
    <w:rsid w:val="007B5398"/>
    <w:rsid w:val="007B5A51"/>
    <w:rsid w:val="007B5DC0"/>
    <w:rsid w:val="007B6019"/>
    <w:rsid w:val="007B6032"/>
    <w:rsid w:val="007B69C5"/>
    <w:rsid w:val="007B6CB7"/>
    <w:rsid w:val="007B70C4"/>
    <w:rsid w:val="007B7138"/>
    <w:rsid w:val="007B758C"/>
    <w:rsid w:val="007B79ED"/>
    <w:rsid w:val="007B7E0B"/>
    <w:rsid w:val="007C0470"/>
    <w:rsid w:val="007C0B4E"/>
    <w:rsid w:val="007C1CDD"/>
    <w:rsid w:val="007C29DB"/>
    <w:rsid w:val="007C2F54"/>
    <w:rsid w:val="007C35F3"/>
    <w:rsid w:val="007C3B0F"/>
    <w:rsid w:val="007C3E2B"/>
    <w:rsid w:val="007C423A"/>
    <w:rsid w:val="007C4B69"/>
    <w:rsid w:val="007C4CCB"/>
    <w:rsid w:val="007C4D2B"/>
    <w:rsid w:val="007C512E"/>
    <w:rsid w:val="007C55DF"/>
    <w:rsid w:val="007C5C54"/>
    <w:rsid w:val="007C5CEE"/>
    <w:rsid w:val="007C5F41"/>
    <w:rsid w:val="007C620E"/>
    <w:rsid w:val="007C6C59"/>
    <w:rsid w:val="007C742B"/>
    <w:rsid w:val="007D0128"/>
    <w:rsid w:val="007D0F23"/>
    <w:rsid w:val="007D16FD"/>
    <w:rsid w:val="007D2787"/>
    <w:rsid w:val="007D2A4B"/>
    <w:rsid w:val="007D2CCF"/>
    <w:rsid w:val="007D2DF5"/>
    <w:rsid w:val="007D2EA0"/>
    <w:rsid w:val="007D369B"/>
    <w:rsid w:val="007D36EE"/>
    <w:rsid w:val="007D3859"/>
    <w:rsid w:val="007D3A89"/>
    <w:rsid w:val="007D3BDC"/>
    <w:rsid w:val="007D413C"/>
    <w:rsid w:val="007D44B5"/>
    <w:rsid w:val="007D467A"/>
    <w:rsid w:val="007D4B2C"/>
    <w:rsid w:val="007D4F11"/>
    <w:rsid w:val="007D520E"/>
    <w:rsid w:val="007D5BAC"/>
    <w:rsid w:val="007D609D"/>
    <w:rsid w:val="007D6418"/>
    <w:rsid w:val="007E06EE"/>
    <w:rsid w:val="007E0B98"/>
    <w:rsid w:val="007E1307"/>
    <w:rsid w:val="007E1B1F"/>
    <w:rsid w:val="007E1B2D"/>
    <w:rsid w:val="007E2A2F"/>
    <w:rsid w:val="007E2E2C"/>
    <w:rsid w:val="007E316C"/>
    <w:rsid w:val="007E35F5"/>
    <w:rsid w:val="007E3C43"/>
    <w:rsid w:val="007E3DC7"/>
    <w:rsid w:val="007E4291"/>
    <w:rsid w:val="007E42AF"/>
    <w:rsid w:val="007E496C"/>
    <w:rsid w:val="007E4D52"/>
    <w:rsid w:val="007E5104"/>
    <w:rsid w:val="007E567E"/>
    <w:rsid w:val="007E5C0A"/>
    <w:rsid w:val="007E5D82"/>
    <w:rsid w:val="007E5E73"/>
    <w:rsid w:val="007E62BE"/>
    <w:rsid w:val="007E62CE"/>
    <w:rsid w:val="007E62EB"/>
    <w:rsid w:val="007E6385"/>
    <w:rsid w:val="007E70BC"/>
    <w:rsid w:val="007F010F"/>
    <w:rsid w:val="007F06E9"/>
    <w:rsid w:val="007F1012"/>
    <w:rsid w:val="007F178F"/>
    <w:rsid w:val="007F1C49"/>
    <w:rsid w:val="007F2081"/>
    <w:rsid w:val="007F20D5"/>
    <w:rsid w:val="007F28AC"/>
    <w:rsid w:val="007F28BC"/>
    <w:rsid w:val="007F2AFB"/>
    <w:rsid w:val="007F2E5D"/>
    <w:rsid w:val="007F367A"/>
    <w:rsid w:val="007F3AC4"/>
    <w:rsid w:val="007F411A"/>
    <w:rsid w:val="007F4293"/>
    <w:rsid w:val="007F4376"/>
    <w:rsid w:val="007F457E"/>
    <w:rsid w:val="007F46FF"/>
    <w:rsid w:val="007F5018"/>
    <w:rsid w:val="007F54A2"/>
    <w:rsid w:val="007F58D3"/>
    <w:rsid w:val="007F62B6"/>
    <w:rsid w:val="007F6395"/>
    <w:rsid w:val="007F66C3"/>
    <w:rsid w:val="007F69A5"/>
    <w:rsid w:val="007F6D9B"/>
    <w:rsid w:val="007F734F"/>
    <w:rsid w:val="007F77E8"/>
    <w:rsid w:val="007F7B7F"/>
    <w:rsid w:val="007F7FCE"/>
    <w:rsid w:val="00800583"/>
    <w:rsid w:val="00800D65"/>
    <w:rsid w:val="0080109D"/>
    <w:rsid w:val="00801636"/>
    <w:rsid w:val="008017C4"/>
    <w:rsid w:val="00801897"/>
    <w:rsid w:val="008023EB"/>
    <w:rsid w:val="0080263C"/>
    <w:rsid w:val="00802A33"/>
    <w:rsid w:val="00803BCB"/>
    <w:rsid w:val="0080434C"/>
    <w:rsid w:val="0080533D"/>
    <w:rsid w:val="008058D0"/>
    <w:rsid w:val="008058D2"/>
    <w:rsid w:val="00805AE5"/>
    <w:rsid w:val="00805BBE"/>
    <w:rsid w:val="00806635"/>
    <w:rsid w:val="00806C56"/>
    <w:rsid w:val="00807543"/>
    <w:rsid w:val="0080774F"/>
    <w:rsid w:val="0080786A"/>
    <w:rsid w:val="008079B2"/>
    <w:rsid w:val="00807A25"/>
    <w:rsid w:val="00807CDE"/>
    <w:rsid w:val="008101D8"/>
    <w:rsid w:val="00810567"/>
    <w:rsid w:val="00810A54"/>
    <w:rsid w:val="008119FC"/>
    <w:rsid w:val="00811CEC"/>
    <w:rsid w:val="00812206"/>
    <w:rsid w:val="00812383"/>
    <w:rsid w:val="008123BD"/>
    <w:rsid w:val="008127A1"/>
    <w:rsid w:val="00812A2F"/>
    <w:rsid w:val="00812F3B"/>
    <w:rsid w:val="00812FF9"/>
    <w:rsid w:val="008135EC"/>
    <w:rsid w:val="00813FFF"/>
    <w:rsid w:val="008141F6"/>
    <w:rsid w:val="00814436"/>
    <w:rsid w:val="00814A50"/>
    <w:rsid w:val="00814D9B"/>
    <w:rsid w:val="00814E42"/>
    <w:rsid w:val="00815043"/>
    <w:rsid w:val="008158E7"/>
    <w:rsid w:val="00815FBE"/>
    <w:rsid w:val="00816333"/>
    <w:rsid w:val="00816440"/>
    <w:rsid w:val="00816511"/>
    <w:rsid w:val="008168E0"/>
    <w:rsid w:val="00816EAE"/>
    <w:rsid w:val="008171A4"/>
    <w:rsid w:val="00817378"/>
    <w:rsid w:val="00817581"/>
    <w:rsid w:val="0081765D"/>
    <w:rsid w:val="0081770D"/>
    <w:rsid w:val="00817723"/>
    <w:rsid w:val="008178DE"/>
    <w:rsid w:val="008200AC"/>
    <w:rsid w:val="00820661"/>
    <w:rsid w:val="00820E1A"/>
    <w:rsid w:val="00821091"/>
    <w:rsid w:val="00821542"/>
    <w:rsid w:val="0082163D"/>
    <w:rsid w:val="008221CD"/>
    <w:rsid w:val="008221EA"/>
    <w:rsid w:val="00822565"/>
    <w:rsid w:val="00822620"/>
    <w:rsid w:val="0082284D"/>
    <w:rsid w:val="008230B7"/>
    <w:rsid w:val="00823159"/>
    <w:rsid w:val="00823631"/>
    <w:rsid w:val="008238A7"/>
    <w:rsid w:val="00823E83"/>
    <w:rsid w:val="008245BF"/>
    <w:rsid w:val="008249C1"/>
    <w:rsid w:val="00825009"/>
    <w:rsid w:val="00825710"/>
    <w:rsid w:val="00825897"/>
    <w:rsid w:val="00826E92"/>
    <w:rsid w:val="00827079"/>
    <w:rsid w:val="0082742F"/>
    <w:rsid w:val="00827C4B"/>
    <w:rsid w:val="00827C5F"/>
    <w:rsid w:val="00827E56"/>
    <w:rsid w:val="00830700"/>
    <w:rsid w:val="00830808"/>
    <w:rsid w:val="008309A8"/>
    <w:rsid w:val="00830A39"/>
    <w:rsid w:val="00831034"/>
    <w:rsid w:val="008312E4"/>
    <w:rsid w:val="00831FA5"/>
    <w:rsid w:val="0083220E"/>
    <w:rsid w:val="0083237C"/>
    <w:rsid w:val="0083271A"/>
    <w:rsid w:val="00833FF4"/>
    <w:rsid w:val="008341AA"/>
    <w:rsid w:val="008343C3"/>
    <w:rsid w:val="00834475"/>
    <w:rsid w:val="00834F71"/>
    <w:rsid w:val="00835502"/>
    <w:rsid w:val="008355FD"/>
    <w:rsid w:val="00835832"/>
    <w:rsid w:val="00835B4D"/>
    <w:rsid w:val="00835ECC"/>
    <w:rsid w:val="00835EE9"/>
    <w:rsid w:val="008361FC"/>
    <w:rsid w:val="00836602"/>
    <w:rsid w:val="00836F88"/>
    <w:rsid w:val="0083743B"/>
    <w:rsid w:val="0083764D"/>
    <w:rsid w:val="00837E4D"/>
    <w:rsid w:val="00837E79"/>
    <w:rsid w:val="00837ECD"/>
    <w:rsid w:val="00840085"/>
    <w:rsid w:val="00840648"/>
    <w:rsid w:val="00840CF3"/>
    <w:rsid w:val="00840D4D"/>
    <w:rsid w:val="00842415"/>
    <w:rsid w:val="0084245B"/>
    <w:rsid w:val="0084261B"/>
    <w:rsid w:val="00842BAF"/>
    <w:rsid w:val="00842C34"/>
    <w:rsid w:val="0084345D"/>
    <w:rsid w:val="00843554"/>
    <w:rsid w:val="00843CB1"/>
    <w:rsid w:val="0084454E"/>
    <w:rsid w:val="008446A6"/>
    <w:rsid w:val="0084482A"/>
    <w:rsid w:val="008457A7"/>
    <w:rsid w:val="0084589C"/>
    <w:rsid w:val="008458E5"/>
    <w:rsid w:val="0084699E"/>
    <w:rsid w:val="00846AFB"/>
    <w:rsid w:val="00846BFA"/>
    <w:rsid w:val="00846C8E"/>
    <w:rsid w:val="00846E9B"/>
    <w:rsid w:val="008470C9"/>
    <w:rsid w:val="008471FF"/>
    <w:rsid w:val="0084783C"/>
    <w:rsid w:val="00850668"/>
    <w:rsid w:val="00851B8E"/>
    <w:rsid w:val="0085254F"/>
    <w:rsid w:val="008529D2"/>
    <w:rsid w:val="008529E7"/>
    <w:rsid w:val="00852CDB"/>
    <w:rsid w:val="008533C0"/>
    <w:rsid w:val="00853BFC"/>
    <w:rsid w:val="008545A5"/>
    <w:rsid w:val="008548B6"/>
    <w:rsid w:val="008549AE"/>
    <w:rsid w:val="00854D05"/>
    <w:rsid w:val="00854E8B"/>
    <w:rsid w:val="008556C2"/>
    <w:rsid w:val="00855E6F"/>
    <w:rsid w:val="0085640F"/>
    <w:rsid w:val="0085658F"/>
    <w:rsid w:val="00856D0E"/>
    <w:rsid w:val="008570E2"/>
    <w:rsid w:val="00860751"/>
    <w:rsid w:val="00860BD7"/>
    <w:rsid w:val="00861182"/>
    <w:rsid w:val="008611B3"/>
    <w:rsid w:val="00861B55"/>
    <w:rsid w:val="00861D67"/>
    <w:rsid w:val="00861FDC"/>
    <w:rsid w:val="008625B4"/>
    <w:rsid w:val="00862C3F"/>
    <w:rsid w:val="00863365"/>
    <w:rsid w:val="008637C9"/>
    <w:rsid w:val="00863DB7"/>
    <w:rsid w:val="00863E28"/>
    <w:rsid w:val="00863FDC"/>
    <w:rsid w:val="00864543"/>
    <w:rsid w:val="00864C7A"/>
    <w:rsid w:val="008656FD"/>
    <w:rsid w:val="00865A24"/>
    <w:rsid w:val="00865ECE"/>
    <w:rsid w:val="008660C6"/>
    <w:rsid w:val="008662E0"/>
    <w:rsid w:val="0086635B"/>
    <w:rsid w:val="008666C7"/>
    <w:rsid w:val="0086681E"/>
    <w:rsid w:val="008669E6"/>
    <w:rsid w:val="00867894"/>
    <w:rsid w:val="00867F24"/>
    <w:rsid w:val="00870212"/>
    <w:rsid w:val="00870648"/>
    <w:rsid w:val="00870BC2"/>
    <w:rsid w:val="00870E9F"/>
    <w:rsid w:val="00870ED8"/>
    <w:rsid w:val="008713E3"/>
    <w:rsid w:val="008714ED"/>
    <w:rsid w:val="00871615"/>
    <w:rsid w:val="00871A00"/>
    <w:rsid w:val="00871E51"/>
    <w:rsid w:val="008725A7"/>
    <w:rsid w:val="008732FD"/>
    <w:rsid w:val="00873401"/>
    <w:rsid w:val="0087358B"/>
    <w:rsid w:val="0087389D"/>
    <w:rsid w:val="00873DB7"/>
    <w:rsid w:val="008742FB"/>
    <w:rsid w:val="00874982"/>
    <w:rsid w:val="00875267"/>
    <w:rsid w:val="008755E4"/>
    <w:rsid w:val="0087572C"/>
    <w:rsid w:val="0087658B"/>
    <w:rsid w:val="00876A9C"/>
    <w:rsid w:val="00876AB4"/>
    <w:rsid w:val="00876E59"/>
    <w:rsid w:val="008775B8"/>
    <w:rsid w:val="00877A8A"/>
    <w:rsid w:val="00877E73"/>
    <w:rsid w:val="008802F4"/>
    <w:rsid w:val="00880426"/>
    <w:rsid w:val="008805C8"/>
    <w:rsid w:val="00880881"/>
    <w:rsid w:val="00880AFE"/>
    <w:rsid w:val="00880F88"/>
    <w:rsid w:val="00881305"/>
    <w:rsid w:val="008813C7"/>
    <w:rsid w:val="00881979"/>
    <w:rsid w:val="00881D9E"/>
    <w:rsid w:val="00881EE3"/>
    <w:rsid w:val="00882E7C"/>
    <w:rsid w:val="00883143"/>
    <w:rsid w:val="0088388B"/>
    <w:rsid w:val="00884072"/>
    <w:rsid w:val="00884567"/>
    <w:rsid w:val="00884E38"/>
    <w:rsid w:val="00884E62"/>
    <w:rsid w:val="00884EFE"/>
    <w:rsid w:val="008853A0"/>
    <w:rsid w:val="008859C7"/>
    <w:rsid w:val="00885B14"/>
    <w:rsid w:val="00885BE0"/>
    <w:rsid w:val="00885DFD"/>
    <w:rsid w:val="008860A4"/>
    <w:rsid w:val="00886217"/>
    <w:rsid w:val="008863E2"/>
    <w:rsid w:val="00886516"/>
    <w:rsid w:val="00886661"/>
    <w:rsid w:val="008867ED"/>
    <w:rsid w:val="008871C0"/>
    <w:rsid w:val="008873E4"/>
    <w:rsid w:val="00887958"/>
    <w:rsid w:val="00887A61"/>
    <w:rsid w:val="00890040"/>
    <w:rsid w:val="00890415"/>
    <w:rsid w:val="008906AD"/>
    <w:rsid w:val="00890C2E"/>
    <w:rsid w:val="00890F3D"/>
    <w:rsid w:val="00891358"/>
    <w:rsid w:val="008915C1"/>
    <w:rsid w:val="00891CC2"/>
    <w:rsid w:val="008929F5"/>
    <w:rsid w:val="00892A24"/>
    <w:rsid w:val="00892D49"/>
    <w:rsid w:val="00893082"/>
    <w:rsid w:val="00893280"/>
    <w:rsid w:val="00893D0E"/>
    <w:rsid w:val="00893ED0"/>
    <w:rsid w:val="0089402A"/>
    <w:rsid w:val="0089411E"/>
    <w:rsid w:val="008943FB"/>
    <w:rsid w:val="00894AD6"/>
    <w:rsid w:val="00894DF3"/>
    <w:rsid w:val="0089576F"/>
    <w:rsid w:val="008959E7"/>
    <w:rsid w:val="00896734"/>
    <w:rsid w:val="008975FF"/>
    <w:rsid w:val="008A054C"/>
    <w:rsid w:val="008A0707"/>
    <w:rsid w:val="008A0865"/>
    <w:rsid w:val="008A0870"/>
    <w:rsid w:val="008A08FD"/>
    <w:rsid w:val="008A0B2E"/>
    <w:rsid w:val="008A2954"/>
    <w:rsid w:val="008A2F1B"/>
    <w:rsid w:val="008A3596"/>
    <w:rsid w:val="008A35BD"/>
    <w:rsid w:val="008A368E"/>
    <w:rsid w:val="008A37E9"/>
    <w:rsid w:val="008A38EE"/>
    <w:rsid w:val="008A3B07"/>
    <w:rsid w:val="008A3D4E"/>
    <w:rsid w:val="008A47CA"/>
    <w:rsid w:val="008A4803"/>
    <w:rsid w:val="008A4A3A"/>
    <w:rsid w:val="008A50C1"/>
    <w:rsid w:val="008A55B0"/>
    <w:rsid w:val="008A5C34"/>
    <w:rsid w:val="008A5F72"/>
    <w:rsid w:val="008A61B6"/>
    <w:rsid w:val="008A6C3B"/>
    <w:rsid w:val="008A72E6"/>
    <w:rsid w:val="008A7EA1"/>
    <w:rsid w:val="008B0698"/>
    <w:rsid w:val="008B06DF"/>
    <w:rsid w:val="008B0876"/>
    <w:rsid w:val="008B0AEA"/>
    <w:rsid w:val="008B0D49"/>
    <w:rsid w:val="008B1170"/>
    <w:rsid w:val="008B1A9B"/>
    <w:rsid w:val="008B1EBE"/>
    <w:rsid w:val="008B2716"/>
    <w:rsid w:val="008B28AE"/>
    <w:rsid w:val="008B2ED3"/>
    <w:rsid w:val="008B3F60"/>
    <w:rsid w:val="008B4149"/>
    <w:rsid w:val="008B4A57"/>
    <w:rsid w:val="008B4EAC"/>
    <w:rsid w:val="008B4FE3"/>
    <w:rsid w:val="008B52E0"/>
    <w:rsid w:val="008B5711"/>
    <w:rsid w:val="008B5781"/>
    <w:rsid w:val="008B5C72"/>
    <w:rsid w:val="008B657A"/>
    <w:rsid w:val="008B6E6D"/>
    <w:rsid w:val="008B70A6"/>
    <w:rsid w:val="008B7128"/>
    <w:rsid w:val="008B725C"/>
    <w:rsid w:val="008B736F"/>
    <w:rsid w:val="008C0321"/>
    <w:rsid w:val="008C043D"/>
    <w:rsid w:val="008C0878"/>
    <w:rsid w:val="008C0FCE"/>
    <w:rsid w:val="008C148B"/>
    <w:rsid w:val="008C1678"/>
    <w:rsid w:val="008C1999"/>
    <w:rsid w:val="008C2446"/>
    <w:rsid w:val="008C266D"/>
    <w:rsid w:val="008C27DE"/>
    <w:rsid w:val="008C31FD"/>
    <w:rsid w:val="008C3582"/>
    <w:rsid w:val="008C3741"/>
    <w:rsid w:val="008C39FE"/>
    <w:rsid w:val="008C3FAD"/>
    <w:rsid w:val="008C4116"/>
    <w:rsid w:val="008C4531"/>
    <w:rsid w:val="008C4746"/>
    <w:rsid w:val="008C4CE2"/>
    <w:rsid w:val="008C4DBC"/>
    <w:rsid w:val="008C4DBF"/>
    <w:rsid w:val="008C5A41"/>
    <w:rsid w:val="008C5B92"/>
    <w:rsid w:val="008C5EE7"/>
    <w:rsid w:val="008C6519"/>
    <w:rsid w:val="008C69D2"/>
    <w:rsid w:val="008C73A8"/>
    <w:rsid w:val="008C75DE"/>
    <w:rsid w:val="008C7B5C"/>
    <w:rsid w:val="008D03AE"/>
    <w:rsid w:val="008D07EA"/>
    <w:rsid w:val="008D0858"/>
    <w:rsid w:val="008D089A"/>
    <w:rsid w:val="008D0CE8"/>
    <w:rsid w:val="008D1D19"/>
    <w:rsid w:val="008D278D"/>
    <w:rsid w:val="008D299B"/>
    <w:rsid w:val="008D2A2E"/>
    <w:rsid w:val="008D3200"/>
    <w:rsid w:val="008D33E2"/>
    <w:rsid w:val="008D3CDA"/>
    <w:rsid w:val="008D53C0"/>
    <w:rsid w:val="008D5474"/>
    <w:rsid w:val="008D5626"/>
    <w:rsid w:val="008D59E3"/>
    <w:rsid w:val="008D5B9D"/>
    <w:rsid w:val="008D626D"/>
    <w:rsid w:val="008D674F"/>
    <w:rsid w:val="008D680D"/>
    <w:rsid w:val="008D77BD"/>
    <w:rsid w:val="008D7F1D"/>
    <w:rsid w:val="008E027E"/>
    <w:rsid w:val="008E07CC"/>
    <w:rsid w:val="008E0BCA"/>
    <w:rsid w:val="008E1298"/>
    <w:rsid w:val="008E273E"/>
    <w:rsid w:val="008E32C0"/>
    <w:rsid w:val="008E33B3"/>
    <w:rsid w:val="008E3D66"/>
    <w:rsid w:val="008E40AD"/>
    <w:rsid w:val="008E44F7"/>
    <w:rsid w:val="008E4F84"/>
    <w:rsid w:val="008E5564"/>
    <w:rsid w:val="008E5648"/>
    <w:rsid w:val="008E57CC"/>
    <w:rsid w:val="008E57CF"/>
    <w:rsid w:val="008E644A"/>
    <w:rsid w:val="008E7056"/>
    <w:rsid w:val="008E76A2"/>
    <w:rsid w:val="008E7758"/>
    <w:rsid w:val="008E7931"/>
    <w:rsid w:val="008E7B37"/>
    <w:rsid w:val="008E7EC3"/>
    <w:rsid w:val="008F0D7A"/>
    <w:rsid w:val="008F1005"/>
    <w:rsid w:val="008F1081"/>
    <w:rsid w:val="008F12A9"/>
    <w:rsid w:val="008F1434"/>
    <w:rsid w:val="008F20B9"/>
    <w:rsid w:val="008F2A3E"/>
    <w:rsid w:val="008F2EE0"/>
    <w:rsid w:val="008F2FBA"/>
    <w:rsid w:val="008F3212"/>
    <w:rsid w:val="008F330F"/>
    <w:rsid w:val="008F34A7"/>
    <w:rsid w:val="008F3DD3"/>
    <w:rsid w:val="008F4262"/>
    <w:rsid w:val="008F4EB7"/>
    <w:rsid w:val="008F50B6"/>
    <w:rsid w:val="008F5351"/>
    <w:rsid w:val="008F5911"/>
    <w:rsid w:val="008F59FF"/>
    <w:rsid w:val="008F5B6E"/>
    <w:rsid w:val="008F6B77"/>
    <w:rsid w:val="008F6D53"/>
    <w:rsid w:val="008F72ED"/>
    <w:rsid w:val="008F74CF"/>
    <w:rsid w:val="008F76C5"/>
    <w:rsid w:val="008F798F"/>
    <w:rsid w:val="008F7BDB"/>
    <w:rsid w:val="008F7BDD"/>
    <w:rsid w:val="00900018"/>
    <w:rsid w:val="00900543"/>
    <w:rsid w:val="009007A9"/>
    <w:rsid w:val="00900876"/>
    <w:rsid w:val="00900D0A"/>
    <w:rsid w:val="0090106F"/>
    <w:rsid w:val="0090134F"/>
    <w:rsid w:val="00901807"/>
    <w:rsid w:val="00901F9E"/>
    <w:rsid w:val="00901FDA"/>
    <w:rsid w:val="00901FDD"/>
    <w:rsid w:val="009022CC"/>
    <w:rsid w:val="00902457"/>
    <w:rsid w:val="00903342"/>
    <w:rsid w:val="0090358C"/>
    <w:rsid w:val="00903A30"/>
    <w:rsid w:val="00903B65"/>
    <w:rsid w:val="00903C6D"/>
    <w:rsid w:val="00903F6B"/>
    <w:rsid w:val="0090479E"/>
    <w:rsid w:val="009047CE"/>
    <w:rsid w:val="00905057"/>
    <w:rsid w:val="00905A68"/>
    <w:rsid w:val="00906377"/>
    <w:rsid w:val="009068DA"/>
    <w:rsid w:val="00906AB2"/>
    <w:rsid w:val="00907482"/>
    <w:rsid w:val="00907C06"/>
    <w:rsid w:val="00910B9E"/>
    <w:rsid w:val="00910F4A"/>
    <w:rsid w:val="00911214"/>
    <w:rsid w:val="00911244"/>
    <w:rsid w:val="00911576"/>
    <w:rsid w:val="00911FF8"/>
    <w:rsid w:val="00912642"/>
    <w:rsid w:val="00912B05"/>
    <w:rsid w:val="00912E35"/>
    <w:rsid w:val="0091387A"/>
    <w:rsid w:val="009139D1"/>
    <w:rsid w:val="00913A61"/>
    <w:rsid w:val="00913B4E"/>
    <w:rsid w:val="00913B70"/>
    <w:rsid w:val="00913DC8"/>
    <w:rsid w:val="0091428C"/>
    <w:rsid w:val="00914FAA"/>
    <w:rsid w:val="00914FFC"/>
    <w:rsid w:val="00915414"/>
    <w:rsid w:val="009156F8"/>
    <w:rsid w:val="00915752"/>
    <w:rsid w:val="009158EB"/>
    <w:rsid w:val="0091592A"/>
    <w:rsid w:val="00916234"/>
    <w:rsid w:val="00916387"/>
    <w:rsid w:val="00917A36"/>
    <w:rsid w:val="00917B4E"/>
    <w:rsid w:val="00917F3D"/>
    <w:rsid w:val="009203E2"/>
    <w:rsid w:val="00920429"/>
    <w:rsid w:val="0092080F"/>
    <w:rsid w:val="009208BE"/>
    <w:rsid w:val="00920C65"/>
    <w:rsid w:val="00920E3D"/>
    <w:rsid w:val="00920F57"/>
    <w:rsid w:val="009213B0"/>
    <w:rsid w:val="0092192C"/>
    <w:rsid w:val="00922745"/>
    <w:rsid w:val="00922AA4"/>
    <w:rsid w:val="0092321E"/>
    <w:rsid w:val="00923F43"/>
    <w:rsid w:val="0092488F"/>
    <w:rsid w:val="00924A6D"/>
    <w:rsid w:val="00924DA6"/>
    <w:rsid w:val="00924E5D"/>
    <w:rsid w:val="00925451"/>
    <w:rsid w:val="0092555A"/>
    <w:rsid w:val="009255C6"/>
    <w:rsid w:val="00925C45"/>
    <w:rsid w:val="00926485"/>
    <w:rsid w:val="00926E22"/>
    <w:rsid w:val="00927149"/>
    <w:rsid w:val="0092746A"/>
    <w:rsid w:val="00927E88"/>
    <w:rsid w:val="009300ED"/>
    <w:rsid w:val="00930528"/>
    <w:rsid w:val="00930E51"/>
    <w:rsid w:val="00930FDE"/>
    <w:rsid w:val="00931574"/>
    <w:rsid w:val="00931F4E"/>
    <w:rsid w:val="009324C2"/>
    <w:rsid w:val="00932ACD"/>
    <w:rsid w:val="00932C25"/>
    <w:rsid w:val="00932F15"/>
    <w:rsid w:val="00933175"/>
    <w:rsid w:val="00933410"/>
    <w:rsid w:val="00934046"/>
    <w:rsid w:val="00935501"/>
    <w:rsid w:val="009356A0"/>
    <w:rsid w:val="009357C7"/>
    <w:rsid w:val="009358B2"/>
    <w:rsid w:val="00935956"/>
    <w:rsid w:val="00935ECE"/>
    <w:rsid w:val="009369AD"/>
    <w:rsid w:val="00936BB8"/>
    <w:rsid w:val="00936F28"/>
    <w:rsid w:val="009372D5"/>
    <w:rsid w:val="0093773C"/>
    <w:rsid w:val="00937BDA"/>
    <w:rsid w:val="00937D0E"/>
    <w:rsid w:val="00937E85"/>
    <w:rsid w:val="009409B5"/>
    <w:rsid w:val="00940E33"/>
    <w:rsid w:val="009410F5"/>
    <w:rsid w:val="00941226"/>
    <w:rsid w:val="009425A4"/>
    <w:rsid w:val="0094268B"/>
    <w:rsid w:val="00942C9C"/>
    <w:rsid w:val="00942EBB"/>
    <w:rsid w:val="009430E0"/>
    <w:rsid w:val="009433BF"/>
    <w:rsid w:val="009437D0"/>
    <w:rsid w:val="009439DC"/>
    <w:rsid w:val="00943AA5"/>
    <w:rsid w:val="00943CDD"/>
    <w:rsid w:val="00943DD8"/>
    <w:rsid w:val="009447BF"/>
    <w:rsid w:val="00945516"/>
    <w:rsid w:val="009455D2"/>
    <w:rsid w:val="009478B8"/>
    <w:rsid w:val="00947ECC"/>
    <w:rsid w:val="009507AD"/>
    <w:rsid w:val="00950BFD"/>
    <w:rsid w:val="00951146"/>
    <w:rsid w:val="00951D0D"/>
    <w:rsid w:val="00951D79"/>
    <w:rsid w:val="00951FF6"/>
    <w:rsid w:val="00952533"/>
    <w:rsid w:val="009526D7"/>
    <w:rsid w:val="009529E5"/>
    <w:rsid w:val="00952DC9"/>
    <w:rsid w:val="00952F38"/>
    <w:rsid w:val="009530B9"/>
    <w:rsid w:val="00953509"/>
    <w:rsid w:val="009535FA"/>
    <w:rsid w:val="0095388B"/>
    <w:rsid w:val="00953C55"/>
    <w:rsid w:val="00954BB7"/>
    <w:rsid w:val="009550CA"/>
    <w:rsid w:val="0095532A"/>
    <w:rsid w:val="00955909"/>
    <w:rsid w:val="009559E6"/>
    <w:rsid w:val="00955CB4"/>
    <w:rsid w:val="009562DC"/>
    <w:rsid w:val="00956AAF"/>
    <w:rsid w:val="0095709B"/>
    <w:rsid w:val="00957496"/>
    <w:rsid w:val="00957643"/>
    <w:rsid w:val="00957886"/>
    <w:rsid w:val="009578EB"/>
    <w:rsid w:val="00960179"/>
    <w:rsid w:val="00960346"/>
    <w:rsid w:val="00960861"/>
    <w:rsid w:val="00961562"/>
    <w:rsid w:val="009615B3"/>
    <w:rsid w:val="00961918"/>
    <w:rsid w:val="00961AFC"/>
    <w:rsid w:val="00961B03"/>
    <w:rsid w:val="00961CF7"/>
    <w:rsid w:val="009620A2"/>
    <w:rsid w:val="009621F1"/>
    <w:rsid w:val="009624E5"/>
    <w:rsid w:val="00962783"/>
    <w:rsid w:val="009631C9"/>
    <w:rsid w:val="009633D4"/>
    <w:rsid w:val="009633EE"/>
    <w:rsid w:val="009633FB"/>
    <w:rsid w:val="009634CD"/>
    <w:rsid w:val="00963A8E"/>
    <w:rsid w:val="00963BBB"/>
    <w:rsid w:val="009642BC"/>
    <w:rsid w:val="009644E6"/>
    <w:rsid w:val="0096475D"/>
    <w:rsid w:val="00964A98"/>
    <w:rsid w:val="0096524A"/>
    <w:rsid w:val="00965548"/>
    <w:rsid w:val="009655A1"/>
    <w:rsid w:val="009661B9"/>
    <w:rsid w:val="00966718"/>
    <w:rsid w:val="0096671E"/>
    <w:rsid w:val="009668F4"/>
    <w:rsid w:val="00966931"/>
    <w:rsid w:val="00967B85"/>
    <w:rsid w:val="009708B5"/>
    <w:rsid w:val="00970AFB"/>
    <w:rsid w:val="00970F0E"/>
    <w:rsid w:val="00970F6C"/>
    <w:rsid w:val="00970FCE"/>
    <w:rsid w:val="00971663"/>
    <w:rsid w:val="00971735"/>
    <w:rsid w:val="009720C0"/>
    <w:rsid w:val="0097252F"/>
    <w:rsid w:val="00972FCD"/>
    <w:rsid w:val="0097348D"/>
    <w:rsid w:val="00973AF6"/>
    <w:rsid w:val="00973C69"/>
    <w:rsid w:val="00973E5F"/>
    <w:rsid w:val="00974064"/>
    <w:rsid w:val="009740E8"/>
    <w:rsid w:val="00974751"/>
    <w:rsid w:val="00974C4F"/>
    <w:rsid w:val="00974C81"/>
    <w:rsid w:val="00974FAA"/>
    <w:rsid w:val="009754CC"/>
    <w:rsid w:val="00975AC3"/>
    <w:rsid w:val="00975BAE"/>
    <w:rsid w:val="00976027"/>
    <w:rsid w:val="009764EE"/>
    <w:rsid w:val="009765C6"/>
    <w:rsid w:val="00976748"/>
    <w:rsid w:val="00976CE4"/>
    <w:rsid w:val="0097745C"/>
    <w:rsid w:val="009803EF"/>
    <w:rsid w:val="00980633"/>
    <w:rsid w:val="00980900"/>
    <w:rsid w:val="00980B62"/>
    <w:rsid w:val="00981B25"/>
    <w:rsid w:val="00982163"/>
    <w:rsid w:val="0098218F"/>
    <w:rsid w:val="009821B6"/>
    <w:rsid w:val="0098248B"/>
    <w:rsid w:val="00982D5F"/>
    <w:rsid w:val="00982DBA"/>
    <w:rsid w:val="00983A41"/>
    <w:rsid w:val="00983D9F"/>
    <w:rsid w:val="00984789"/>
    <w:rsid w:val="009854A4"/>
    <w:rsid w:val="00986214"/>
    <w:rsid w:val="009862F8"/>
    <w:rsid w:val="00986A47"/>
    <w:rsid w:val="0098726E"/>
    <w:rsid w:val="00987C8A"/>
    <w:rsid w:val="00987FC9"/>
    <w:rsid w:val="00990E39"/>
    <w:rsid w:val="00990FAE"/>
    <w:rsid w:val="00991142"/>
    <w:rsid w:val="009921FE"/>
    <w:rsid w:val="009925B6"/>
    <w:rsid w:val="00992C33"/>
    <w:rsid w:val="00992F36"/>
    <w:rsid w:val="00993040"/>
    <w:rsid w:val="009930AD"/>
    <w:rsid w:val="009934BE"/>
    <w:rsid w:val="0099392B"/>
    <w:rsid w:val="00993B39"/>
    <w:rsid w:val="00993BA0"/>
    <w:rsid w:val="00993D7F"/>
    <w:rsid w:val="00993E99"/>
    <w:rsid w:val="00994275"/>
    <w:rsid w:val="0099448B"/>
    <w:rsid w:val="0099480E"/>
    <w:rsid w:val="00994A3D"/>
    <w:rsid w:val="00995105"/>
    <w:rsid w:val="009953E6"/>
    <w:rsid w:val="009957A3"/>
    <w:rsid w:val="00995D80"/>
    <w:rsid w:val="009966F5"/>
    <w:rsid w:val="00996F46"/>
    <w:rsid w:val="00997420"/>
    <w:rsid w:val="00997846"/>
    <w:rsid w:val="00997EB5"/>
    <w:rsid w:val="009A006C"/>
    <w:rsid w:val="009A021A"/>
    <w:rsid w:val="009A02B0"/>
    <w:rsid w:val="009A07A6"/>
    <w:rsid w:val="009A0A08"/>
    <w:rsid w:val="009A0A65"/>
    <w:rsid w:val="009A0E54"/>
    <w:rsid w:val="009A0EA5"/>
    <w:rsid w:val="009A0EFF"/>
    <w:rsid w:val="009A1268"/>
    <w:rsid w:val="009A1B16"/>
    <w:rsid w:val="009A21A2"/>
    <w:rsid w:val="009A286B"/>
    <w:rsid w:val="009A2C41"/>
    <w:rsid w:val="009A32C6"/>
    <w:rsid w:val="009A3872"/>
    <w:rsid w:val="009A3B30"/>
    <w:rsid w:val="009A3FCE"/>
    <w:rsid w:val="009A415B"/>
    <w:rsid w:val="009A4369"/>
    <w:rsid w:val="009A4B61"/>
    <w:rsid w:val="009A5142"/>
    <w:rsid w:val="009A5530"/>
    <w:rsid w:val="009A56D0"/>
    <w:rsid w:val="009A5710"/>
    <w:rsid w:val="009A5B14"/>
    <w:rsid w:val="009A5C2A"/>
    <w:rsid w:val="009A5DD4"/>
    <w:rsid w:val="009A6477"/>
    <w:rsid w:val="009A6658"/>
    <w:rsid w:val="009A67F0"/>
    <w:rsid w:val="009A6975"/>
    <w:rsid w:val="009A70B6"/>
    <w:rsid w:val="009A7F37"/>
    <w:rsid w:val="009A7F60"/>
    <w:rsid w:val="009B048C"/>
    <w:rsid w:val="009B05C5"/>
    <w:rsid w:val="009B0803"/>
    <w:rsid w:val="009B0DFD"/>
    <w:rsid w:val="009B1314"/>
    <w:rsid w:val="009B1B5E"/>
    <w:rsid w:val="009B20C0"/>
    <w:rsid w:val="009B21BB"/>
    <w:rsid w:val="009B2279"/>
    <w:rsid w:val="009B2941"/>
    <w:rsid w:val="009B29BA"/>
    <w:rsid w:val="009B3863"/>
    <w:rsid w:val="009B3E76"/>
    <w:rsid w:val="009B3F3D"/>
    <w:rsid w:val="009B4471"/>
    <w:rsid w:val="009B5226"/>
    <w:rsid w:val="009B52DD"/>
    <w:rsid w:val="009B5A85"/>
    <w:rsid w:val="009B5C5C"/>
    <w:rsid w:val="009B63BB"/>
    <w:rsid w:val="009B696A"/>
    <w:rsid w:val="009B7551"/>
    <w:rsid w:val="009B7A4D"/>
    <w:rsid w:val="009B7E2D"/>
    <w:rsid w:val="009C04C3"/>
    <w:rsid w:val="009C04CD"/>
    <w:rsid w:val="009C0ABD"/>
    <w:rsid w:val="009C0BFE"/>
    <w:rsid w:val="009C159A"/>
    <w:rsid w:val="009C16D0"/>
    <w:rsid w:val="009C1E2D"/>
    <w:rsid w:val="009C21A1"/>
    <w:rsid w:val="009C2875"/>
    <w:rsid w:val="009C2968"/>
    <w:rsid w:val="009C2E19"/>
    <w:rsid w:val="009C302B"/>
    <w:rsid w:val="009C316E"/>
    <w:rsid w:val="009C3687"/>
    <w:rsid w:val="009C4019"/>
    <w:rsid w:val="009C409C"/>
    <w:rsid w:val="009C43F9"/>
    <w:rsid w:val="009C477A"/>
    <w:rsid w:val="009C47F6"/>
    <w:rsid w:val="009C4AD9"/>
    <w:rsid w:val="009C4B80"/>
    <w:rsid w:val="009C4E27"/>
    <w:rsid w:val="009C4F1A"/>
    <w:rsid w:val="009C53FA"/>
    <w:rsid w:val="009C585B"/>
    <w:rsid w:val="009C5F7B"/>
    <w:rsid w:val="009C62CD"/>
    <w:rsid w:val="009C6458"/>
    <w:rsid w:val="009C648D"/>
    <w:rsid w:val="009C7543"/>
    <w:rsid w:val="009C78FB"/>
    <w:rsid w:val="009D015F"/>
    <w:rsid w:val="009D028D"/>
    <w:rsid w:val="009D0CAA"/>
    <w:rsid w:val="009D1092"/>
    <w:rsid w:val="009D11EE"/>
    <w:rsid w:val="009D177B"/>
    <w:rsid w:val="009D1843"/>
    <w:rsid w:val="009D18C1"/>
    <w:rsid w:val="009D204F"/>
    <w:rsid w:val="009D27F6"/>
    <w:rsid w:val="009D2F51"/>
    <w:rsid w:val="009D41B5"/>
    <w:rsid w:val="009D41DB"/>
    <w:rsid w:val="009D476C"/>
    <w:rsid w:val="009D4AE4"/>
    <w:rsid w:val="009D4E92"/>
    <w:rsid w:val="009D53B6"/>
    <w:rsid w:val="009D5E7D"/>
    <w:rsid w:val="009D63CE"/>
    <w:rsid w:val="009D7126"/>
    <w:rsid w:val="009D784F"/>
    <w:rsid w:val="009E02BD"/>
    <w:rsid w:val="009E05ED"/>
    <w:rsid w:val="009E0792"/>
    <w:rsid w:val="009E0D64"/>
    <w:rsid w:val="009E121E"/>
    <w:rsid w:val="009E1378"/>
    <w:rsid w:val="009E1FB0"/>
    <w:rsid w:val="009E2711"/>
    <w:rsid w:val="009E2E21"/>
    <w:rsid w:val="009E2E2C"/>
    <w:rsid w:val="009E3060"/>
    <w:rsid w:val="009E331B"/>
    <w:rsid w:val="009E3371"/>
    <w:rsid w:val="009E341F"/>
    <w:rsid w:val="009E3494"/>
    <w:rsid w:val="009E3670"/>
    <w:rsid w:val="009E3DD7"/>
    <w:rsid w:val="009E4C98"/>
    <w:rsid w:val="009E4E50"/>
    <w:rsid w:val="009E510E"/>
    <w:rsid w:val="009E5D9C"/>
    <w:rsid w:val="009E66EC"/>
    <w:rsid w:val="009E6AB7"/>
    <w:rsid w:val="009E6CF7"/>
    <w:rsid w:val="009E70ED"/>
    <w:rsid w:val="009E7123"/>
    <w:rsid w:val="009E7154"/>
    <w:rsid w:val="009E7228"/>
    <w:rsid w:val="009E7688"/>
    <w:rsid w:val="009E785A"/>
    <w:rsid w:val="009E7E9B"/>
    <w:rsid w:val="009F0AFA"/>
    <w:rsid w:val="009F0B4D"/>
    <w:rsid w:val="009F1768"/>
    <w:rsid w:val="009F1B55"/>
    <w:rsid w:val="009F1EEA"/>
    <w:rsid w:val="009F27B5"/>
    <w:rsid w:val="009F289D"/>
    <w:rsid w:val="009F2B45"/>
    <w:rsid w:val="009F3262"/>
    <w:rsid w:val="009F3738"/>
    <w:rsid w:val="009F39A5"/>
    <w:rsid w:val="009F3E48"/>
    <w:rsid w:val="009F4723"/>
    <w:rsid w:val="009F4E35"/>
    <w:rsid w:val="009F4F16"/>
    <w:rsid w:val="009F54B6"/>
    <w:rsid w:val="009F5A7D"/>
    <w:rsid w:val="009F5CCF"/>
    <w:rsid w:val="009F5E19"/>
    <w:rsid w:val="009F6481"/>
    <w:rsid w:val="009F650C"/>
    <w:rsid w:val="009F660B"/>
    <w:rsid w:val="009F6658"/>
    <w:rsid w:val="009F6899"/>
    <w:rsid w:val="009F699E"/>
    <w:rsid w:val="009F6C60"/>
    <w:rsid w:val="009F6EE0"/>
    <w:rsid w:val="009F7A8B"/>
    <w:rsid w:val="009F7BD0"/>
    <w:rsid w:val="009F7D60"/>
    <w:rsid w:val="009F7E58"/>
    <w:rsid w:val="00A000E1"/>
    <w:rsid w:val="00A00162"/>
    <w:rsid w:val="00A00F00"/>
    <w:rsid w:val="00A013A6"/>
    <w:rsid w:val="00A01759"/>
    <w:rsid w:val="00A02732"/>
    <w:rsid w:val="00A02E7C"/>
    <w:rsid w:val="00A02F6E"/>
    <w:rsid w:val="00A02F90"/>
    <w:rsid w:val="00A03461"/>
    <w:rsid w:val="00A0356A"/>
    <w:rsid w:val="00A039E6"/>
    <w:rsid w:val="00A03E7D"/>
    <w:rsid w:val="00A042AB"/>
    <w:rsid w:val="00A046F5"/>
    <w:rsid w:val="00A04AB1"/>
    <w:rsid w:val="00A055E4"/>
    <w:rsid w:val="00A05832"/>
    <w:rsid w:val="00A05A18"/>
    <w:rsid w:val="00A05A95"/>
    <w:rsid w:val="00A060C9"/>
    <w:rsid w:val="00A06370"/>
    <w:rsid w:val="00A067A0"/>
    <w:rsid w:val="00A06D5F"/>
    <w:rsid w:val="00A06D97"/>
    <w:rsid w:val="00A06E09"/>
    <w:rsid w:val="00A0727F"/>
    <w:rsid w:val="00A075FD"/>
    <w:rsid w:val="00A07B75"/>
    <w:rsid w:val="00A07F4A"/>
    <w:rsid w:val="00A10DA9"/>
    <w:rsid w:val="00A11065"/>
    <w:rsid w:val="00A11933"/>
    <w:rsid w:val="00A12726"/>
    <w:rsid w:val="00A127B8"/>
    <w:rsid w:val="00A1289F"/>
    <w:rsid w:val="00A12DB9"/>
    <w:rsid w:val="00A12EF2"/>
    <w:rsid w:val="00A13024"/>
    <w:rsid w:val="00A1313E"/>
    <w:rsid w:val="00A13284"/>
    <w:rsid w:val="00A13531"/>
    <w:rsid w:val="00A136C7"/>
    <w:rsid w:val="00A13C77"/>
    <w:rsid w:val="00A13D30"/>
    <w:rsid w:val="00A13D73"/>
    <w:rsid w:val="00A142B4"/>
    <w:rsid w:val="00A14CCF"/>
    <w:rsid w:val="00A15D17"/>
    <w:rsid w:val="00A1613C"/>
    <w:rsid w:val="00A1676A"/>
    <w:rsid w:val="00A172CD"/>
    <w:rsid w:val="00A17C1F"/>
    <w:rsid w:val="00A17F30"/>
    <w:rsid w:val="00A200E2"/>
    <w:rsid w:val="00A202D4"/>
    <w:rsid w:val="00A204CD"/>
    <w:rsid w:val="00A20DDA"/>
    <w:rsid w:val="00A2102D"/>
    <w:rsid w:val="00A211FB"/>
    <w:rsid w:val="00A21FC6"/>
    <w:rsid w:val="00A22143"/>
    <w:rsid w:val="00A221C9"/>
    <w:rsid w:val="00A221DB"/>
    <w:rsid w:val="00A23065"/>
    <w:rsid w:val="00A23645"/>
    <w:rsid w:val="00A23F00"/>
    <w:rsid w:val="00A2426A"/>
    <w:rsid w:val="00A24D8C"/>
    <w:rsid w:val="00A25191"/>
    <w:rsid w:val="00A2593D"/>
    <w:rsid w:val="00A25CD7"/>
    <w:rsid w:val="00A271C6"/>
    <w:rsid w:val="00A27572"/>
    <w:rsid w:val="00A2785D"/>
    <w:rsid w:val="00A27A60"/>
    <w:rsid w:val="00A27B59"/>
    <w:rsid w:val="00A27C8C"/>
    <w:rsid w:val="00A30411"/>
    <w:rsid w:val="00A307C9"/>
    <w:rsid w:val="00A30E5D"/>
    <w:rsid w:val="00A30ED0"/>
    <w:rsid w:val="00A316C3"/>
    <w:rsid w:val="00A318E3"/>
    <w:rsid w:val="00A31A09"/>
    <w:rsid w:val="00A31C73"/>
    <w:rsid w:val="00A325E3"/>
    <w:rsid w:val="00A325F6"/>
    <w:rsid w:val="00A32808"/>
    <w:rsid w:val="00A328AB"/>
    <w:rsid w:val="00A32B4A"/>
    <w:rsid w:val="00A32B68"/>
    <w:rsid w:val="00A33106"/>
    <w:rsid w:val="00A33AE6"/>
    <w:rsid w:val="00A33D02"/>
    <w:rsid w:val="00A33F51"/>
    <w:rsid w:val="00A3430F"/>
    <w:rsid w:val="00A34553"/>
    <w:rsid w:val="00A3504E"/>
    <w:rsid w:val="00A350AB"/>
    <w:rsid w:val="00A353FF"/>
    <w:rsid w:val="00A35863"/>
    <w:rsid w:val="00A35AC8"/>
    <w:rsid w:val="00A35E7E"/>
    <w:rsid w:val="00A360E1"/>
    <w:rsid w:val="00A36A65"/>
    <w:rsid w:val="00A36E1D"/>
    <w:rsid w:val="00A374B4"/>
    <w:rsid w:val="00A374D7"/>
    <w:rsid w:val="00A37921"/>
    <w:rsid w:val="00A37DF2"/>
    <w:rsid w:val="00A40406"/>
    <w:rsid w:val="00A40B26"/>
    <w:rsid w:val="00A41435"/>
    <w:rsid w:val="00A41816"/>
    <w:rsid w:val="00A41A3E"/>
    <w:rsid w:val="00A41C29"/>
    <w:rsid w:val="00A429AF"/>
    <w:rsid w:val="00A42CB0"/>
    <w:rsid w:val="00A42FDD"/>
    <w:rsid w:val="00A43517"/>
    <w:rsid w:val="00A43979"/>
    <w:rsid w:val="00A43C7B"/>
    <w:rsid w:val="00A43D5A"/>
    <w:rsid w:val="00A43F66"/>
    <w:rsid w:val="00A43F92"/>
    <w:rsid w:val="00A43FE9"/>
    <w:rsid w:val="00A4449D"/>
    <w:rsid w:val="00A44688"/>
    <w:rsid w:val="00A448E6"/>
    <w:rsid w:val="00A44C2A"/>
    <w:rsid w:val="00A44D10"/>
    <w:rsid w:val="00A44F15"/>
    <w:rsid w:val="00A45023"/>
    <w:rsid w:val="00A451D7"/>
    <w:rsid w:val="00A45D34"/>
    <w:rsid w:val="00A4634F"/>
    <w:rsid w:val="00A46705"/>
    <w:rsid w:val="00A468AD"/>
    <w:rsid w:val="00A469CE"/>
    <w:rsid w:val="00A46A6C"/>
    <w:rsid w:val="00A471A9"/>
    <w:rsid w:val="00A501C4"/>
    <w:rsid w:val="00A504E1"/>
    <w:rsid w:val="00A505DA"/>
    <w:rsid w:val="00A50FA7"/>
    <w:rsid w:val="00A5248E"/>
    <w:rsid w:val="00A524C3"/>
    <w:rsid w:val="00A52DFF"/>
    <w:rsid w:val="00A52F89"/>
    <w:rsid w:val="00A53A67"/>
    <w:rsid w:val="00A542FB"/>
    <w:rsid w:val="00A543A0"/>
    <w:rsid w:val="00A54957"/>
    <w:rsid w:val="00A54A6D"/>
    <w:rsid w:val="00A54CB1"/>
    <w:rsid w:val="00A5505A"/>
    <w:rsid w:val="00A55071"/>
    <w:rsid w:val="00A55612"/>
    <w:rsid w:val="00A5598A"/>
    <w:rsid w:val="00A55B6A"/>
    <w:rsid w:val="00A56942"/>
    <w:rsid w:val="00A57179"/>
    <w:rsid w:val="00A57441"/>
    <w:rsid w:val="00A600BD"/>
    <w:rsid w:val="00A60360"/>
    <w:rsid w:val="00A6070E"/>
    <w:rsid w:val="00A60A53"/>
    <w:rsid w:val="00A60FCB"/>
    <w:rsid w:val="00A610BA"/>
    <w:rsid w:val="00A612C9"/>
    <w:rsid w:val="00A61D43"/>
    <w:rsid w:val="00A61E4C"/>
    <w:rsid w:val="00A61EB9"/>
    <w:rsid w:val="00A6207A"/>
    <w:rsid w:val="00A628DE"/>
    <w:rsid w:val="00A62B0D"/>
    <w:rsid w:val="00A62C92"/>
    <w:rsid w:val="00A62DEF"/>
    <w:rsid w:val="00A63251"/>
    <w:rsid w:val="00A63309"/>
    <w:rsid w:val="00A6357C"/>
    <w:rsid w:val="00A63F7B"/>
    <w:rsid w:val="00A644EB"/>
    <w:rsid w:val="00A64BBD"/>
    <w:rsid w:val="00A64D9E"/>
    <w:rsid w:val="00A65625"/>
    <w:rsid w:val="00A6576D"/>
    <w:rsid w:val="00A65B30"/>
    <w:rsid w:val="00A65C29"/>
    <w:rsid w:val="00A661B8"/>
    <w:rsid w:val="00A6631F"/>
    <w:rsid w:val="00A6688A"/>
    <w:rsid w:val="00A66BEC"/>
    <w:rsid w:val="00A67041"/>
    <w:rsid w:val="00A67257"/>
    <w:rsid w:val="00A67507"/>
    <w:rsid w:val="00A678E6"/>
    <w:rsid w:val="00A67B27"/>
    <w:rsid w:val="00A70462"/>
    <w:rsid w:val="00A70F2F"/>
    <w:rsid w:val="00A70F4C"/>
    <w:rsid w:val="00A7112C"/>
    <w:rsid w:val="00A71CAE"/>
    <w:rsid w:val="00A7279D"/>
    <w:rsid w:val="00A727D1"/>
    <w:rsid w:val="00A72AB7"/>
    <w:rsid w:val="00A7376D"/>
    <w:rsid w:val="00A737E9"/>
    <w:rsid w:val="00A73C91"/>
    <w:rsid w:val="00A74324"/>
    <w:rsid w:val="00A74486"/>
    <w:rsid w:val="00A7496A"/>
    <w:rsid w:val="00A75CAD"/>
    <w:rsid w:val="00A760BA"/>
    <w:rsid w:val="00A7619A"/>
    <w:rsid w:val="00A7678D"/>
    <w:rsid w:val="00A76994"/>
    <w:rsid w:val="00A77D83"/>
    <w:rsid w:val="00A8019D"/>
    <w:rsid w:val="00A8019F"/>
    <w:rsid w:val="00A808D6"/>
    <w:rsid w:val="00A80AAA"/>
    <w:rsid w:val="00A81881"/>
    <w:rsid w:val="00A81BF8"/>
    <w:rsid w:val="00A81C0C"/>
    <w:rsid w:val="00A81C47"/>
    <w:rsid w:val="00A8241B"/>
    <w:rsid w:val="00A83231"/>
    <w:rsid w:val="00A83692"/>
    <w:rsid w:val="00A83906"/>
    <w:rsid w:val="00A83A0A"/>
    <w:rsid w:val="00A84A56"/>
    <w:rsid w:val="00A84BD0"/>
    <w:rsid w:val="00A84F73"/>
    <w:rsid w:val="00A85358"/>
    <w:rsid w:val="00A85B3E"/>
    <w:rsid w:val="00A85DE5"/>
    <w:rsid w:val="00A86A57"/>
    <w:rsid w:val="00A86ECE"/>
    <w:rsid w:val="00A8724C"/>
    <w:rsid w:val="00A87343"/>
    <w:rsid w:val="00A8759D"/>
    <w:rsid w:val="00A87C72"/>
    <w:rsid w:val="00A87ED9"/>
    <w:rsid w:val="00A9015A"/>
    <w:rsid w:val="00A90AE7"/>
    <w:rsid w:val="00A913CB"/>
    <w:rsid w:val="00A92515"/>
    <w:rsid w:val="00A9273F"/>
    <w:rsid w:val="00A9309F"/>
    <w:rsid w:val="00A938D2"/>
    <w:rsid w:val="00A93930"/>
    <w:rsid w:val="00A93C39"/>
    <w:rsid w:val="00A93C76"/>
    <w:rsid w:val="00A93ECD"/>
    <w:rsid w:val="00A946EB"/>
    <w:rsid w:val="00A950C0"/>
    <w:rsid w:val="00A95B4F"/>
    <w:rsid w:val="00A95C95"/>
    <w:rsid w:val="00A95DD4"/>
    <w:rsid w:val="00A96B30"/>
    <w:rsid w:val="00A96FF5"/>
    <w:rsid w:val="00A97164"/>
    <w:rsid w:val="00A9745A"/>
    <w:rsid w:val="00A97517"/>
    <w:rsid w:val="00A97828"/>
    <w:rsid w:val="00A97C47"/>
    <w:rsid w:val="00AA03AD"/>
    <w:rsid w:val="00AA0B88"/>
    <w:rsid w:val="00AA0BDF"/>
    <w:rsid w:val="00AA103C"/>
    <w:rsid w:val="00AA16AB"/>
    <w:rsid w:val="00AA1854"/>
    <w:rsid w:val="00AA1B34"/>
    <w:rsid w:val="00AA2B65"/>
    <w:rsid w:val="00AA3350"/>
    <w:rsid w:val="00AA350F"/>
    <w:rsid w:val="00AA38B3"/>
    <w:rsid w:val="00AA4058"/>
    <w:rsid w:val="00AA47D4"/>
    <w:rsid w:val="00AA4F34"/>
    <w:rsid w:val="00AA507F"/>
    <w:rsid w:val="00AA57BA"/>
    <w:rsid w:val="00AA5F02"/>
    <w:rsid w:val="00AA6832"/>
    <w:rsid w:val="00AA6966"/>
    <w:rsid w:val="00AA6ADB"/>
    <w:rsid w:val="00AA6DDE"/>
    <w:rsid w:val="00AA72B8"/>
    <w:rsid w:val="00AA73F0"/>
    <w:rsid w:val="00AA7EB6"/>
    <w:rsid w:val="00AB0340"/>
    <w:rsid w:val="00AB097B"/>
    <w:rsid w:val="00AB1335"/>
    <w:rsid w:val="00AB13BE"/>
    <w:rsid w:val="00AB17FB"/>
    <w:rsid w:val="00AB1A12"/>
    <w:rsid w:val="00AB2621"/>
    <w:rsid w:val="00AB27B0"/>
    <w:rsid w:val="00AB2C57"/>
    <w:rsid w:val="00AB2F0E"/>
    <w:rsid w:val="00AB3876"/>
    <w:rsid w:val="00AB3BCB"/>
    <w:rsid w:val="00AB3E2F"/>
    <w:rsid w:val="00AB4C74"/>
    <w:rsid w:val="00AB4C76"/>
    <w:rsid w:val="00AB4DEF"/>
    <w:rsid w:val="00AB528A"/>
    <w:rsid w:val="00AB5752"/>
    <w:rsid w:val="00AB616B"/>
    <w:rsid w:val="00AB6216"/>
    <w:rsid w:val="00AB68D3"/>
    <w:rsid w:val="00AB6C91"/>
    <w:rsid w:val="00AB6E42"/>
    <w:rsid w:val="00AB78D2"/>
    <w:rsid w:val="00AB7E1A"/>
    <w:rsid w:val="00AC0462"/>
    <w:rsid w:val="00AC0920"/>
    <w:rsid w:val="00AC10C3"/>
    <w:rsid w:val="00AC1399"/>
    <w:rsid w:val="00AC1575"/>
    <w:rsid w:val="00AC15F7"/>
    <w:rsid w:val="00AC1DD4"/>
    <w:rsid w:val="00AC1E13"/>
    <w:rsid w:val="00AC1E36"/>
    <w:rsid w:val="00AC2331"/>
    <w:rsid w:val="00AC2702"/>
    <w:rsid w:val="00AC2A24"/>
    <w:rsid w:val="00AC2AB9"/>
    <w:rsid w:val="00AC2B3C"/>
    <w:rsid w:val="00AC2E5A"/>
    <w:rsid w:val="00AC3475"/>
    <w:rsid w:val="00AC34C9"/>
    <w:rsid w:val="00AC36BB"/>
    <w:rsid w:val="00AC3766"/>
    <w:rsid w:val="00AC436C"/>
    <w:rsid w:val="00AC4816"/>
    <w:rsid w:val="00AC5047"/>
    <w:rsid w:val="00AC564D"/>
    <w:rsid w:val="00AC5DD6"/>
    <w:rsid w:val="00AC623F"/>
    <w:rsid w:val="00AC7241"/>
    <w:rsid w:val="00AC7392"/>
    <w:rsid w:val="00AD0059"/>
    <w:rsid w:val="00AD016E"/>
    <w:rsid w:val="00AD0612"/>
    <w:rsid w:val="00AD0B96"/>
    <w:rsid w:val="00AD0DB7"/>
    <w:rsid w:val="00AD104A"/>
    <w:rsid w:val="00AD112C"/>
    <w:rsid w:val="00AD1280"/>
    <w:rsid w:val="00AD34A9"/>
    <w:rsid w:val="00AD3951"/>
    <w:rsid w:val="00AD420F"/>
    <w:rsid w:val="00AD437C"/>
    <w:rsid w:val="00AD4494"/>
    <w:rsid w:val="00AD4ACD"/>
    <w:rsid w:val="00AD4E54"/>
    <w:rsid w:val="00AD5A57"/>
    <w:rsid w:val="00AD5CB5"/>
    <w:rsid w:val="00AD5D13"/>
    <w:rsid w:val="00AD5EA8"/>
    <w:rsid w:val="00AD7001"/>
    <w:rsid w:val="00AD7389"/>
    <w:rsid w:val="00AD7411"/>
    <w:rsid w:val="00AD793F"/>
    <w:rsid w:val="00AD7B53"/>
    <w:rsid w:val="00AD7BB5"/>
    <w:rsid w:val="00AD7DA3"/>
    <w:rsid w:val="00AE0D31"/>
    <w:rsid w:val="00AE0E28"/>
    <w:rsid w:val="00AE205A"/>
    <w:rsid w:val="00AE222C"/>
    <w:rsid w:val="00AE2AB4"/>
    <w:rsid w:val="00AE32E6"/>
    <w:rsid w:val="00AE36EB"/>
    <w:rsid w:val="00AE397D"/>
    <w:rsid w:val="00AE3AFE"/>
    <w:rsid w:val="00AE42E0"/>
    <w:rsid w:val="00AE4E6A"/>
    <w:rsid w:val="00AE545B"/>
    <w:rsid w:val="00AE6480"/>
    <w:rsid w:val="00AE6613"/>
    <w:rsid w:val="00AE6F0C"/>
    <w:rsid w:val="00AE6FB5"/>
    <w:rsid w:val="00AE7B63"/>
    <w:rsid w:val="00AE7FA2"/>
    <w:rsid w:val="00AF004D"/>
    <w:rsid w:val="00AF09B4"/>
    <w:rsid w:val="00AF1158"/>
    <w:rsid w:val="00AF13C0"/>
    <w:rsid w:val="00AF14C0"/>
    <w:rsid w:val="00AF17DC"/>
    <w:rsid w:val="00AF1C4E"/>
    <w:rsid w:val="00AF271E"/>
    <w:rsid w:val="00AF28F5"/>
    <w:rsid w:val="00AF30A6"/>
    <w:rsid w:val="00AF40C7"/>
    <w:rsid w:val="00AF46A5"/>
    <w:rsid w:val="00AF4CDC"/>
    <w:rsid w:val="00AF4E36"/>
    <w:rsid w:val="00AF505F"/>
    <w:rsid w:val="00AF5094"/>
    <w:rsid w:val="00AF5D66"/>
    <w:rsid w:val="00AF5EEA"/>
    <w:rsid w:val="00AF721E"/>
    <w:rsid w:val="00AF77C4"/>
    <w:rsid w:val="00AF7A11"/>
    <w:rsid w:val="00AF7F39"/>
    <w:rsid w:val="00B0032C"/>
    <w:rsid w:val="00B00825"/>
    <w:rsid w:val="00B00925"/>
    <w:rsid w:val="00B01639"/>
    <w:rsid w:val="00B017F8"/>
    <w:rsid w:val="00B02262"/>
    <w:rsid w:val="00B03DCE"/>
    <w:rsid w:val="00B03F47"/>
    <w:rsid w:val="00B04559"/>
    <w:rsid w:val="00B0467F"/>
    <w:rsid w:val="00B04EFE"/>
    <w:rsid w:val="00B05195"/>
    <w:rsid w:val="00B05789"/>
    <w:rsid w:val="00B05F20"/>
    <w:rsid w:val="00B05FBF"/>
    <w:rsid w:val="00B06033"/>
    <w:rsid w:val="00B06074"/>
    <w:rsid w:val="00B060F4"/>
    <w:rsid w:val="00B068A3"/>
    <w:rsid w:val="00B06D5F"/>
    <w:rsid w:val="00B06EB4"/>
    <w:rsid w:val="00B0701A"/>
    <w:rsid w:val="00B07086"/>
    <w:rsid w:val="00B072E1"/>
    <w:rsid w:val="00B076D0"/>
    <w:rsid w:val="00B078F5"/>
    <w:rsid w:val="00B07B43"/>
    <w:rsid w:val="00B10BAA"/>
    <w:rsid w:val="00B1153D"/>
    <w:rsid w:val="00B123BF"/>
    <w:rsid w:val="00B124BB"/>
    <w:rsid w:val="00B12606"/>
    <w:rsid w:val="00B127FC"/>
    <w:rsid w:val="00B13299"/>
    <w:rsid w:val="00B137F1"/>
    <w:rsid w:val="00B137F5"/>
    <w:rsid w:val="00B13AFA"/>
    <w:rsid w:val="00B13B84"/>
    <w:rsid w:val="00B13D7F"/>
    <w:rsid w:val="00B13DC1"/>
    <w:rsid w:val="00B13DC4"/>
    <w:rsid w:val="00B14133"/>
    <w:rsid w:val="00B14261"/>
    <w:rsid w:val="00B159EE"/>
    <w:rsid w:val="00B16071"/>
    <w:rsid w:val="00B1682E"/>
    <w:rsid w:val="00B168FF"/>
    <w:rsid w:val="00B17061"/>
    <w:rsid w:val="00B17E5C"/>
    <w:rsid w:val="00B202EA"/>
    <w:rsid w:val="00B20916"/>
    <w:rsid w:val="00B20A69"/>
    <w:rsid w:val="00B20F3E"/>
    <w:rsid w:val="00B21432"/>
    <w:rsid w:val="00B21A84"/>
    <w:rsid w:val="00B21B97"/>
    <w:rsid w:val="00B21D72"/>
    <w:rsid w:val="00B21F7D"/>
    <w:rsid w:val="00B221A1"/>
    <w:rsid w:val="00B22404"/>
    <w:rsid w:val="00B224F8"/>
    <w:rsid w:val="00B2299C"/>
    <w:rsid w:val="00B22DB7"/>
    <w:rsid w:val="00B23384"/>
    <w:rsid w:val="00B23666"/>
    <w:rsid w:val="00B245A9"/>
    <w:rsid w:val="00B24AC7"/>
    <w:rsid w:val="00B250BC"/>
    <w:rsid w:val="00B2516B"/>
    <w:rsid w:val="00B256A1"/>
    <w:rsid w:val="00B25842"/>
    <w:rsid w:val="00B25F66"/>
    <w:rsid w:val="00B260F0"/>
    <w:rsid w:val="00B26502"/>
    <w:rsid w:val="00B26561"/>
    <w:rsid w:val="00B265F1"/>
    <w:rsid w:val="00B26705"/>
    <w:rsid w:val="00B26762"/>
    <w:rsid w:val="00B26C5B"/>
    <w:rsid w:val="00B27159"/>
    <w:rsid w:val="00B27858"/>
    <w:rsid w:val="00B27B88"/>
    <w:rsid w:val="00B27C5C"/>
    <w:rsid w:val="00B27F9C"/>
    <w:rsid w:val="00B3035A"/>
    <w:rsid w:val="00B30C5A"/>
    <w:rsid w:val="00B30DB7"/>
    <w:rsid w:val="00B30DF2"/>
    <w:rsid w:val="00B312BA"/>
    <w:rsid w:val="00B31A1B"/>
    <w:rsid w:val="00B31E91"/>
    <w:rsid w:val="00B32159"/>
    <w:rsid w:val="00B32321"/>
    <w:rsid w:val="00B3246E"/>
    <w:rsid w:val="00B331F5"/>
    <w:rsid w:val="00B333D8"/>
    <w:rsid w:val="00B35838"/>
    <w:rsid w:val="00B36077"/>
    <w:rsid w:val="00B36129"/>
    <w:rsid w:val="00B36744"/>
    <w:rsid w:val="00B3773C"/>
    <w:rsid w:val="00B3797E"/>
    <w:rsid w:val="00B37D72"/>
    <w:rsid w:val="00B37E69"/>
    <w:rsid w:val="00B40305"/>
    <w:rsid w:val="00B40DD9"/>
    <w:rsid w:val="00B40E53"/>
    <w:rsid w:val="00B41021"/>
    <w:rsid w:val="00B41433"/>
    <w:rsid w:val="00B4176A"/>
    <w:rsid w:val="00B417CD"/>
    <w:rsid w:val="00B41B51"/>
    <w:rsid w:val="00B41BA8"/>
    <w:rsid w:val="00B42128"/>
    <w:rsid w:val="00B42398"/>
    <w:rsid w:val="00B43277"/>
    <w:rsid w:val="00B43CA6"/>
    <w:rsid w:val="00B44392"/>
    <w:rsid w:val="00B44B48"/>
    <w:rsid w:val="00B44D69"/>
    <w:rsid w:val="00B44F4F"/>
    <w:rsid w:val="00B45452"/>
    <w:rsid w:val="00B4553C"/>
    <w:rsid w:val="00B46884"/>
    <w:rsid w:val="00B46D9E"/>
    <w:rsid w:val="00B470BF"/>
    <w:rsid w:val="00B47153"/>
    <w:rsid w:val="00B47FD4"/>
    <w:rsid w:val="00B519D2"/>
    <w:rsid w:val="00B519ED"/>
    <w:rsid w:val="00B51B7C"/>
    <w:rsid w:val="00B5244C"/>
    <w:rsid w:val="00B5295E"/>
    <w:rsid w:val="00B5310E"/>
    <w:rsid w:val="00B532D4"/>
    <w:rsid w:val="00B534B0"/>
    <w:rsid w:val="00B53894"/>
    <w:rsid w:val="00B53B26"/>
    <w:rsid w:val="00B53CF5"/>
    <w:rsid w:val="00B54CCC"/>
    <w:rsid w:val="00B54CFA"/>
    <w:rsid w:val="00B5528B"/>
    <w:rsid w:val="00B55527"/>
    <w:rsid w:val="00B55AC9"/>
    <w:rsid w:val="00B55D0B"/>
    <w:rsid w:val="00B55E9D"/>
    <w:rsid w:val="00B55F39"/>
    <w:rsid w:val="00B56520"/>
    <w:rsid w:val="00B60306"/>
    <w:rsid w:val="00B6031E"/>
    <w:rsid w:val="00B6055E"/>
    <w:rsid w:val="00B61093"/>
    <w:rsid w:val="00B611C9"/>
    <w:rsid w:val="00B616A7"/>
    <w:rsid w:val="00B61FF3"/>
    <w:rsid w:val="00B6361A"/>
    <w:rsid w:val="00B63B25"/>
    <w:rsid w:val="00B63B29"/>
    <w:rsid w:val="00B63E92"/>
    <w:rsid w:val="00B6442F"/>
    <w:rsid w:val="00B64850"/>
    <w:rsid w:val="00B64B0A"/>
    <w:rsid w:val="00B65666"/>
    <w:rsid w:val="00B660C0"/>
    <w:rsid w:val="00B66321"/>
    <w:rsid w:val="00B663A1"/>
    <w:rsid w:val="00B6657A"/>
    <w:rsid w:val="00B668CE"/>
    <w:rsid w:val="00B66BD8"/>
    <w:rsid w:val="00B66DDF"/>
    <w:rsid w:val="00B67BE3"/>
    <w:rsid w:val="00B67EBF"/>
    <w:rsid w:val="00B7090F"/>
    <w:rsid w:val="00B70BF6"/>
    <w:rsid w:val="00B70FA7"/>
    <w:rsid w:val="00B715E7"/>
    <w:rsid w:val="00B71B6C"/>
    <w:rsid w:val="00B721AF"/>
    <w:rsid w:val="00B7270C"/>
    <w:rsid w:val="00B72C9E"/>
    <w:rsid w:val="00B730B5"/>
    <w:rsid w:val="00B73265"/>
    <w:rsid w:val="00B733C5"/>
    <w:rsid w:val="00B73A99"/>
    <w:rsid w:val="00B741B3"/>
    <w:rsid w:val="00B745CF"/>
    <w:rsid w:val="00B7490D"/>
    <w:rsid w:val="00B75334"/>
    <w:rsid w:val="00B755D4"/>
    <w:rsid w:val="00B76221"/>
    <w:rsid w:val="00B76802"/>
    <w:rsid w:val="00B769E1"/>
    <w:rsid w:val="00B770A5"/>
    <w:rsid w:val="00B775A5"/>
    <w:rsid w:val="00B777A6"/>
    <w:rsid w:val="00B77DF6"/>
    <w:rsid w:val="00B77E44"/>
    <w:rsid w:val="00B77F51"/>
    <w:rsid w:val="00B8002A"/>
    <w:rsid w:val="00B80253"/>
    <w:rsid w:val="00B80455"/>
    <w:rsid w:val="00B80E6E"/>
    <w:rsid w:val="00B80F60"/>
    <w:rsid w:val="00B8102A"/>
    <w:rsid w:val="00B816E3"/>
    <w:rsid w:val="00B81793"/>
    <w:rsid w:val="00B81E99"/>
    <w:rsid w:val="00B82263"/>
    <w:rsid w:val="00B82B29"/>
    <w:rsid w:val="00B82E87"/>
    <w:rsid w:val="00B8381A"/>
    <w:rsid w:val="00B8402F"/>
    <w:rsid w:val="00B84A85"/>
    <w:rsid w:val="00B859F6"/>
    <w:rsid w:val="00B85F09"/>
    <w:rsid w:val="00B8638C"/>
    <w:rsid w:val="00B86513"/>
    <w:rsid w:val="00B86921"/>
    <w:rsid w:val="00B8692C"/>
    <w:rsid w:val="00B86C00"/>
    <w:rsid w:val="00B87543"/>
    <w:rsid w:val="00B879BA"/>
    <w:rsid w:val="00B87F83"/>
    <w:rsid w:val="00B90391"/>
    <w:rsid w:val="00B9098F"/>
    <w:rsid w:val="00B910DE"/>
    <w:rsid w:val="00B91127"/>
    <w:rsid w:val="00B911F8"/>
    <w:rsid w:val="00B915DC"/>
    <w:rsid w:val="00B91744"/>
    <w:rsid w:val="00B91AF1"/>
    <w:rsid w:val="00B930AF"/>
    <w:rsid w:val="00B93714"/>
    <w:rsid w:val="00B93B64"/>
    <w:rsid w:val="00B9435C"/>
    <w:rsid w:val="00B951A9"/>
    <w:rsid w:val="00B9544F"/>
    <w:rsid w:val="00B95E40"/>
    <w:rsid w:val="00B960F4"/>
    <w:rsid w:val="00B96A83"/>
    <w:rsid w:val="00B96D38"/>
    <w:rsid w:val="00B96D9C"/>
    <w:rsid w:val="00B96FFE"/>
    <w:rsid w:val="00B97064"/>
    <w:rsid w:val="00B972CC"/>
    <w:rsid w:val="00B974C1"/>
    <w:rsid w:val="00B9763D"/>
    <w:rsid w:val="00B976DF"/>
    <w:rsid w:val="00B97B51"/>
    <w:rsid w:val="00BA0427"/>
    <w:rsid w:val="00BA0732"/>
    <w:rsid w:val="00BA0BF0"/>
    <w:rsid w:val="00BA0FC6"/>
    <w:rsid w:val="00BA1F77"/>
    <w:rsid w:val="00BA23A4"/>
    <w:rsid w:val="00BA2CA9"/>
    <w:rsid w:val="00BA2EC7"/>
    <w:rsid w:val="00BA2F27"/>
    <w:rsid w:val="00BA31B1"/>
    <w:rsid w:val="00BA33B9"/>
    <w:rsid w:val="00BA39B3"/>
    <w:rsid w:val="00BA3F93"/>
    <w:rsid w:val="00BA42D5"/>
    <w:rsid w:val="00BA4871"/>
    <w:rsid w:val="00BA4D64"/>
    <w:rsid w:val="00BA5097"/>
    <w:rsid w:val="00BA5712"/>
    <w:rsid w:val="00BA5FB9"/>
    <w:rsid w:val="00BA6A50"/>
    <w:rsid w:val="00BA7283"/>
    <w:rsid w:val="00BA7508"/>
    <w:rsid w:val="00BA7A67"/>
    <w:rsid w:val="00BA7A8D"/>
    <w:rsid w:val="00BA7AF8"/>
    <w:rsid w:val="00BB00C5"/>
    <w:rsid w:val="00BB0B4D"/>
    <w:rsid w:val="00BB0C6C"/>
    <w:rsid w:val="00BB1294"/>
    <w:rsid w:val="00BB130A"/>
    <w:rsid w:val="00BB133F"/>
    <w:rsid w:val="00BB20A0"/>
    <w:rsid w:val="00BB2784"/>
    <w:rsid w:val="00BB28FF"/>
    <w:rsid w:val="00BB2D5B"/>
    <w:rsid w:val="00BB2D66"/>
    <w:rsid w:val="00BB31AE"/>
    <w:rsid w:val="00BB440C"/>
    <w:rsid w:val="00BB4DB9"/>
    <w:rsid w:val="00BB7E98"/>
    <w:rsid w:val="00BB7F58"/>
    <w:rsid w:val="00BC0256"/>
    <w:rsid w:val="00BC04C1"/>
    <w:rsid w:val="00BC069A"/>
    <w:rsid w:val="00BC09B9"/>
    <w:rsid w:val="00BC0AD6"/>
    <w:rsid w:val="00BC0B3C"/>
    <w:rsid w:val="00BC0CCD"/>
    <w:rsid w:val="00BC0D37"/>
    <w:rsid w:val="00BC0EF8"/>
    <w:rsid w:val="00BC12FD"/>
    <w:rsid w:val="00BC1D9A"/>
    <w:rsid w:val="00BC1E15"/>
    <w:rsid w:val="00BC1EDC"/>
    <w:rsid w:val="00BC245B"/>
    <w:rsid w:val="00BC299F"/>
    <w:rsid w:val="00BC2B91"/>
    <w:rsid w:val="00BC2D9C"/>
    <w:rsid w:val="00BC2F4B"/>
    <w:rsid w:val="00BC3F75"/>
    <w:rsid w:val="00BC3FEA"/>
    <w:rsid w:val="00BC546A"/>
    <w:rsid w:val="00BC56A6"/>
    <w:rsid w:val="00BC56EC"/>
    <w:rsid w:val="00BC596C"/>
    <w:rsid w:val="00BC5BE3"/>
    <w:rsid w:val="00BC5DB8"/>
    <w:rsid w:val="00BC68A2"/>
    <w:rsid w:val="00BC6B00"/>
    <w:rsid w:val="00BC7028"/>
    <w:rsid w:val="00BC7029"/>
    <w:rsid w:val="00BD0068"/>
    <w:rsid w:val="00BD0645"/>
    <w:rsid w:val="00BD0F63"/>
    <w:rsid w:val="00BD1C53"/>
    <w:rsid w:val="00BD25F0"/>
    <w:rsid w:val="00BD286C"/>
    <w:rsid w:val="00BD2D89"/>
    <w:rsid w:val="00BD2E20"/>
    <w:rsid w:val="00BD30E1"/>
    <w:rsid w:val="00BD31B8"/>
    <w:rsid w:val="00BD361C"/>
    <w:rsid w:val="00BD372E"/>
    <w:rsid w:val="00BD3BB1"/>
    <w:rsid w:val="00BD46FD"/>
    <w:rsid w:val="00BD55E9"/>
    <w:rsid w:val="00BD5927"/>
    <w:rsid w:val="00BD68B0"/>
    <w:rsid w:val="00BD6CF9"/>
    <w:rsid w:val="00BD6D4A"/>
    <w:rsid w:val="00BD762D"/>
    <w:rsid w:val="00BD76FF"/>
    <w:rsid w:val="00BD7BCA"/>
    <w:rsid w:val="00BD7C07"/>
    <w:rsid w:val="00BD7FE5"/>
    <w:rsid w:val="00BE04ED"/>
    <w:rsid w:val="00BE1A73"/>
    <w:rsid w:val="00BE1C36"/>
    <w:rsid w:val="00BE21DA"/>
    <w:rsid w:val="00BE2220"/>
    <w:rsid w:val="00BE2511"/>
    <w:rsid w:val="00BE2567"/>
    <w:rsid w:val="00BE265D"/>
    <w:rsid w:val="00BE27D5"/>
    <w:rsid w:val="00BE3438"/>
    <w:rsid w:val="00BE3925"/>
    <w:rsid w:val="00BE3DD0"/>
    <w:rsid w:val="00BE41D7"/>
    <w:rsid w:val="00BE556C"/>
    <w:rsid w:val="00BE5AE5"/>
    <w:rsid w:val="00BE5CD8"/>
    <w:rsid w:val="00BE5F98"/>
    <w:rsid w:val="00BE60BE"/>
    <w:rsid w:val="00BE7193"/>
    <w:rsid w:val="00BE7B73"/>
    <w:rsid w:val="00BE7F23"/>
    <w:rsid w:val="00BF0AB0"/>
    <w:rsid w:val="00BF0ADC"/>
    <w:rsid w:val="00BF0EF9"/>
    <w:rsid w:val="00BF1003"/>
    <w:rsid w:val="00BF181E"/>
    <w:rsid w:val="00BF1F45"/>
    <w:rsid w:val="00BF1F77"/>
    <w:rsid w:val="00BF2503"/>
    <w:rsid w:val="00BF2926"/>
    <w:rsid w:val="00BF2A17"/>
    <w:rsid w:val="00BF30EA"/>
    <w:rsid w:val="00BF383A"/>
    <w:rsid w:val="00BF39C5"/>
    <w:rsid w:val="00BF3AE3"/>
    <w:rsid w:val="00BF41C3"/>
    <w:rsid w:val="00BF462E"/>
    <w:rsid w:val="00BF46E6"/>
    <w:rsid w:val="00BF491E"/>
    <w:rsid w:val="00BF4C5A"/>
    <w:rsid w:val="00BF4D1D"/>
    <w:rsid w:val="00BF54C4"/>
    <w:rsid w:val="00BF5BCD"/>
    <w:rsid w:val="00BF5C9F"/>
    <w:rsid w:val="00BF5D30"/>
    <w:rsid w:val="00BF615F"/>
    <w:rsid w:val="00BF628E"/>
    <w:rsid w:val="00BF64CE"/>
    <w:rsid w:val="00BF75E5"/>
    <w:rsid w:val="00BF77F2"/>
    <w:rsid w:val="00BF7807"/>
    <w:rsid w:val="00BF7F30"/>
    <w:rsid w:val="00C000C8"/>
    <w:rsid w:val="00C00111"/>
    <w:rsid w:val="00C006AF"/>
    <w:rsid w:val="00C00DC6"/>
    <w:rsid w:val="00C00F44"/>
    <w:rsid w:val="00C012CD"/>
    <w:rsid w:val="00C01548"/>
    <w:rsid w:val="00C0180B"/>
    <w:rsid w:val="00C02900"/>
    <w:rsid w:val="00C03455"/>
    <w:rsid w:val="00C03483"/>
    <w:rsid w:val="00C036F4"/>
    <w:rsid w:val="00C03908"/>
    <w:rsid w:val="00C03EDB"/>
    <w:rsid w:val="00C044F3"/>
    <w:rsid w:val="00C079C3"/>
    <w:rsid w:val="00C079DE"/>
    <w:rsid w:val="00C111C9"/>
    <w:rsid w:val="00C11BEE"/>
    <w:rsid w:val="00C11E92"/>
    <w:rsid w:val="00C12C8E"/>
    <w:rsid w:val="00C12CCD"/>
    <w:rsid w:val="00C13B94"/>
    <w:rsid w:val="00C14F3F"/>
    <w:rsid w:val="00C15203"/>
    <w:rsid w:val="00C15498"/>
    <w:rsid w:val="00C161A9"/>
    <w:rsid w:val="00C16D84"/>
    <w:rsid w:val="00C17142"/>
    <w:rsid w:val="00C174C3"/>
    <w:rsid w:val="00C17DDE"/>
    <w:rsid w:val="00C17E4E"/>
    <w:rsid w:val="00C20C2E"/>
    <w:rsid w:val="00C20ECA"/>
    <w:rsid w:val="00C21532"/>
    <w:rsid w:val="00C21843"/>
    <w:rsid w:val="00C218CD"/>
    <w:rsid w:val="00C21F1C"/>
    <w:rsid w:val="00C22AC7"/>
    <w:rsid w:val="00C22DA4"/>
    <w:rsid w:val="00C22F65"/>
    <w:rsid w:val="00C23A39"/>
    <w:rsid w:val="00C23ABD"/>
    <w:rsid w:val="00C23BFB"/>
    <w:rsid w:val="00C23E41"/>
    <w:rsid w:val="00C23EB2"/>
    <w:rsid w:val="00C243C8"/>
    <w:rsid w:val="00C244F4"/>
    <w:rsid w:val="00C24566"/>
    <w:rsid w:val="00C24582"/>
    <w:rsid w:val="00C25855"/>
    <w:rsid w:val="00C25C5A"/>
    <w:rsid w:val="00C262D7"/>
    <w:rsid w:val="00C26363"/>
    <w:rsid w:val="00C263AB"/>
    <w:rsid w:val="00C26CC0"/>
    <w:rsid w:val="00C26DAF"/>
    <w:rsid w:val="00C26DD0"/>
    <w:rsid w:val="00C2702B"/>
    <w:rsid w:val="00C270B0"/>
    <w:rsid w:val="00C27199"/>
    <w:rsid w:val="00C30753"/>
    <w:rsid w:val="00C308E6"/>
    <w:rsid w:val="00C30C33"/>
    <w:rsid w:val="00C311AA"/>
    <w:rsid w:val="00C31791"/>
    <w:rsid w:val="00C31C9F"/>
    <w:rsid w:val="00C33121"/>
    <w:rsid w:val="00C33457"/>
    <w:rsid w:val="00C335B7"/>
    <w:rsid w:val="00C335FC"/>
    <w:rsid w:val="00C3380F"/>
    <w:rsid w:val="00C33970"/>
    <w:rsid w:val="00C33D9B"/>
    <w:rsid w:val="00C33E85"/>
    <w:rsid w:val="00C3406D"/>
    <w:rsid w:val="00C341B4"/>
    <w:rsid w:val="00C34A6F"/>
    <w:rsid w:val="00C35117"/>
    <w:rsid w:val="00C354BB"/>
    <w:rsid w:val="00C35E2D"/>
    <w:rsid w:val="00C361A4"/>
    <w:rsid w:val="00C3717B"/>
    <w:rsid w:val="00C3725B"/>
    <w:rsid w:val="00C3729A"/>
    <w:rsid w:val="00C37314"/>
    <w:rsid w:val="00C37C03"/>
    <w:rsid w:val="00C37F79"/>
    <w:rsid w:val="00C408DC"/>
    <w:rsid w:val="00C410AE"/>
    <w:rsid w:val="00C41938"/>
    <w:rsid w:val="00C41939"/>
    <w:rsid w:val="00C41D80"/>
    <w:rsid w:val="00C4223F"/>
    <w:rsid w:val="00C42C69"/>
    <w:rsid w:val="00C438BA"/>
    <w:rsid w:val="00C451D5"/>
    <w:rsid w:val="00C45A85"/>
    <w:rsid w:val="00C4669A"/>
    <w:rsid w:val="00C47567"/>
    <w:rsid w:val="00C479C2"/>
    <w:rsid w:val="00C515E2"/>
    <w:rsid w:val="00C51AB6"/>
    <w:rsid w:val="00C526E3"/>
    <w:rsid w:val="00C52BB7"/>
    <w:rsid w:val="00C52C63"/>
    <w:rsid w:val="00C534BA"/>
    <w:rsid w:val="00C534CF"/>
    <w:rsid w:val="00C53640"/>
    <w:rsid w:val="00C5373F"/>
    <w:rsid w:val="00C53E33"/>
    <w:rsid w:val="00C540CC"/>
    <w:rsid w:val="00C54530"/>
    <w:rsid w:val="00C54A43"/>
    <w:rsid w:val="00C54EAA"/>
    <w:rsid w:val="00C552BB"/>
    <w:rsid w:val="00C5696A"/>
    <w:rsid w:val="00C56DD4"/>
    <w:rsid w:val="00C572B0"/>
    <w:rsid w:val="00C574C4"/>
    <w:rsid w:val="00C57724"/>
    <w:rsid w:val="00C60A23"/>
    <w:rsid w:val="00C60DF6"/>
    <w:rsid w:val="00C6140F"/>
    <w:rsid w:val="00C61D0B"/>
    <w:rsid w:val="00C62163"/>
    <w:rsid w:val="00C630F4"/>
    <w:rsid w:val="00C63480"/>
    <w:rsid w:val="00C63604"/>
    <w:rsid w:val="00C63838"/>
    <w:rsid w:val="00C64775"/>
    <w:rsid w:val="00C653D9"/>
    <w:rsid w:val="00C656D3"/>
    <w:rsid w:val="00C65B4C"/>
    <w:rsid w:val="00C65C1A"/>
    <w:rsid w:val="00C6633A"/>
    <w:rsid w:val="00C66389"/>
    <w:rsid w:val="00C66B4B"/>
    <w:rsid w:val="00C66D49"/>
    <w:rsid w:val="00C6715A"/>
    <w:rsid w:val="00C677E7"/>
    <w:rsid w:val="00C67DD6"/>
    <w:rsid w:val="00C70362"/>
    <w:rsid w:val="00C7160E"/>
    <w:rsid w:val="00C71C4A"/>
    <w:rsid w:val="00C72125"/>
    <w:rsid w:val="00C722B0"/>
    <w:rsid w:val="00C7266E"/>
    <w:rsid w:val="00C73D3D"/>
    <w:rsid w:val="00C740B0"/>
    <w:rsid w:val="00C74C01"/>
    <w:rsid w:val="00C75767"/>
    <w:rsid w:val="00C76540"/>
    <w:rsid w:val="00C7672B"/>
    <w:rsid w:val="00C76763"/>
    <w:rsid w:val="00C76816"/>
    <w:rsid w:val="00C76ADC"/>
    <w:rsid w:val="00C76DDF"/>
    <w:rsid w:val="00C7793F"/>
    <w:rsid w:val="00C77C85"/>
    <w:rsid w:val="00C8026B"/>
    <w:rsid w:val="00C80599"/>
    <w:rsid w:val="00C8067D"/>
    <w:rsid w:val="00C812A0"/>
    <w:rsid w:val="00C81472"/>
    <w:rsid w:val="00C8151C"/>
    <w:rsid w:val="00C81EB1"/>
    <w:rsid w:val="00C825F1"/>
    <w:rsid w:val="00C82D0D"/>
    <w:rsid w:val="00C83888"/>
    <w:rsid w:val="00C83A69"/>
    <w:rsid w:val="00C83E1F"/>
    <w:rsid w:val="00C8460C"/>
    <w:rsid w:val="00C8475B"/>
    <w:rsid w:val="00C8481F"/>
    <w:rsid w:val="00C8492A"/>
    <w:rsid w:val="00C84DF5"/>
    <w:rsid w:val="00C85196"/>
    <w:rsid w:val="00C853F2"/>
    <w:rsid w:val="00C85991"/>
    <w:rsid w:val="00C866BC"/>
    <w:rsid w:val="00C86ADF"/>
    <w:rsid w:val="00C872B6"/>
    <w:rsid w:val="00C87A2F"/>
    <w:rsid w:val="00C87F03"/>
    <w:rsid w:val="00C90372"/>
    <w:rsid w:val="00C90807"/>
    <w:rsid w:val="00C90F36"/>
    <w:rsid w:val="00C912A2"/>
    <w:rsid w:val="00C91427"/>
    <w:rsid w:val="00C9192D"/>
    <w:rsid w:val="00C91D4F"/>
    <w:rsid w:val="00C926C1"/>
    <w:rsid w:val="00C92F89"/>
    <w:rsid w:val="00C931CD"/>
    <w:rsid w:val="00C93F28"/>
    <w:rsid w:val="00C94356"/>
    <w:rsid w:val="00C94641"/>
    <w:rsid w:val="00C94FA6"/>
    <w:rsid w:val="00C958B6"/>
    <w:rsid w:val="00C95F4C"/>
    <w:rsid w:val="00C968F6"/>
    <w:rsid w:val="00C96965"/>
    <w:rsid w:val="00C96AC7"/>
    <w:rsid w:val="00C96B24"/>
    <w:rsid w:val="00C97780"/>
    <w:rsid w:val="00C97B6A"/>
    <w:rsid w:val="00CA0EA4"/>
    <w:rsid w:val="00CA1018"/>
    <w:rsid w:val="00CA11CA"/>
    <w:rsid w:val="00CA136C"/>
    <w:rsid w:val="00CA1CB8"/>
    <w:rsid w:val="00CA2593"/>
    <w:rsid w:val="00CA276B"/>
    <w:rsid w:val="00CA31E8"/>
    <w:rsid w:val="00CA3851"/>
    <w:rsid w:val="00CA3B81"/>
    <w:rsid w:val="00CA4231"/>
    <w:rsid w:val="00CA43A9"/>
    <w:rsid w:val="00CA46D3"/>
    <w:rsid w:val="00CA479C"/>
    <w:rsid w:val="00CA4841"/>
    <w:rsid w:val="00CA52F0"/>
    <w:rsid w:val="00CA5736"/>
    <w:rsid w:val="00CA5787"/>
    <w:rsid w:val="00CA5A6C"/>
    <w:rsid w:val="00CA5D0C"/>
    <w:rsid w:val="00CA5F67"/>
    <w:rsid w:val="00CA6192"/>
    <w:rsid w:val="00CA63B4"/>
    <w:rsid w:val="00CA64E9"/>
    <w:rsid w:val="00CA6837"/>
    <w:rsid w:val="00CA7145"/>
    <w:rsid w:val="00CA731E"/>
    <w:rsid w:val="00CA7436"/>
    <w:rsid w:val="00CA76A6"/>
    <w:rsid w:val="00CA789C"/>
    <w:rsid w:val="00CA7942"/>
    <w:rsid w:val="00CA7E97"/>
    <w:rsid w:val="00CB06AF"/>
    <w:rsid w:val="00CB0A60"/>
    <w:rsid w:val="00CB1416"/>
    <w:rsid w:val="00CB15A1"/>
    <w:rsid w:val="00CB1D48"/>
    <w:rsid w:val="00CB1F01"/>
    <w:rsid w:val="00CB2107"/>
    <w:rsid w:val="00CB2320"/>
    <w:rsid w:val="00CB262C"/>
    <w:rsid w:val="00CB2881"/>
    <w:rsid w:val="00CB2D32"/>
    <w:rsid w:val="00CB303C"/>
    <w:rsid w:val="00CB356D"/>
    <w:rsid w:val="00CB35A1"/>
    <w:rsid w:val="00CB3658"/>
    <w:rsid w:val="00CB3904"/>
    <w:rsid w:val="00CB3B12"/>
    <w:rsid w:val="00CB3E21"/>
    <w:rsid w:val="00CB3E45"/>
    <w:rsid w:val="00CB4C25"/>
    <w:rsid w:val="00CB4F4C"/>
    <w:rsid w:val="00CB57F8"/>
    <w:rsid w:val="00CB5B67"/>
    <w:rsid w:val="00CB6D03"/>
    <w:rsid w:val="00CB7620"/>
    <w:rsid w:val="00CB7813"/>
    <w:rsid w:val="00CB783C"/>
    <w:rsid w:val="00CB7ACB"/>
    <w:rsid w:val="00CB7CB5"/>
    <w:rsid w:val="00CC0B2F"/>
    <w:rsid w:val="00CC0C06"/>
    <w:rsid w:val="00CC1E00"/>
    <w:rsid w:val="00CC2F77"/>
    <w:rsid w:val="00CC33F0"/>
    <w:rsid w:val="00CC3D00"/>
    <w:rsid w:val="00CC3D03"/>
    <w:rsid w:val="00CC3D92"/>
    <w:rsid w:val="00CC4051"/>
    <w:rsid w:val="00CC4DE6"/>
    <w:rsid w:val="00CC52B2"/>
    <w:rsid w:val="00CC594B"/>
    <w:rsid w:val="00CC5D5A"/>
    <w:rsid w:val="00CC6064"/>
    <w:rsid w:val="00CC61B2"/>
    <w:rsid w:val="00CC6313"/>
    <w:rsid w:val="00CC659F"/>
    <w:rsid w:val="00CC6D5B"/>
    <w:rsid w:val="00CC736C"/>
    <w:rsid w:val="00CC766C"/>
    <w:rsid w:val="00CC7772"/>
    <w:rsid w:val="00CC789B"/>
    <w:rsid w:val="00CC7DA4"/>
    <w:rsid w:val="00CD02E2"/>
    <w:rsid w:val="00CD050B"/>
    <w:rsid w:val="00CD05AC"/>
    <w:rsid w:val="00CD0D97"/>
    <w:rsid w:val="00CD1060"/>
    <w:rsid w:val="00CD11DF"/>
    <w:rsid w:val="00CD13B7"/>
    <w:rsid w:val="00CD1636"/>
    <w:rsid w:val="00CD1918"/>
    <w:rsid w:val="00CD199F"/>
    <w:rsid w:val="00CD1A48"/>
    <w:rsid w:val="00CD1F7B"/>
    <w:rsid w:val="00CD2016"/>
    <w:rsid w:val="00CD2544"/>
    <w:rsid w:val="00CD297C"/>
    <w:rsid w:val="00CD2CC9"/>
    <w:rsid w:val="00CD2F86"/>
    <w:rsid w:val="00CD3D8D"/>
    <w:rsid w:val="00CD3E22"/>
    <w:rsid w:val="00CD3E60"/>
    <w:rsid w:val="00CD4099"/>
    <w:rsid w:val="00CD40F3"/>
    <w:rsid w:val="00CD45AF"/>
    <w:rsid w:val="00CD4868"/>
    <w:rsid w:val="00CD4962"/>
    <w:rsid w:val="00CD4CA5"/>
    <w:rsid w:val="00CD4DC8"/>
    <w:rsid w:val="00CD5080"/>
    <w:rsid w:val="00CD5240"/>
    <w:rsid w:val="00CD531F"/>
    <w:rsid w:val="00CD5898"/>
    <w:rsid w:val="00CD5AB7"/>
    <w:rsid w:val="00CD62C0"/>
    <w:rsid w:val="00CD75CC"/>
    <w:rsid w:val="00CD7954"/>
    <w:rsid w:val="00CD7F91"/>
    <w:rsid w:val="00CE0619"/>
    <w:rsid w:val="00CE0B35"/>
    <w:rsid w:val="00CE0B9A"/>
    <w:rsid w:val="00CE0D42"/>
    <w:rsid w:val="00CE0E75"/>
    <w:rsid w:val="00CE0F6F"/>
    <w:rsid w:val="00CE1915"/>
    <w:rsid w:val="00CE1C54"/>
    <w:rsid w:val="00CE1E49"/>
    <w:rsid w:val="00CE1FCF"/>
    <w:rsid w:val="00CE24FF"/>
    <w:rsid w:val="00CE2926"/>
    <w:rsid w:val="00CE2C92"/>
    <w:rsid w:val="00CE2D36"/>
    <w:rsid w:val="00CE3ADB"/>
    <w:rsid w:val="00CE3F9B"/>
    <w:rsid w:val="00CE40CB"/>
    <w:rsid w:val="00CE4D27"/>
    <w:rsid w:val="00CE4DAD"/>
    <w:rsid w:val="00CE51D1"/>
    <w:rsid w:val="00CE59D3"/>
    <w:rsid w:val="00CE695F"/>
    <w:rsid w:val="00CE6980"/>
    <w:rsid w:val="00CE6ADF"/>
    <w:rsid w:val="00CE6B51"/>
    <w:rsid w:val="00CE6E2E"/>
    <w:rsid w:val="00CE70B2"/>
    <w:rsid w:val="00CE7429"/>
    <w:rsid w:val="00CE7597"/>
    <w:rsid w:val="00CE76DC"/>
    <w:rsid w:val="00CE7DCB"/>
    <w:rsid w:val="00CF0830"/>
    <w:rsid w:val="00CF0DC7"/>
    <w:rsid w:val="00CF1AE2"/>
    <w:rsid w:val="00CF3596"/>
    <w:rsid w:val="00CF36A7"/>
    <w:rsid w:val="00CF406A"/>
    <w:rsid w:val="00CF492B"/>
    <w:rsid w:val="00CF49EB"/>
    <w:rsid w:val="00CF49F2"/>
    <w:rsid w:val="00CF5CAA"/>
    <w:rsid w:val="00CF66C0"/>
    <w:rsid w:val="00CF67B8"/>
    <w:rsid w:val="00CF68AF"/>
    <w:rsid w:val="00CF6CE0"/>
    <w:rsid w:val="00CF6D77"/>
    <w:rsid w:val="00CF7E81"/>
    <w:rsid w:val="00CF7E9C"/>
    <w:rsid w:val="00D00189"/>
    <w:rsid w:val="00D00391"/>
    <w:rsid w:val="00D00701"/>
    <w:rsid w:val="00D00852"/>
    <w:rsid w:val="00D012D5"/>
    <w:rsid w:val="00D020A2"/>
    <w:rsid w:val="00D026DF"/>
    <w:rsid w:val="00D02B3B"/>
    <w:rsid w:val="00D031C5"/>
    <w:rsid w:val="00D032A0"/>
    <w:rsid w:val="00D03470"/>
    <w:rsid w:val="00D034F7"/>
    <w:rsid w:val="00D0351E"/>
    <w:rsid w:val="00D03A70"/>
    <w:rsid w:val="00D042A9"/>
    <w:rsid w:val="00D0469C"/>
    <w:rsid w:val="00D04E9F"/>
    <w:rsid w:val="00D04F7A"/>
    <w:rsid w:val="00D05B5A"/>
    <w:rsid w:val="00D06A8E"/>
    <w:rsid w:val="00D06BD1"/>
    <w:rsid w:val="00D06EB4"/>
    <w:rsid w:val="00D06EDE"/>
    <w:rsid w:val="00D07658"/>
    <w:rsid w:val="00D07BE3"/>
    <w:rsid w:val="00D07F8F"/>
    <w:rsid w:val="00D102C8"/>
    <w:rsid w:val="00D10626"/>
    <w:rsid w:val="00D114B3"/>
    <w:rsid w:val="00D118CA"/>
    <w:rsid w:val="00D12029"/>
    <w:rsid w:val="00D12971"/>
    <w:rsid w:val="00D13022"/>
    <w:rsid w:val="00D13A8E"/>
    <w:rsid w:val="00D13BF6"/>
    <w:rsid w:val="00D1445C"/>
    <w:rsid w:val="00D149B1"/>
    <w:rsid w:val="00D149B7"/>
    <w:rsid w:val="00D154CC"/>
    <w:rsid w:val="00D15513"/>
    <w:rsid w:val="00D15768"/>
    <w:rsid w:val="00D15949"/>
    <w:rsid w:val="00D16110"/>
    <w:rsid w:val="00D16BD3"/>
    <w:rsid w:val="00D16D00"/>
    <w:rsid w:val="00D17173"/>
    <w:rsid w:val="00D172B1"/>
    <w:rsid w:val="00D1768C"/>
    <w:rsid w:val="00D176A3"/>
    <w:rsid w:val="00D17CD1"/>
    <w:rsid w:val="00D202F3"/>
    <w:rsid w:val="00D205B6"/>
    <w:rsid w:val="00D20846"/>
    <w:rsid w:val="00D209A7"/>
    <w:rsid w:val="00D20E62"/>
    <w:rsid w:val="00D21357"/>
    <w:rsid w:val="00D21B44"/>
    <w:rsid w:val="00D21BB6"/>
    <w:rsid w:val="00D220CE"/>
    <w:rsid w:val="00D226B6"/>
    <w:rsid w:val="00D22A51"/>
    <w:rsid w:val="00D22D65"/>
    <w:rsid w:val="00D234D7"/>
    <w:rsid w:val="00D23AEE"/>
    <w:rsid w:val="00D23AEF"/>
    <w:rsid w:val="00D23CE5"/>
    <w:rsid w:val="00D2445C"/>
    <w:rsid w:val="00D2448A"/>
    <w:rsid w:val="00D248B0"/>
    <w:rsid w:val="00D24B18"/>
    <w:rsid w:val="00D24CEC"/>
    <w:rsid w:val="00D24DCF"/>
    <w:rsid w:val="00D255B7"/>
    <w:rsid w:val="00D25613"/>
    <w:rsid w:val="00D2587C"/>
    <w:rsid w:val="00D258B0"/>
    <w:rsid w:val="00D25D20"/>
    <w:rsid w:val="00D25FB2"/>
    <w:rsid w:val="00D26404"/>
    <w:rsid w:val="00D26479"/>
    <w:rsid w:val="00D264A0"/>
    <w:rsid w:val="00D26B43"/>
    <w:rsid w:val="00D26D31"/>
    <w:rsid w:val="00D27A34"/>
    <w:rsid w:val="00D30719"/>
    <w:rsid w:val="00D30984"/>
    <w:rsid w:val="00D30DF5"/>
    <w:rsid w:val="00D3173F"/>
    <w:rsid w:val="00D31943"/>
    <w:rsid w:val="00D31B97"/>
    <w:rsid w:val="00D31DE0"/>
    <w:rsid w:val="00D31DF0"/>
    <w:rsid w:val="00D32554"/>
    <w:rsid w:val="00D32F93"/>
    <w:rsid w:val="00D32FD3"/>
    <w:rsid w:val="00D32FE1"/>
    <w:rsid w:val="00D333CE"/>
    <w:rsid w:val="00D333EA"/>
    <w:rsid w:val="00D337B7"/>
    <w:rsid w:val="00D33F4A"/>
    <w:rsid w:val="00D3440A"/>
    <w:rsid w:val="00D344B5"/>
    <w:rsid w:val="00D35313"/>
    <w:rsid w:val="00D3570C"/>
    <w:rsid w:val="00D35947"/>
    <w:rsid w:val="00D359C6"/>
    <w:rsid w:val="00D3601D"/>
    <w:rsid w:val="00D36201"/>
    <w:rsid w:val="00D3646A"/>
    <w:rsid w:val="00D36F7B"/>
    <w:rsid w:val="00D36FAC"/>
    <w:rsid w:val="00D36FB4"/>
    <w:rsid w:val="00D37078"/>
    <w:rsid w:val="00D3790C"/>
    <w:rsid w:val="00D37AA2"/>
    <w:rsid w:val="00D4090E"/>
    <w:rsid w:val="00D41AC1"/>
    <w:rsid w:val="00D424E8"/>
    <w:rsid w:val="00D425A3"/>
    <w:rsid w:val="00D4265B"/>
    <w:rsid w:val="00D4282C"/>
    <w:rsid w:val="00D42E4F"/>
    <w:rsid w:val="00D42EEC"/>
    <w:rsid w:val="00D4314D"/>
    <w:rsid w:val="00D43AD5"/>
    <w:rsid w:val="00D44106"/>
    <w:rsid w:val="00D441D1"/>
    <w:rsid w:val="00D44503"/>
    <w:rsid w:val="00D44DAF"/>
    <w:rsid w:val="00D452F4"/>
    <w:rsid w:val="00D45475"/>
    <w:rsid w:val="00D45983"/>
    <w:rsid w:val="00D45A14"/>
    <w:rsid w:val="00D460CD"/>
    <w:rsid w:val="00D464DC"/>
    <w:rsid w:val="00D474C0"/>
    <w:rsid w:val="00D47611"/>
    <w:rsid w:val="00D479D9"/>
    <w:rsid w:val="00D47B7D"/>
    <w:rsid w:val="00D50352"/>
    <w:rsid w:val="00D503B4"/>
    <w:rsid w:val="00D505AB"/>
    <w:rsid w:val="00D5075A"/>
    <w:rsid w:val="00D5092A"/>
    <w:rsid w:val="00D50A75"/>
    <w:rsid w:val="00D50AF2"/>
    <w:rsid w:val="00D50DBB"/>
    <w:rsid w:val="00D5117A"/>
    <w:rsid w:val="00D512D0"/>
    <w:rsid w:val="00D51722"/>
    <w:rsid w:val="00D51B17"/>
    <w:rsid w:val="00D52F05"/>
    <w:rsid w:val="00D532D0"/>
    <w:rsid w:val="00D54790"/>
    <w:rsid w:val="00D55067"/>
    <w:rsid w:val="00D55677"/>
    <w:rsid w:val="00D55FB1"/>
    <w:rsid w:val="00D56471"/>
    <w:rsid w:val="00D564ED"/>
    <w:rsid w:val="00D5653F"/>
    <w:rsid w:val="00D568A3"/>
    <w:rsid w:val="00D56999"/>
    <w:rsid w:val="00D56EA9"/>
    <w:rsid w:val="00D56F3F"/>
    <w:rsid w:val="00D571A1"/>
    <w:rsid w:val="00D57454"/>
    <w:rsid w:val="00D574AD"/>
    <w:rsid w:val="00D57546"/>
    <w:rsid w:val="00D57CC7"/>
    <w:rsid w:val="00D57EFC"/>
    <w:rsid w:val="00D60B6A"/>
    <w:rsid w:val="00D61640"/>
    <w:rsid w:val="00D61682"/>
    <w:rsid w:val="00D61962"/>
    <w:rsid w:val="00D619BA"/>
    <w:rsid w:val="00D61D26"/>
    <w:rsid w:val="00D63B95"/>
    <w:rsid w:val="00D63BC8"/>
    <w:rsid w:val="00D64467"/>
    <w:rsid w:val="00D64623"/>
    <w:rsid w:val="00D64A78"/>
    <w:rsid w:val="00D64AA8"/>
    <w:rsid w:val="00D64DA9"/>
    <w:rsid w:val="00D6529A"/>
    <w:rsid w:val="00D6535C"/>
    <w:rsid w:val="00D65786"/>
    <w:rsid w:val="00D65801"/>
    <w:rsid w:val="00D6580B"/>
    <w:rsid w:val="00D65CDB"/>
    <w:rsid w:val="00D66278"/>
    <w:rsid w:val="00D66B45"/>
    <w:rsid w:val="00D66F49"/>
    <w:rsid w:val="00D678FD"/>
    <w:rsid w:val="00D70111"/>
    <w:rsid w:val="00D7059D"/>
    <w:rsid w:val="00D70CC3"/>
    <w:rsid w:val="00D713BE"/>
    <w:rsid w:val="00D7151F"/>
    <w:rsid w:val="00D71679"/>
    <w:rsid w:val="00D718E2"/>
    <w:rsid w:val="00D72185"/>
    <w:rsid w:val="00D729B6"/>
    <w:rsid w:val="00D7480D"/>
    <w:rsid w:val="00D75345"/>
    <w:rsid w:val="00D75854"/>
    <w:rsid w:val="00D75897"/>
    <w:rsid w:val="00D75BB8"/>
    <w:rsid w:val="00D76236"/>
    <w:rsid w:val="00D76401"/>
    <w:rsid w:val="00D7647A"/>
    <w:rsid w:val="00D76917"/>
    <w:rsid w:val="00D776C5"/>
    <w:rsid w:val="00D778CE"/>
    <w:rsid w:val="00D804BF"/>
    <w:rsid w:val="00D805A3"/>
    <w:rsid w:val="00D80B8B"/>
    <w:rsid w:val="00D810F4"/>
    <w:rsid w:val="00D81B88"/>
    <w:rsid w:val="00D82100"/>
    <w:rsid w:val="00D822CA"/>
    <w:rsid w:val="00D82312"/>
    <w:rsid w:val="00D82320"/>
    <w:rsid w:val="00D8237B"/>
    <w:rsid w:val="00D823DB"/>
    <w:rsid w:val="00D82678"/>
    <w:rsid w:val="00D8271C"/>
    <w:rsid w:val="00D828DB"/>
    <w:rsid w:val="00D82908"/>
    <w:rsid w:val="00D82938"/>
    <w:rsid w:val="00D82C80"/>
    <w:rsid w:val="00D82D98"/>
    <w:rsid w:val="00D8300D"/>
    <w:rsid w:val="00D84711"/>
    <w:rsid w:val="00D84821"/>
    <w:rsid w:val="00D84B1E"/>
    <w:rsid w:val="00D858B1"/>
    <w:rsid w:val="00D85F18"/>
    <w:rsid w:val="00D86184"/>
    <w:rsid w:val="00D8649C"/>
    <w:rsid w:val="00D8673F"/>
    <w:rsid w:val="00D86BAD"/>
    <w:rsid w:val="00D86D10"/>
    <w:rsid w:val="00D86E71"/>
    <w:rsid w:val="00D87AF8"/>
    <w:rsid w:val="00D87BDC"/>
    <w:rsid w:val="00D87D86"/>
    <w:rsid w:val="00D87E0C"/>
    <w:rsid w:val="00D904C6"/>
    <w:rsid w:val="00D90CDD"/>
    <w:rsid w:val="00D91479"/>
    <w:rsid w:val="00D91C23"/>
    <w:rsid w:val="00D91FED"/>
    <w:rsid w:val="00D9253B"/>
    <w:rsid w:val="00D93DF3"/>
    <w:rsid w:val="00D9440A"/>
    <w:rsid w:val="00D9451E"/>
    <w:rsid w:val="00D9470D"/>
    <w:rsid w:val="00D94D28"/>
    <w:rsid w:val="00D94F3C"/>
    <w:rsid w:val="00D956EE"/>
    <w:rsid w:val="00D95A47"/>
    <w:rsid w:val="00D95EC3"/>
    <w:rsid w:val="00D960BD"/>
    <w:rsid w:val="00D962EC"/>
    <w:rsid w:val="00D96645"/>
    <w:rsid w:val="00D96937"/>
    <w:rsid w:val="00D96A76"/>
    <w:rsid w:val="00D96E50"/>
    <w:rsid w:val="00D971E0"/>
    <w:rsid w:val="00D97433"/>
    <w:rsid w:val="00D97C5D"/>
    <w:rsid w:val="00DA0323"/>
    <w:rsid w:val="00DA04D3"/>
    <w:rsid w:val="00DA04DF"/>
    <w:rsid w:val="00DA0AC5"/>
    <w:rsid w:val="00DA11B7"/>
    <w:rsid w:val="00DA1BA1"/>
    <w:rsid w:val="00DA23AB"/>
    <w:rsid w:val="00DA25B0"/>
    <w:rsid w:val="00DA2BBD"/>
    <w:rsid w:val="00DA389F"/>
    <w:rsid w:val="00DA39BC"/>
    <w:rsid w:val="00DA3A59"/>
    <w:rsid w:val="00DA44CF"/>
    <w:rsid w:val="00DA48C7"/>
    <w:rsid w:val="00DA4DED"/>
    <w:rsid w:val="00DA5203"/>
    <w:rsid w:val="00DA5C53"/>
    <w:rsid w:val="00DA5F5F"/>
    <w:rsid w:val="00DA6024"/>
    <w:rsid w:val="00DA6150"/>
    <w:rsid w:val="00DA66F0"/>
    <w:rsid w:val="00DA7165"/>
    <w:rsid w:val="00DA7F57"/>
    <w:rsid w:val="00DB0012"/>
    <w:rsid w:val="00DB00A0"/>
    <w:rsid w:val="00DB015A"/>
    <w:rsid w:val="00DB04C4"/>
    <w:rsid w:val="00DB066A"/>
    <w:rsid w:val="00DB0F11"/>
    <w:rsid w:val="00DB1520"/>
    <w:rsid w:val="00DB1841"/>
    <w:rsid w:val="00DB1ABB"/>
    <w:rsid w:val="00DB1D6D"/>
    <w:rsid w:val="00DB2382"/>
    <w:rsid w:val="00DB2F30"/>
    <w:rsid w:val="00DB3D7C"/>
    <w:rsid w:val="00DB3E08"/>
    <w:rsid w:val="00DB451E"/>
    <w:rsid w:val="00DB476E"/>
    <w:rsid w:val="00DB5608"/>
    <w:rsid w:val="00DB56F5"/>
    <w:rsid w:val="00DB62AF"/>
    <w:rsid w:val="00DB673A"/>
    <w:rsid w:val="00DB7D44"/>
    <w:rsid w:val="00DB7E19"/>
    <w:rsid w:val="00DC0017"/>
    <w:rsid w:val="00DC01DE"/>
    <w:rsid w:val="00DC0404"/>
    <w:rsid w:val="00DC0907"/>
    <w:rsid w:val="00DC0C7F"/>
    <w:rsid w:val="00DC1045"/>
    <w:rsid w:val="00DC133B"/>
    <w:rsid w:val="00DC14E0"/>
    <w:rsid w:val="00DC165D"/>
    <w:rsid w:val="00DC19A3"/>
    <w:rsid w:val="00DC19B0"/>
    <w:rsid w:val="00DC2295"/>
    <w:rsid w:val="00DC24E8"/>
    <w:rsid w:val="00DC2A29"/>
    <w:rsid w:val="00DC36C9"/>
    <w:rsid w:val="00DC3D81"/>
    <w:rsid w:val="00DC491A"/>
    <w:rsid w:val="00DC601E"/>
    <w:rsid w:val="00DC61F3"/>
    <w:rsid w:val="00DC6F85"/>
    <w:rsid w:val="00DC71F8"/>
    <w:rsid w:val="00DC72F8"/>
    <w:rsid w:val="00DC7919"/>
    <w:rsid w:val="00DC7BA3"/>
    <w:rsid w:val="00DC7DA5"/>
    <w:rsid w:val="00DD0B86"/>
    <w:rsid w:val="00DD1422"/>
    <w:rsid w:val="00DD1463"/>
    <w:rsid w:val="00DD18A6"/>
    <w:rsid w:val="00DD1949"/>
    <w:rsid w:val="00DD21E1"/>
    <w:rsid w:val="00DD261B"/>
    <w:rsid w:val="00DD261E"/>
    <w:rsid w:val="00DD2AC6"/>
    <w:rsid w:val="00DD2C8F"/>
    <w:rsid w:val="00DD348B"/>
    <w:rsid w:val="00DD3865"/>
    <w:rsid w:val="00DD3C54"/>
    <w:rsid w:val="00DD3C7D"/>
    <w:rsid w:val="00DD45D4"/>
    <w:rsid w:val="00DD489F"/>
    <w:rsid w:val="00DD4A21"/>
    <w:rsid w:val="00DD5343"/>
    <w:rsid w:val="00DD5A7E"/>
    <w:rsid w:val="00DD6159"/>
    <w:rsid w:val="00DD6C14"/>
    <w:rsid w:val="00DD6CEB"/>
    <w:rsid w:val="00DD6DAB"/>
    <w:rsid w:val="00DD6FE9"/>
    <w:rsid w:val="00DD71D0"/>
    <w:rsid w:val="00DD71D8"/>
    <w:rsid w:val="00DD724C"/>
    <w:rsid w:val="00DD733B"/>
    <w:rsid w:val="00DD77EA"/>
    <w:rsid w:val="00DD785A"/>
    <w:rsid w:val="00DE02AF"/>
    <w:rsid w:val="00DE03AF"/>
    <w:rsid w:val="00DE0C86"/>
    <w:rsid w:val="00DE0CC4"/>
    <w:rsid w:val="00DE42EA"/>
    <w:rsid w:val="00DE42FC"/>
    <w:rsid w:val="00DE4BDF"/>
    <w:rsid w:val="00DE4F61"/>
    <w:rsid w:val="00DE66F5"/>
    <w:rsid w:val="00DE6874"/>
    <w:rsid w:val="00DE6B30"/>
    <w:rsid w:val="00DE6D70"/>
    <w:rsid w:val="00DE7866"/>
    <w:rsid w:val="00DE7AA4"/>
    <w:rsid w:val="00DE7FF1"/>
    <w:rsid w:val="00DF006A"/>
    <w:rsid w:val="00DF0844"/>
    <w:rsid w:val="00DF0B87"/>
    <w:rsid w:val="00DF0F72"/>
    <w:rsid w:val="00DF1556"/>
    <w:rsid w:val="00DF16C0"/>
    <w:rsid w:val="00DF1745"/>
    <w:rsid w:val="00DF1D6F"/>
    <w:rsid w:val="00DF1F60"/>
    <w:rsid w:val="00DF2238"/>
    <w:rsid w:val="00DF2600"/>
    <w:rsid w:val="00DF26FF"/>
    <w:rsid w:val="00DF27C3"/>
    <w:rsid w:val="00DF2F37"/>
    <w:rsid w:val="00DF301B"/>
    <w:rsid w:val="00DF375F"/>
    <w:rsid w:val="00DF3960"/>
    <w:rsid w:val="00DF3B40"/>
    <w:rsid w:val="00DF3D5A"/>
    <w:rsid w:val="00DF410D"/>
    <w:rsid w:val="00DF432A"/>
    <w:rsid w:val="00DF4468"/>
    <w:rsid w:val="00DF470B"/>
    <w:rsid w:val="00DF5355"/>
    <w:rsid w:val="00DF5412"/>
    <w:rsid w:val="00DF5984"/>
    <w:rsid w:val="00DF5DF2"/>
    <w:rsid w:val="00DF66CB"/>
    <w:rsid w:val="00DF6A35"/>
    <w:rsid w:val="00DF6D1E"/>
    <w:rsid w:val="00DF7020"/>
    <w:rsid w:val="00DF70C3"/>
    <w:rsid w:val="00DF7501"/>
    <w:rsid w:val="00DF78AA"/>
    <w:rsid w:val="00DF7934"/>
    <w:rsid w:val="00DF7F8F"/>
    <w:rsid w:val="00E001CE"/>
    <w:rsid w:val="00E005DC"/>
    <w:rsid w:val="00E00C7E"/>
    <w:rsid w:val="00E017DD"/>
    <w:rsid w:val="00E01C21"/>
    <w:rsid w:val="00E020F7"/>
    <w:rsid w:val="00E026E1"/>
    <w:rsid w:val="00E02E82"/>
    <w:rsid w:val="00E035EC"/>
    <w:rsid w:val="00E03CA4"/>
    <w:rsid w:val="00E03D42"/>
    <w:rsid w:val="00E03E51"/>
    <w:rsid w:val="00E0402B"/>
    <w:rsid w:val="00E04249"/>
    <w:rsid w:val="00E043E5"/>
    <w:rsid w:val="00E045BF"/>
    <w:rsid w:val="00E046C6"/>
    <w:rsid w:val="00E047A5"/>
    <w:rsid w:val="00E04818"/>
    <w:rsid w:val="00E04A1D"/>
    <w:rsid w:val="00E04F68"/>
    <w:rsid w:val="00E05036"/>
    <w:rsid w:val="00E051CE"/>
    <w:rsid w:val="00E052C2"/>
    <w:rsid w:val="00E05553"/>
    <w:rsid w:val="00E057F7"/>
    <w:rsid w:val="00E06167"/>
    <w:rsid w:val="00E06285"/>
    <w:rsid w:val="00E06619"/>
    <w:rsid w:val="00E066AD"/>
    <w:rsid w:val="00E0685E"/>
    <w:rsid w:val="00E0711D"/>
    <w:rsid w:val="00E07969"/>
    <w:rsid w:val="00E07DD3"/>
    <w:rsid w:val="00E07F9C"/>
    <w:rsid w:val="00E10B56"/>
    <w:rsid w:val="00E11497"/>
    <w:rsid w:val="00E11F3E"/>
    <w:rsid w:val="00E11F41"/>
    <w:rsid w:val="00E11F6E"/>
    <w:rsid w:val="00E12306"/>
    <w:rsid w:val="00E124BD"/>
    <w:rsid w:val="00E137D4"/>
    <w:rsid w:val="00E13A85"/>
    <w:rsid w:val="00E14106"/>
    <w:rsid w:val="00E141C1"/>
    <w:rsid w:val="00E1483C"/>
    <w:rsid w:val="00E14B39"/>
    <w:rsid w:val="00E14D9E"/>
    <w:rsid w:val="00E14F90"/>
    <w:rsid w:val="00E1511F"/>
    <w:rsid w:val="00E1568A"/>
    <w:rsid w:val="00E15AA2"/>
    <w:rsid w:val="00E165AD"/>
    <w:rsid w:val="00E165E3"/>
    <w:rsid w:val="00E171C7"/>
    <w:rsid w:val="00E17B0F"/>
    <w:rsid w:val="00E17D42"/>
    <w:rsid w:val="00E20003"/>
    <w:rsid w:val="00E200F5"/>
    <w:rsid w:val="00E2034D"/>
    <w:rsid w:val="00E21B10"/>
    <w:rsid w:val="00E21FD9"/>
    <w:rsid w:val="00E221C2"/>
    <w:rsid w:val="00E222D4"/>
    <w:rsid w:val="00E22366"/>
    <w:rsid w:val="00E225DC"/>
    <w:rsid w:val="00E22FDD"/>
    <w:rsid w:val="00E23F14"/>
    <w:rsid w:val="00E241C3"/>
    <w:rsid w:val="00E24430"/>
    <w:rsid w:val="00E24555"/>
    <w:rsid w:val="00E24969"/>
    <w:rsid w:val="00E24BFF"/>
    <w:rsid w:val="00E25609"/>
    <w:rsid w:val="00E25E3F"/>
    <w:rsid w:val="00E25F63"/>
    <w:rsid w:val="00E264C4"/>
    <w:rsid w:val="00E26896"/>
    <w:rsid w:val="00E275BE"/>
    <w:rsid w:val="00E27CCD"/>
    <w:rsid w:val="00E307FD"/>
    <w:rsid w:val="00E30899"/>
    <w:rsid w:val="00E30D8F"/>
    <w:rsid w:val="00E31FD0"/>
    <w:rsid w:val="00E3287B"/>
    <w:rsid w:val="00E32F59"/>
    <w:rsid w:val="00E330A5"/>
    <w:rsid w:val="00E33393"/>
    <w:rsid w:val="00E33930"/>
    <w:rsid w:val="00E3407A"/>
    <w:rsid w:val="00E340C2"/>
    <w:rsid w:val="00E345F1"/>
    <w:rsid w:val="00E3494E"/>
    <w:rsid w:val="00E34A7D"/>
    <w:rsid w:val="00E34CE3"/>
    <w:rsid w:val="00E34F24"/>
    <w:rsid w:val="00E3527A"/>
    <w:rsid w:val="00E3576E"/>
    <w:rsid w:val="00E35873"/>
    <w:rsid w:val="00E35BF4"/>
    <w:rsid w:val="00E36A47"/>
    <w:rsid w:val="00E36AF0"/>
    <w:rsid w:val="00E36B48"/>
    <w:rsid w:val="00E3792D"/>
    <w:rsid w:val="00E37C65"/>
    <w:rsid w:val="00E40261"/>
    <w:rsid w:val="00E4032C"/>
    <w:rsid w:val="00E4036B"/>
    <w:rsid w:val="00E40967"/>
    <w:rsid w:val="00E40D65"/>
    <w:rsid w:val="00E40DE8"/>
    <w:rsid w:val="00E418A3"/>
    <w:rsid w:val="00E41B8C"/>
    <w:rsid w:val="00E422CB"/>
    <w:rsid w:val="00E4287B"/>
    <w:rsid w:val="00E42938"/>
    <w:rsid w:val="00E42A34"/>
    <w:rsid w:val="00E42DC8"/>
    <w:rsid w:val="00E432CF"/>
    <w:rsid w:val="00E4339C"/>
    <w:rsid w:val="00E43460"/>
    <w:rsid w:val="00E43494"/>
    <w:rsid w:val="00E43EC0"/>
    <w:rsid w:val="00E441A9"/>
    <w:rsid w:val="00E44463"/>
    <w:rsid w:val="00E44558"/>
    <w:rsid w:val="00E45090"/>
    <w:rsid w:val="00E4510E"/>
    <w:rsid w:val="00E4568A"/>
    <w:rsid w:val="00E45893"/>
    <w:rsid w:val="00E459F6"/>
    <w:rsid w:val="00E45F16"/>
    <w:rsid w:val="00E45F8F"/>
    <w:rsid w:val="00E469CD"/>
    <w:rsid w:val="00E4751E"/>
    <w:rsid w:val="00E47BB7"/>
    <w:rsid w:val="00E50200"/>
    <w:rsid w:val="00E504F1"/>
    <w:rsid w:val="00E5062C"/>
    <w:rsid w:val="00E50A6C"/>
    <w:rsid w:val="00E50C02"/>
    <w:rsid w:val="00E50F93"/>
    <w:rsid w:val="00E515B9"/>
    <w:rsid w:val="00E51A70"/>
    <w:rsid w:val="00E5228A"/>
    <w:rsid w:val="00E52410"/>
    <w:rsid w:val="00E52CD8"/>
    <w:rsid w:val="00E530BF"/>
    <w:rsid w:val="00E5335A"/>
    <w:rsid w:val="00E5357D"/>
    <w:rsid w:val="00E54212"/>
    <w:rsid w:val="00E54423"/>
    <w:rsid w:val="00E54760"/>
    <w:rsid w:val="00E5505D"/>
    <w:rsid w:val="00E5547D"/>
    <w:rsid w:val="00E55592"/>
    <w:rsid w:val="00E556AB"/>
    <w:rsid w:val="00E5596E"/>
    <w:rsid w:val="00E560DF"/>
    <w:rsid w:val="00E56108"/>
    <w:rsid w:val="00E56414"/>
    <w:rsid w:val="00E56722"/>
    <w:rsid w:val="00E568B4"/>
    <w:rsid w:val="00E56B9C"/>
    <w:rsid w:val="00E571B4"/>
    <w:rsid w:val="00E57482"/>
    <w:rsid w:val="00E574CA"/>
    <w:rsid w:val="00E578B5"/>
    <w:rsid w:val="00E57904"/>
    <w:rsid w:val="00E6004C"/>
    <w:rsid w:val="00E600F1"/>
    <w:rsid w:val="00E61552"/>
    <w:rsid w:val="00E6191E"/>
    <w:rsid w:val="00E61D8F"/>
    <w:rsid w:val="00E6225D"/>
    <w:rsid w:val="00E623BC"/>
    <w:rsid w:val="00E62B4B"/>
    <w:rsid w:val="00E631C9"/>
    <w:rsid w:val="00E63222"/>
    <w:rsid w:val="00E6387F"/>
    <w:rsid w:val="00E63954"/>
    <w:rsid w:val="00E63CFE"/>
    <w:rsid w:val="00E63E6B"/>
    <w:rsid w:val="00E63F03"/>
    <w:rsid w:val="00E65070"/>
    <w:rsid w:val="00E659E0"/>
    <w:rsid w:val="00E66418"/>
    <w:rsid w:val="00E66618"/>
    <w:rsid w:val="00E66786"/>
    <w:rsid w:val="00E671F5"/>
    <w:rsid w:val="00E67247"/>
    <w:rsid w:val="00E67675"/>
    <w:rsid w:val="00E67B1C"/>
    <w:rsid w:val="00E70887"/>
    <w:rsid w:val="00E7089F"/>
    <w:rsid w:val="00E708B5"/>
    <w:rsid w:val="00E70B59"/>
    <w:rsid w:val="00E70CFB"/>
    <w:rsid w:val="00E718AF"/>
    <w:rsid w:val="00E718D6"/>
    <w:rsid w:val="00E71AE4"/>
    <w:rsid w:val="00E71CE9"/>
    <w:rsid w:val="00E71F85"/>
    <w:rsid w:val="00E72151"/>
    <w:rsid w:val="00E72432"/>
    <w:rsid w:val="00E72855"/>
    <w:rsid w:val="00E72A0C"/>
    <w:rsid w:val="00E73098"/>
    <w:rsid w:val="00E73365"/>
    <w:rsid w:val="00E73E95"/>
    <w:rsid w:val="00E740AB"/>
    <w:rsid w:val="00E740FB"/>
    <w:rsid w:val="00E74590"/>
    <w:rsid w:val="00E7470C"/>
    <w:rsid w:val="00E748C7"/>
    <w:rsid w:val="00E74B38"/>
    <w:rsid w:val="00E74FE2"/>
    <w:rsid w:val="00E75137"/>
    <w:rsid w:val="00E752E9"/>
    <w:rsid w:val="00E75452"/>
    <w:rsid w:val="00E763AF"/>
    <w:rsid w:val="00E769C5"/>
    <w:rsid w:val="00E76BF2"/>
    <w:rsid w:val="00E76D1A"/>
    <w:rsid w:val="00E771B4"/>
    <w:rsid w:val="00E7739B"/>
    <w:rsid w:val="00E77450"/>
    <w:rsid w:val="00E777D9"/>
    <w:rsid w:val="00E77F76"/>
    <w:rsid w:val="00E80D30"/>
    <w:rsid w:val="00E817CF"/>
    <w:rsid w:val="00E81D9F"/>
    <w:rsid w:val="00E81FB9"/>
    <w:rsid w:val="00E82841"/>
    <w:rsid w:val="00E82B95"/>
    <w:rsid w:val="00E82EA6"/>
    <w:rsid w:val="00E83FBF"/>
    <w:rsid w:val="00E846FC"/>
    <w:rsid w:val="00E84779"/>
    <w:rsid w:val="00E847E4"/>
    <w:rsid w:val="00E84A6E"/>
    <w:rsid w:val="00E84FDC"/>
    <w:rsid w:val="00E85DA7"/>
    <w:rsid w:val="00E86C4F"/>
    <w:rsid w:val="00E86E60"/>
    <w:rsid w:val="00E86F5B"/>
    <w:rsid w:val="00E87EC5"/>
    <w:rsid w:val="00E9011B"/>
    <w:rsid w:val="00E908BE"/>
    <w:rsid w:val="00E90F5D"/>
    <w:rsid w:val="00E912AC"/>
    <w:rsid w:val="00E9137B"/>
    <w:rsid w:val="00E9275F"/>
    <w:rsid w:val="00E92E77"/>
    <w:rsid w:val="00E9333E"/>
    <w:rsid w:val="00E9366A"/>
    <w:rsid w:val="00E93AA4"/>
    <w:rsid w:val="00E94145"/>
    <w:rsid w:val="00E94C2E"/>
    <w:rsid w:val="00E9526D"/>
    <w:rsid w:val="00E95398"/>
    <w:rsid w:val="00E95552"/>
    <w:rsid w:val="00E95AC0"/>
    <w:rsid w:val="00E95FDE"/>
    <w:rsid w:val="00E9632E"/>
    <w:rsid w:val="00E96792"/>
    <w:rsid w:val="00E96F14"/>
    <w:rsid w:val="00E970A0"/>
    <w:rsid w:val="00E9719B"/>
    <w:rsid w:val="00E97422"/>
    <w:rsid w:val="00E978F9"/>
    <w:rsid w:val="00E9794D"/>
    <w:rsid w:val="00E979CC"/>
    <w:rsid w:val="00E97A25"/>
    <w:rsid w:val="00EA0290"/>
    <w:rsid w:val="00EA052A"/>
    <w:rsid w:val="00EA0AC2"/>
    <w:rsid w:val="00EA0BD1"/>
    <w:rsid w:val="00EA0C25"/>
    <w:rsid w:val="00EA14F1"/>
    <w:rsid w:val="00EA1C97"/>
    <w:rsid w:val="00EA1F38"/>
    <w:rsid w:val="00EA2A13"/>
    <w:rsid w:val="00EA2A83"/>
    <w:rsid w:val="00EA41CA"/>
    <w:rsid w:val="00EA45F4"/>
    <w:rsid w:val="00EA4692"/>
    <w:rsid w:val="00EA46CD"/>
    <w:rsid w:val="00EA4858"/>
    <w:rsid w:val="00EA4CA1"/>
    <w:rsid w:val="00EA5838"/>
    <w:rsid w:val="00EA5E31"/>
    <w:rsid w:val="00EA6447"/>
    <w:rsid w:val="00EA666F"/>
    <w:rsid w:val="00EA6840"/>
    <w:rsid w:val="00EA69C2"/>
    <w:rsid w:val="00EA6BD2"/>
    <w:rsid w:val="00EA7771"/>
    <w:rsid w:val="00EA7961"/>
    <w:rsid w:val="00EB0C8C"/>
    <w:rsid w:val="00EB1252"/>
    <w:rsid w:val="00EB2604"/>
    <w:rsid w:val="00EB2766"/>
    <w:rsid w:val="00EB2D35"/>
    <w:rsid w:val="00EB3529"/>
    <w:rsid w:val="00EB357C"/>
    <w:rsid w:val="00EB37E9"/>
    <w:rsid w:val="00EB39A2"/>
    <w:rsid w:val="00EB39C2"/>
    <w:rsid w:val="00EB3A94"/>
    <w:rsid w:val="00EB3F10"/>
    <w:rsid w:val="00EB4017"/>
    <w:rsid w:val="00EB45F3"/>
    <w:rsid w:val="00EB4D29"/>
    <w:rsid w:val="00EB4E79"/>
    <w:rsid w:val="00EB51E7"/>
    <w:rsid w:val="00EB54C5"/>
    <w:rsid w:val="00EB6183"/>
    <w:rsid w:val="00EB72E4"/>
    <w:rsid w:val="00EB7DB8"/>
    <w:rsid w:val="00EC0500"/>
    <w:rsid w:val="00EC0D95"/>
    <w:rsid w:val="00EC0E85"/>
    <w:rsid w:val="00EC12A5"/>
    <w:rsid w:val="00EC14DB"/>
    <w:rsid w:val="00EC1DFC"/>
    <w:rsid w:val="00EC238A"/>
    <w:rsid w:val="00EC2409"/>
    <w:rsid w:val="00EC26BC"/>
    <w:rsid w:val="00EC2FF5"/>
    <w:rsid w:val="00EC314F"/>
    <w:rsid w:val="00EC3383"/>
    <w:rsid w:val="00EC3745"/>
    <w:rsid w:val="00EC39C2"/>
    <w:rsid w:val="00EC4241"/>
    <w:rsid w:val="00EC429A"/>
    <w:rsid w:val="00EC4361"/>
    <w:rsid w:val="00EC4618"/>
    <w:rsid w:val="00EC4A95"/>
    <w:rsid w:val="00EC5289"/>
    <w:rsid w:val="00EC6ADB"/>
    <w:rsid w:val="00EC6C33"/>
    <w:rsid w:val="00EC6ECE"/>
    <w:rsid w:val="00EC7035"/>
    <w:rsid w:val="00EC704B"/>
    <w:rsid w:val="00EC779B"/>
    <w:rsid w:val="00EC7839"/>
    <w:rsid w:val="00EC7B38"/>
    <w:rsid w:val="00EC7C96"/>
    <w:rsid w:val="00ED003E"/>
    <w:rsid w:val="00ED0760"/>
    <w:rsid w:val="00ED09F5"/>
    <w:rsid w:val="00ED15BA"/>
    <w:rsid w:val="00ED1643"/>
    <w:rsid w:val="00ED1802"/>
    <w:rsid w:val="00ED1D52"/>
    <w:rsid w:val="00ED217A"/>
    <w:rsid w:val="00ED238C"/>
    <w:rsid w:val="00ED2638"/>
    <w:rsid w:val="00ED29E7"/>
    <w:rsid w:val="00ED2D2A"/>
    <w:rsid w:val="00ED3586"/>
    <w:rsid w:val="00ED35BB"/>
    <w:rsid w:val="00ED3BD6"/>
    <w:rsid w:val="00ED435D"/>
    <w:rsid w:val="00ED5061"/>
    <w:rsid w:val="00ED52BB"/>
    <w:rsid w:val="00ED66D8"/>
    <w:rsid w:val="00ED69C8"/>
    <w:rsid w:val="00ED6B0B"/>
    <w:rsid w:val="00ED6C59"/>
    <w:rsid w:val="00ED7238"/>
    <w:rsid w:val="00ED730E"/>
    <w:rsid w:val="00ED7B69"/>
    <w:rsid w:val="00ED7FC0"/>
    <w:rsid w:val="00EE0382"/>
    <w:rsid w:val="00EE0389"/>
    <w:rsid w:val="00EE05E5"/>
    <w:rsid w:val="00EE0A44"/>
    <w:rsid w:val="00EE0B81"/>
    <w:rsid w:val="00EE0CA9"/>
    <w:rsid w:val="00EE0DD4"/>
    <w:rsid w:val="00EE14EC"/>
    <w:rsid w:val="00EE1AEF"/>
    <w:rsid w:val="00EE1E0F"/>
    <w:rsid w:val="00EE1E9A"/>
    <w:rsid w:val="00EE2AB8"/>
    <w:rsid w:val="00EE33B8"/>
    <w:rsid w:val="00EE39E8"/>
    <w:rsid w:val="00EE4B33"/>
    <w:rsid w:val="00EE502F"/>
    <w:rsid w:val="00EE505A"/>
    <w:rsid w:val="00EE54E9"/>
    <w:rsid w:val="00EE5DA8"/>
    <w:rsid w:val="00EE62F6"/>
    <w:rsid w:val="00EE6C22"/>
    <w:rsid w:val="00EE780C"/>
    <w:rsid w:val="00EE7E7F"/>
    <w:rsid w:val="00EF0081"/>
    <w:rsid w:val="00EF01CD"/>
    <w:rsid w:val="00EF0753"/>
    <w:rsid w:val="00EF08B6"/>
    <w:rsid w:val="00EF135E"/>
    <w:rsid w:val="00EF14CF"/>
    <w:rsid w:val="00EF1D90"/>
    <w:rsid w:val="00EF3754"/>
    <w:rsid w:val="00EF3B78"/>
    <w:rsid w:val="00EF3C0A"/>
    <w:rsid w:val="00EF4691"/>
    <w:rsid w:val="00EF5199"/>
    <w:rsid w:val="00EF53B8"/>
    <w:rsid w:val="00EF57D6"/>
    <w:rsid w:val="00EF58DA"/>
    <w:rsid w:val="00EF5996"/>
    <w:rsid w:val="00EF5B66"/>
    <w:rsid w:val="00EF6F8D"/>
    <w:rsid w:val="00EF7740"/>
    <w:rsid w:val="00EF7A98"/>
    <w:rsid w:val="00EF7E6B"/>
    <w:rsid w:val="00F004F9"/>
    <w:rsid w:val="00F005CB"/>
    <w:rsid w:val="00F00D22"/>
    <w:rsid w:val="00F00D62"/>
    <w:rsid w:val="00F00F7A"/>
    <w:rsid w:val="00F0121A"/>
    <w:rsid w:val="00F01543"/>
    <w:rsid w:val="00F01874"/>
    <w:rsid w:val="00F01CB5"/>
    <w:rsid w:val="00F0228C"/>
    <w:rsid w:val="00F02307"/>
    <w:rsid w:val="00F0243F"/>
    <w:rsid w:val="00F02823"/>
    <w:rsid w:val="00F038CB"/>
    <w:rsid w:val="00F04D9B"/>
    <w:rsid w:val="00F055F8"/>
    <w:rsid w:val="00F05792"/>
    <w:rsid w:val="00F057E7"/>
    <w:rsid w:val="00F05873"/>
    <w:rsid w:val="00F06038"/>
    <w:rsid w:val="00F0633C"/>
    <w:rsid w:val="00F066C4"/>
    <w:rsid w:val="00F06CEE"/>
    <w:rsid w:val="00F078BC"/>
    <w:rsid w:val="00F07D68"/>
    <w:rsid w:val="00F1002D"/>
    <w:rsid w:val="00F10308"/>
    <w:rsid w:val="00F110F3"/>
    <w:rsid w:val="00F112C3"/>
    <w:rsid w:val="00F11F96"/>
    <w:rsid w:val="00F1252A"/>
    <w:rsid w:val="00F12945"/>
    <w:rsid w:val="00F12E02"/>
    <w:rsid w:val="00F1325A"/>
    <w:rsid w:val="00F135D3"/>
    <w:rsid w:val="00F1395E"/>
    <w:rsid w:val="00F14DD6"/>
    <w:rsid w:val="00F15481"/>
    <w:rsid w:val="00F15882"/>
    <w:rsid w:val="00F1589E"/>
    <w:rsid w:val="00F15A8D"/>
    <w:rsid w:val="00F15E38"/>
    <w:rsid w:val="00F16B9A"/>
    <w:rsid w:val="00F16CB2"/>
    <w:rsid w:val="00F17042"/>
    <w:rsid w:val="00F17260"/>
    <w:rsid w:val="00F17D7C"/>
    <w:rsid w:val="00F17F8A"/>
    <w:rsid w:val="00F2019E"/>
    <w:rsid w:val="00F20FCF"/>
    <w:rsid w:val="00F21260"/>
    <w:rsid w:val="00F215B6"/>
    <w:rsid w:val="00F21A6D"/>
    <w:rsid w:val="00F21CB9"/>
    <w:rsid w:val="00F224C1"/>
    <w:rsid w:val="00F2279E"/>
    <w:rsid w:val="00F22F99"/>
    <w:rsid w:val="00F2304A"/>
    <w:rsid w:val="00F23109"/>
    <w:rsid w:val="00F23684"/>
    <w:rsid w:val="00F23B9C"/>
    <w:rsid w:val="00F23D9A"/>
    <w:rsid w:val="00F23F43"/>
    <w:rsid w:val="00F24BEF"/>
    <w:rsid w:val="00F253F1"/>
    <w:rsid w:val="00F25739"/>
    <w:rsid w:val="00F26203"/>
    <w:rsid w:val="00F2633A"/>
    <w:rsid w:val="00F26D62"/>
    <w:rsid w:val="00F272CD"/>
    <w:rsid w:val="00F2732F"/>
    <w:rsid w:val="00F279C6"/>
    <w:rsid w:val="00F27DDE"/>
    <w:rsid w:val="00F302DF"/>
    <w:rsid w:val="00F305C7"/>
    <w:rsid w:val="00F308D9"/>
    <w:rsid w:val="00F30EAC"/>
    <w:rsid w:val="00F3120E"/>
    <w:rsid w:val="00F31262"/>
    <w:rsid w:val="00F31B3B"/>
    <w:rsid w:val="00F31B60"/>
    <w:rsid w:val="00F32091"/>
    <w:rsid w:val="00F32394"/>
    <w:rsid w:val="00F33026"/>
    <w:rsid w:val="00F332CE"/>
    <w:rsid w:val="00F335EF"/>
    <w:rsid w:val="00F33B9E"/>
    <w:rsid w:val="00F34218"/>
    <w:rsid w:val="00F345F3"/>
    <w:rsid w:val="00F34FFA"/>
    <w:rsid w:val="00F350C9"/>
    <w:rsid w:val="00F3608D"/>
    <w:rsid w:val="00F364B5"/>
    <w:rsid w:val="00F36D51"/>
    <w:rsid w:val="00F373E0"/>
    <w:rsid w:val="00F375E5"/>
    <w:rsid w:val="00F376D2"/>
    <w:rsid w:val="00F37ACE"/>
    <w:rsid w:val="00F37E1A"/>
    <w:rsid w:val="00F40637"/>
    <w:rsid w:val="00F4106A"/>
    <w:rsid w:val="00F41113"/>
    <w:rsid w:val="00F41288"/>
    <w:rsid w:val="00F415D8"/>
    <w:rsid w:val="00F41A24"/>
    <w:rsid w:val="00F41E73"/>
    <w:rsid w:val="00F42226"/>
    <w:rsid w:val="00F42DEA"/>
    <w:rsid w:val="00F42E51"/>
    <w:rsid w:val="00F42F96"/>
    <w:rsid w:val="00F4376C"/>
    <w:rsid w:val="00F43DD4"/>
    <w:rsid w:val="00F43E24"/>
    <w:rsid w:val="00F44833"/>
    <w:rsid w:val="00F44E8F"/>
    <w:rsid w:val="00F44F55"/>
    <w:rsid w:val="00F45035"/>
    <w:rsid w:val="00F453B1"/>
    <w:rsid w:val="00F456DF"/>
    <w:rsid w:val="00F459E3"/>
    <w:rsid w:val="00F45C69"/>
    <w:rsid w:val="00F462EA"/>
    <w:rsid w:val="00F46442"/>
    <w:rsid w:val="00F47242"/>
    <w:rsid w:val="00F47244"/>
    <w:rsid w:val="00F47503"/>
    <w:rsid w:val="00F47CE5"/>
    <w:rsid w:val="00F47E00"/>
    <w:rsid w:val="00F5030E"/>
    <w:rsid w:val="00F503B9"/>
    <w:rsid w:val="00F506C6"/>
    <w:rsid w:val="00F5110D"/>
    <w:rsid w:val="00F51FE5"/>
    <w:rsid w:val="00F523B5"/>
    <w:rsid w:val="00F52775"/>
    <w:rsid w:val="00F52AFA"/>
    <w:rsid w:val="00F52DCC"/>
    <w:rsid w:val="00F53B79"/>
    <w:rsid w:val="00F54243"/>
    <w:rsid w:val="00F54597"/>
    <w:rsid w:val="00F54CF9"/>
    <w:rsid w:val="00F55104"/>
    <w:rsid w:val="00F5513C"/>
    <w:rsid w:val="00F5537C"/>
    <w:rsid w:val="00F55E08"/>
    <w:rsid w:val="00F56129"/>
    <w:rsid w:val="00F57042"/>
    <w:rsid w:val="00F57224"/>
    <w:rsid w:val="00F57936"/>
    <w:rsid w:val="00F57C05"/>
    <w:rsid w:val="00F57EF4"/>
    <w:rsid w:val="00F57FEE"/>
    <w:rsid w:val="00F60582"/>
    <w:rsid w:val="00F60EDC"/>
    <w:rsid w:val="00F61219"/>
    <w:rsid w:val="00F61979"/>
    <w:rsid w:val="00F61B62"/>
    <w:rsid w:val="00F61C22"/>
    <w:rsid w:val="00F62102"/>
    <w:rsid w:val="00F6264A"/>
    <w:rsid w:val="00F6278B"/>
    <w:rsid w:val="00F62C13"/>
    <w:rsid w:val="00F62C41"/>
    <w:rsid w:val="00F630FC"/>
    <w:rsid w:val="00F6335D"/>
    <w:rsid w:val="00F6350B"/>
    <w:rsid w:val="00F63A37"/>
    <w:rsid w:val="00F63CC1"/>
    <w:rsid w:val="00F640E4"/>
    <w:rsid w:val="00F64367"/>
    <w:rsid w:val="00F65130"/>
    <w:rsid w:val="00F662F8"/>
    <w:rsid w:val="00F66300"/>
    <w:rsid w:val="00F668F6"/>
    <w:rsid w:val="00F670B8"/>
    <w:rsid w:val="00F6710B"/>
    <w:rsid w:val="00F6723B"/>
    <w:rsid w:val="00F67BFF"/>
    <w:rsid w:val="00F67CE0"/>
    <w:rsid w:val="00F67DF5"/>
    <w:rsid w:val="00F67E41"/>
    <w:rsid w:val="00F67ECD"/>
    <w:rsid w:val="00F7003F"/>
    <w:rsid w:val="00F701F0"/>
    <w:rsid w:val="00F7062F"/>
    <w:rsid w:val="00F710CE"/>
    <w:rsid w:val="00F7160D"/>
    <w:rsid w:val="00F71BAC"/>
    <w:rsid w:val="00F71CD9"/>
    <w:rsid w:val="00F7264B"/>
    <w:rsid w:val="00F72F88"/>
    <w:rsid w:val="00F736A3"/>
    <w:rsid w:val="00F73B06"/>
    <w:rsid w:val="00F74055"/>
    <w:rsid w:val="00F742C3"/>
    <w:rsid w:val="00F74E7F"/>
    <w:rsid w:val="00F75568"/>
    <w:rsid w:val="00F76394"/>
    <w:rsid w:val="00F76CB1"/>
    <w:rsid w:val="00F76FB9"/>
    <w:rsid w:val="00F77294"/>
    <w:rsid w:val="00F7782D"/>
    <w:rsid w:val="00F77A75"/>
    <w:rsid w:val="00F77F5A"/>
    <w:rsid w:val="00F804E3"/>
    <w:rsid w:val="00F80683"/>
    <w:rsid w:val="00F80E84"/>
    <w:rsid w:val="00F810DC"/>
    <w:rsid w:val="00F82203"/>
    <w:rsid w:val="00F82B69"/>
    <w:rsid w:val="00F82DDE"/>
    <w:rsid w:val="00F82DEB"/>
    <w:rsid w:val="00F82DFE"/>
    <w:rsid w:val="00F836EB"/>
    <w:rsid w:val="00F83EE1"/>
    <w:rsid w:val="00F83F94"/>
    <w:rsid w:val="00F8427A"/>
    <w:rsid w:val="00F8478F"/>
    <w:rsid w:val="00F847D9"/>
    <w:rsid w:val="00F84968"/>
    <w:rsid w:val="00F851A5"/>
    <w:rsid w:val="00F861CF"/>
    <w:rsid w:val="00F86BA0"/>
    <w:rsid w:val="00F8708F"/>
    <w:rsid w:val="00F87A5F"/>
    <w:rsid w:val="00F87FC0"/>
    <w:rsid w:val="00F90092"/>
    <w:rsid w:val="00F902B5"/>
    <w:rsid w:val="00F908EE"/>
    <w:rsid w:val="00F90A59"/>
    <w:rsid w:val="00F90CE3"/>
    <w:rsid w:val="00F9136B"/>
    <w:rsid w:val="00F91506"/>
    <w:rsid w:val="00F9192E"/>
    <w:rsid w:val="00F9194A"/>
    <w:rsid w:val="00F9199D"/>
    <w:rsid w:val="00F91B27"/>
    <w:rsid w:val="00F91C2B"/>
    <w:rsid w:val="00F91D87"/>
    <w:rsid w:val="00F92397"/>
    <w:rsid w:val="00F92846"/>
    <w:rsid w:val="00F92FC4"/>
    <w:rsid w:val="00F93465"/>
    <w:rsid w:val="00F9362D"/>
    <w:rsid w:val="00F93664"/>
    <w:rsid w:val="00F9383F"/>
    <w:rsid w:val="00F944CA"/>
    <w:rsid w:val="00F94E05"/>
    <w:rsid w:val="00F95109"/>
    <w:rsid w:val="00F95972"/>
    <w:rsid w:val="00F96593"/>
    <w:rsid w:val="00F96C80"/>
    <w:rsid w:val="00F96D89"/>
    <w:rsid w:val="00F9732D"/>
    <w:rsid w:val="00F9776D"/>
    <w:rsid w:val="00F979C1"/>
    <w:rsid w:val="00FA036C"/>
    <w:rsid w:val="00FA0C6B"/>
    <w:rsid w:val="00FA1C95"/>
    <w:rsid w:val="00FA2110"/>
    <w:rsid w:val="00FA25BD"/>
    <w:rsid w:val="00FA281A"/>
    <w:rsid w:val="00FA2DA2"/>
    <w:rsid w:val="00FA3ADA"/>
    <w:rsid w:val="00FA3CC2"/>
    <w:rsid w:val="00FA3DDA"/>
    <w:rsid w:val="00FA3F53"/>
    <w:rsid w:val="00FA453E"/>
    <w:rsid w:val="00FA4AFD"/>
    <w:rsid w:val="00FA4CB2"/>
    <w:rsid w:val="00FA5344"/>
    <w:rsid w:val="00FA55C0"/>
    <w:rsid w:val="00FA56E2"/>
    <w:rsid w:val="00FA5BB4"/>
    <w:rsid w:val="00FA64E7"/>
    <w:rsid w:val="00FA6841"/>
    <w:rsid w:val="00FA6E92"/>
    <w:rsid w:val="00FA770C"/>
    <w:rsid w:val="00FA780A"/>
    <w:rsid w:val="00FA7B6F"/>
    <w:rsid w:val="00FB096D"/>
    <w:rsid w:val="00FB0D82"/>
    <w:rsid w:val="00FB1820"/>
    <w:rsid w:val="00FB1BA0"/>
    <w:rsid w:val="00FB1C95"/>
    <w:rsid w:val="00FB3543"/>
    <w:rsid w:val="00FB381E"/>
    <w:rsid w:val="00FB39E2"/>
    <w:rsid w:val="00FB3D41"/>
    <w:rsid w:val="00FB5858"/>
    <w:rsid w:val="00FB58BA"/>
    <w:rsid w:val="00FB5D49"/>
    <w:rsid w:val="00FB74E7"/>
    <w:rsid w:val="00FB7D53"/>
    <w:rsid w:val="00FC0035"/>
    <w:rsid w:val="00FC1127"/>
    <w:rsid w:val="00FC140B"/>
    <w:rsid w:val="00FC1E6C"/>
    <w:rsid w:val="00FC1EA6"/>
    <w:rsid w:val="00FC2A54"/>
    <w:rsid w:val="00FC2D99"/>
    <w:rsid w:val="00FC32B8"/>
    <w:rsid w:val="00FC38C6"/>
    <w:rsid w:val="00FC38D8"/>
    <w:rsid w:val="00FC3C1C"/>
    <w:rsid w:val="00FC44C2"/>
    <w:rsid w:val="00FC50DC"/>
    <w:rsid w:val="00FC5552"/>
    <w:rsid w:val="00FC5B64"/>
    <w:rsid w:val="00FC6108"/>
    <w:rsid w:val="00FC672E"/>
    <w:rsid w:val="00FC6811"/>
    <w:rsid w:val="00FC6914"/>
    <w:rsid w:val="00FC6A57"/>
    <w:rsid w:val="00FC6C07"/>
    <w:rsid w:val="00FC761F"/>
    <w:rsid w:val="00FD0715"/>
    <w:rsid w:val="00FD0A5E"/>
    <w:rsid w:val="00FD1639"/>
    <w:rsid w:val="00FD18B9"/>
    <w:rsid w:val="00FD1B83"/>
    <w:rsid w:val="00FD26F8"/>
    <w:rsid w:val="00FD291C"/>
    <w:rsid w:val="00FD2AB7"/>
    <w:rsid w:val="00FD2FAE"/>
    <w:rsid w:val="00FD2FF7"/>
    <w:rsid w:val="00FD3F63"/>
    <w:rsid w:val="00FD468F"/>
    <w:rsid w:val="00FD55FC"/>
    <w:rsid w:val="00FD60A0"/>
    <w:rsid w:val="00FD6ABE"/>
    <w:rsid w:val="00FD6B98"/>
    <w:rsid w:val="00FD707A"/>
    <w:rsid w:val="00FD72C4"/>
    <w:rsid w:val="00FD7324"/>
    <w:rsid w:val="00FD7662"/>
    <w:rsid w:val="00FD7B1B"/>
    <w:rsid w:val="00FD7CF5"/>
    <w:rsid w:val="00FD7E5C"/>
    <w:rsid w:val="00FE0649"/>
    <w:rsid w:val="00FE090C"/>
    <w:rsid w:val="00FE091E"/>
    <w:rsid w:val="00FE0FE0"/>
    <w:rsid w:val="00FE1046"/>
    <w:rsid w:val="00FE1D08"/>
    <w:rsid w:val="00FE1E2B"/>
    <w:rsid w:val="00FE1F4A"/>
    <w:rsid w:val="00FE24FE"/>
    <w:rsid w:val="00FE27F5"/>
    <w:rsid w:val="00FE3309"/>
    <w:rsid w:val="00FE34BE"/>
    <w:rsid w:val="00FE393F"/>
    <w:rsid w:val="00FE3EE0"/>
    <w:rsid w:val="00FE44C1"/>
    <w:rsid w:val="00FE4C48"/>
    <w:rsid w:val="00FE4CCE"/>
    <w:rsid w:val="00FE4E33"/>
    <w:rsid w:val="00FE5456"/>
    <w:rsid w:val="00FE5E8A"/>
    <w:rsid w:val="00FE6533"/>
    <w:rsid w:val="00FE6FB8"/>
    <w:rsid w:val="00FE7492"/>
    <w:rsid w:val="00FE76D8"/>
    <w:rsid w:val="00FE7B1D"/>
    <w:rsid w:val="00FE7D78"/>
    <w:rsid w:val="00FE7E1E"/>
    <w:rsid w:val="00FF02DB"/>
    <w:rsid w:val="00FF079B"/>
    <w:rsid w:val="00FF0BF6"/>
    <w:rsid w:val="00FF0C66"/>
    <w:rsid w:val="00FF0EA1"/>
    <w:rsid w:val="00FF107B"/>
    <w:rsid w:val="00FF1247"/>
    <w:rsid w:val="00FF1343"/>
    <w:rsid w:val="00FF1378"/>
    <w:rsid w:val="00FF1696"/>
    <w:rsid w:val="00FF1949"/>
    <w:rsid w:val="00FF1CAF"/>
    <w:rsid w:val="00FF2072"/>
    <w:rsid w:val="00FF3773"/>
    <w:rsid w:val="00FF397B"/>
    <w:rsid w:val="00FF4283"/>
    <w:rsid w:val="00FF44AB"/>
    <w:rsid w:val="00FF4B9C"/>
    <w:rsid w:val="00FF5209"/>
    <w:rsid w:val="00FF5615"/>
    <w:rsid w:val="00FF5A00"/>
    <w:rsid w:val="00FF5EF1"/>
    <w:rsid w:val="00FF6124"/>
    <w:rsid w:val="00FF6738"/>
    <w:rsid w:val="00FF67F2"/>
    <w:rsid w:val="00FF6C4E"/>
    <w:rsid w:val="00FF6D57"/>
    <w:rsid w:val="00FF6D82"/>
    <w:rsid w:val="00FF6F90"/>
    <w:rsid w:val="00FF7E50"/>
    <w:rsid w:val="014A14D6"/>
    <w:rsid w:val="01761461"/>
    <w:rsid w:val="01CF0D89"/>
    <w:rsid w:val="020D657A"/>
    <w:rsid w:val="0223236F"/>
    <w:rsid w:val="022624E7"/>
    <w:rsid w:val="02287C7B"/>
    <w:rsid w:val="02952C5E"/>
    <w:rsid w:val="02BC242F"/>
    <w:rsid w:val="02E465FD"/>
    <w:rsid w:val="02FB5F01"/>
    <w:rsid w:val="03CA0201"/>
    <w:rsid w:val="04250D9C"/>
    <w:rsid w:val="046E5030"/>
    <w:rsid w:val="047C774D"/>
    <w:rsid w:val="049B596F"/>
    <w:rsid w:val="04CC1D57"/>
    <w:rsid w:val="05105453"/>
    <w:rsid w:val="053A2227"/>
    <w:rsid w:val="059A5C98"/>
    <w:rsid w:val="05E41A1D"/>
    <w:rsid w:val="065B4DA2"/>
    <w:rsid w:val="06636FB2"/>
    <w:rsid w:val="06A64F55"/>
    <w:rsid w:val="06B55198"/>
    <w:rsid w:val="06C66471"/>
    <w:rsid w:val="07041C7C"/>
    <w:rsid w:val="07222102"/>
    <w:rsid w:val="073B6441"/>
    <w:rsid w:val="07D97889"/>
    <w:rsid w:val="07F461D2"/>
    <w:rsid w:val="089B2A84"/>
    <w:rsid w:val="08AB319A"/>
    <w:rsid w:val="092142EF"/>
    <w:rsid w:val="09525099"/>
    <w:rsid w:val="09774987"/>
    <w:rsid w:val="09B8437B"/>
    <w:rsid w:val="0A294445"/>
    <w:rsid w:val="0A456833"/>
    <w:rsid w:val="0AC54D37"/>
    <w:rsid w:val="0B544A8F"/>
    <w:rsid w:val="0B5A4560"/>
    <w:rsid w:val="0B952081"/>
    <w:rsid w:val="0B960351"/>
    <w:rsid w:val="0CB8497B"/>
    <w:rsid w:val="0CF555B7"/>
    <w:rsid w:val="0CF57E91"/>
    <w:rsid w:val="0D305579"/>
    <w:rsid w:val="0D5867A2"/>
    <w:rsid w:val="0D5B47C8"/>
    <w:rsid w:val="0DB25FD8"/>
    <w:rsid w:val="0E7A1107"/>
    <w:rsid w:val="0ECD60CB"/>
    <w:rsid w:val="0ED57398"/>
    <w:rsid w:val="0ED87C76"/>
    <w:rsid w:val="0EE53CAA"/>
    <w:rsid w:val="0F342827"/>
    <w:rsid w:val="0F630EB1"/>
    <w:rsid w:val="0F6A1754"/>
    <w:rsid w:val="0F6B6962"/>
    <w:rsid w:val="0FBE2456"/>
    <w:rsid w:val="0FBF030D"/>
    <w:rsid w:val="0FCF7A0F"/>
    <w:rsid w:val="0FE443F8"/>
    <w:rsid w:val="0FE53F92"/>
    <w:rsid w:val="0FED5C57"/>
    <w:rsid w:val="10075607"/>
    <w:rsid w:val="101501AD"/>
    <w:rsid w:val="106F0518"/>
    <w:rsid w:val="10807302"/>
    <w:rsid w:val="1083627A"/>
    <w:rsid w:val="113349F9"/>
    <w:rsid w:val="116515C8"/>
    <w:rsid w:val="11EE5EEA"/>
    <w:rsid w:val="12284C92"/>
    <w:rsid w:val="129E4D82"/>
    <w:rsid w:val="12AC31BF"/>
    <w:rsid w:val="12D84F2E"/>
    <w:rsid w:val="12D940DE"/>
    <w:rsid w:val="12F6691D"/>
    <w:rsid w:val="1303121D"/>
    <w:rsid w:val="13555C66"/>
    <w:rsid w:val="1379754E"/>
    <w:rsid w:val="137E6702"/>
    <w:rsid w:val="139B3968"/>
    <w:rsid w:val="13AA0314"/>
    <w:rsid w:val="13BF31B2"/>
    <w:rsid w:val="13BF47FD"/>
    <w:rsid w:val="13FA2E27"/>
    <w:rsid w:val="140C0662"/>
    <w:rsid w:val="14382F65"/>
    <w:rsid w:val="14787805"/>
    <w:rsid w:val="1486741F"/>
    <w:rsid w:val="14A012B1"/>
    <w:rsid w:val="14E13D7A"/>
    <w:rsid w:val="15320AA9"/>
    <w:rsid w:val="154B447A"/>
    <w:rsid w:val="15D46D50"/>
    <w:rsid w:val="15F34711"/>
    <w:rsid w:val="16077093"/>
    <w:rsid w:val="160F7CF5"/>
    <w:rsid w:val="162166CB"/>
    <w:rsid w:val="16B40898"/>
    <w:rsid w:val="16C968FB"/>
    <w:rsid w:val="1705493D"/>
    <w:rsid w:val="1736653A"/>
    <w:rsid w:val="177A699D"/>
    <w:rsid w:val="17B46CFB"/>
    <w:rsid w:val="17D8243D"/>
    <w:rsid w:val="18367024"/>
    <w:rsid w:val="18381BC6"/>
    <w:rsid w:val="185F0EA1"/>
    <w:rsid w:val="18624A54"/>
    <w:rsid w:val="18851D55"/>
    <w:rsid w:val="18C13618"/>
    <w:rsid w:val="18F460C2"/>
    <w:rsid w:val="19051B6A"/>
    <w:rsid w:val="19150E7F"/>
    <w:rsid w:val="193E287A"/>
    <w:rsid w:val="19622356"/>
    <w:rsid w:val="19802244"/>
    <w:rsid w:val="198028E2"/>
    <w:rsid w:val="19930475"/>
    <w:rsid w:val="19E1230A"/>
    <w:rsid w:val="1A352354"/>
    <w:rsid w:val="1A47372A"/>
    <w:rsid w:val="1A7D03A7"/>
    <w:rsid w:val="1B3452EB"/>
    <w:rsid w:val="1B8013F7"/>
    <w:rsid w:val="1B9B0E19"/>
    <w:rsid w:val="1BB13295"/>
    <w:rsid w:val="1BB9498B"/>
    <w:rsid w:val="1BDC4942"/>
    <w:rsid w:val="1BF80445"/>
    <w:rsid w:val="1C2E32EC"/>
    <w:rsid w:val="1C8F12C8"/>
    <w:rsid w:val="1C9A707C"/>
    <w:rsid w:val="1CF63BC0"/>
    <w:rsid w:val="1D72244E"/>
    <w:rsid w:val="1D8A5E16"/>
    <w:rsid w:val="1D9F3C04"/>
    <w:rsid w:val="1DB91B5D"/>
    <w:rsid w:val="1DFC3698"/>
    <w:rsid w:val="1E0647C5"/>
    <w:rsid w:val="1EBF46A7"/>
    <w:rsid w:val="1F200154"/>
    <w:rsid w:val="1F417171"/>
    <w:rsid w:val="1F582468"/>
    <w:rsid w:val="1F8C2A73"/>
    <w:rsid w:val="1FCD2AA2"/>
    <w:rsid w:val="200B7C2C"/>
    <w:rsid w:val="20567506"/>
    <w:rsid w:val="205A2A93"/>
    <w:rsid w:val="21EF7359"/>
    <w:rsid w:val="22206454"/>
    <w:rsid w:val="22241AE3"/>
    <w:rsid w:val="22360C22"/>
    <w:rsid w:val="22397D58"/>
    <w:rsid w:val="225B3EBB"/>
    <w:rsid w:val="22832D4C"/>
    <w:rsid w:val="22920A1B"/>
    <w:rsid w:val="22DB0789"/>
    <w:rsid w:val="2307194D"/>
    <w:rsid w:val="231F117D"/>
    <w:rsid w:val="234500A6"/>
    <w:rsid w:val="23640EA6"/>
    <w:rsid w:val="23CA2319"/>
    <w:rsid w:val="23F24EDE"/>
    <w:rsid w:val="24352EBB"/>
    <w:rsid w:val="247C0254"/>
    <w:rsid w:val="24E85830"/>
    <w:rsid w:val="2500391B"/>
    <w:rsid w:val="25043B62"/>
    <w:rsid w:val="25295B12"/>
    <w:rsid w:val="252A328F"/>
    <w:rsid w:val="25503253"/>
    <w:rsid w:val="255B5A58"/>
    <w:rsid w:val="25787F96"/>
    <w:rsid w:val="25CF3ED6"/>
    <w:rsid w:val="25D725DE"/>
    <w:rsid w:val="26341C2C"/>
    <w:rsid w:val="263961BD"/>
    <w:rsid w:val="2666008D"/>
    <w:rsid w:val="26A52B1C"/>
    <w:rsid w:val="26E21CEE"/>
    <w:rsid w:val="272938E6"/>
    <w:rsid w:val="273713E4"/>
    <w:rsid w:val="274769D1"/>
    <w:rsid w:val="27BD3A55"/>
    <w:rsid w:val="28056DA0"/>
    <w:rsid w:val="282E0A77"/>
    <w:rsid w:val="283261F1"/>
    <w:rsid w:val="28987C75"/>
    <w:rsid w:val="28D00AD7"/>
    <w:rsid w:val="2908745E"/>
    <w:rsid w:val="29D84B76"/>
    <w:rsid w:val="29F83574"/>
    <w:rsid w:val="2A1262DA"/>
    <w:rsid w:val="2A1C3B9F"/>
    <w:rsid w:val="2A367F13"/>
    <w:rsid w:val="2A6571D9"/>
    <w:rsid w:val="2AA077A9"/>
    <w:rsid w:val="2AA1765E"/>
    <w:rsid w:val="2AF459E0"/>
    <w:rsid w:val="2B9F589A"/>
    <w:rsid w:val="2BBE286E"/>
    <w:rsid w:val="2BFD78DC"/>
    <w:rsid w:val="2C7F52AD"/>
    <w:rsid w:val="2CE4003B"/>
    <w:rsid w:val="2D5B7F98"/>
    <w:rsid w:val="2D8868B3"/>
    <w:rsid w:val="2D957CF5"/>
    <w:rsid w:val="2DDD37EA"/>
    <w:rsid w:val="2DEF2F2B"/>
    <w:rsid w:val="2DF13843"/>
    <w:rsid w:val="2EFE144D"/>
    <w:rsid w:val="2F1D3524"/>
    <w:rsid w:val="2FD72080"/>
    <w:rsid w:val="301E35DD"/>
    <w:rsid w:val="30AA4E20"/>
    <w:rsid w:val="30B5232B"/>
    <w:rsid w:val="314F1BC2"/>
    <w:rsid w:val="31666628"/>
    <w:rsid w:val="3172765E"/>
    <w:rsid w:val="31E30425"/>
    <w:rsid w:val="33613FFE"/>
    <w:rsid w:val="336143E6"/>
    <w:rsid w:val="337445BC"/>
    <w:rsid w:val="343F136F"/>
    <w:rsid w:val="34692E8B"/>
    <w:rsid w:val="34886BFB"/>
    <w:rsid w:val="348C6C89"/>
    <w:rsid w:val="34957CEA"/>
    <w:rsid w:val="34EF4842"/>
    <w:rsid w:val="34F66FC6"/>
    <w:rsid w:val="3537548D"/>
    <w:rsid w:val="35414F6E"/>
    <w:rsid w:val="3576279B"/>
    <w:rsid w:val="357A2DF7"/>
    <w:rsid w:val="359327CA"/>
    <w:rsid w:val="35A41BC7"/>
    <w:rsid w:val="35C70A00"/>
    <w:rsid w:val="35E37C57"/>
    <w:rsid w:val="36320DCE"/>
    <w:rsid w:val="36940077"/>
    <w:rsid w:val="36993E75"/>
    <w:rsid w:val="36D3445E"/>
    <w:rsid w:val="37075C97"/>
    <w:rsid w:val="374B13F0"/>
    <w:rsid w:val="3756191A"/>
    <w:rsid w:val="37671737"/>
    <w:rsid w:val="37B704C1"/>
    <w:rsid w:val="37D75647"/>
    <w:rsid w:val="37DB681C"/>
    <w:rsid w:val="38141101"/>
    <w:rsid w:val="384C15E7"/>
    <w:rsid w:val="3862042D"/>
    <w:rsid w:val="38C01602"/>
    <w:rsid w:val="39243B3D"/>
    <w:rsid w:val="396B3311"/>
    <w:rsid w:val="39A14223"/>
    <w:rsid w:val="39A828A4"/>
    <w:rsid w:val="39E24842"/>
    <w:rsid w:val="3A0E1EEE"/>
    <w:rsid w:val="3A346490"/>
    <w:rsid w:val="3A8B1791"/>
    <w:rsid w:val="3AC56C4A"/>
    <w:rsid w:val="3AE73B09"/>
    <w:rsid w:val="3B217D32"/>
    <w:rsid w:val="3B6B584A"/>
    <w:rsid w:val="3B8135A4"/>
    <w:rsid w:val="3CC2593E"/>
    <w:rsid w:val="3D1433A2"/>
    <w:rsid w:val="3D29758D"/>
    <w:rsid w:val="3D93125D"/>
    <w:rsid w:val="3D9C2ADA"/>
    <w:rsid w:val="3DC93E69"/>
    <w:rsid w:val="3E2724E7"/>
    <w:rsid w:val="3E27676D"/>
    <w:rsid w:val="3E795988"/>
    <w:rsid w:val="3E907376"/>
    <w:rsid w:val="3ECB4852"/>
    <w:rsid w:val="3EDE3CCE"/>
    <w:rsid w:val="3F177A97"/>
    <w:rsid w:val="3F213F04"/>
    <w:rsid w:val="3F421D64"/>
    <w:rsid w:val="3F951D52"/>
    <w:rsid w:val="3FC901E2"/>
    <w:rsid w:val="40C1415E"/>
    <w:rsid w:val="410D3D4D"/>
    <w:rsid w:val="41112B20"/>
    <w:rsid w:val="41377EA7"/>
    <w:rsid w:val="413F78B7"/>
    <w:rsid w:val="415914C1"/>
    <w:rsid w:val="41766CF7"/>
    <w:rsid w:val="418677AA"/>
    <w:rsid w:val="41B25855"/>
    <w:rsid w:val="41BC374E"/>
    <w:rsid w:val="41C90103"/>
    <w:rsid w:val="429B3FD5"/>
    <w:rsid w:val="434846C3"/>
    <w:rsid w:val="434B078A"/>
    <w:rsid w:val="438870AF"/>
    <w:rsid w:val="43BA2B9E"/>
    <w:rsid w:val="43E80323"/>
    <w:rsid w:val="43EA6644"/>
    <w:rsid w:val="43FA5FE2"/>
    <w:rsid w:val="44322D4A"/>
    <w:rsid w:val="444A6219"/>
    <w:rsid w:val="44C45289"/>
    <w:rsid w:val="44F77F05"/>
    <w:rsid w:val="45D8555E"/>
    <w:rsid w:val="45F770E7"/>
    <w:rsid w:val="463351B6"/>
    <w:rsid w:val="469D4D26"/>
    <w:rsid w:val="46AB6703"/>
    <w:rsid w:val="46BC589A"/>
    <w:rsid w:val="4736312B"/>
    <w:rsid w:val="476602F6"/>
    <w:rsid w:val="478F0B12"/>
    <w:rsid w:val="4791079B"/>
    <w:rsid w:val="47A869D1"/>
    <w:rsid w:val="47AC1243"/>
    <w:rsid w:val="47C02B27"/>
    <w:rsid w:val="47C031D6"/>
    <w:rsid w:val="47FF5F01"/>
    <w:rsid w:val="481B23A3"/>
    <w:rsid w:val="485B2011"/>
    <w:rsid w:val="489F24E0"/>
    <w:rsid w:val="48AC1C02"/>
    <w:rsid w:val="4948005A"/>
    <w:rsid w:val="498E6BA8"/>
    <w:rsid w:val="49AE1FB3"/>
    <w:rsid w:val="49D74501"/>
    <w:rsid w:val="4A3634C7"/>
    <w:rsid w:val="4A3B4A5C"/>
    <w:rsid w:val="4AAB53E3"/>
    <w:rsid w:val="4AEF36A5"/>
    <w:rsid w:val="4AF306B5"/>
    <w:rsid w:val="4B0522CA"/>
    <w:rsid w:val="4B764785"/>
    <w:rsid w:val="4C8B5BC6"/>
    <w:rsid w:val="4D081D6E"/>
    <w:rsid w:val="4D3B0DF4"/>
    <w:rsid w:val="4D4C3002"/>
    <w:rsid w:val="4D5214EF"/>
    <w:rsid w:val="4D79052A"/>
    <w:rsid w:val="4D7E0E31"/>
    <w:rsid w:val="4DD82969"/>
    <w:rsid w:val="4E025A20"/>
    <w:rsid w:val="4E4C43BA"/>
    <w:rsid w:val="4E7B0D91"/>
    <w:rsid w:val="4E997359"/>
    <w:rsid w:val="4ED92F65"/>
    <w:rsid w:val="4F0D3938"/>
    <w:rsid w:val="4F3E57BE"/>
    <w:rsid w:val="4F46001C"/>
    <w:rsid w:val="4F766E4A"/>
    <w:rsid w:val="4F7D13F7"/>
    <w:rsid w:val="4FFF6735"/>
    <w:rsid w:val="50224539"/>
    <w:rsid w:val="503B7ECA"/>
    <w:rsid w:val="50562373"/>
    <w:rsid w:val="50D15CF8"/>
    <w:rsid w:val="512962D7"/>
    <w:rsid w:val="51501312"/>
    <w:rsid w:val="518D4B89"/>
    <w:rsid w:val="519059F2"/>
    <w:rsid w:val="51A72DA3"/>
    <w:rsid w:val="51D718C7"/>
    <w:rsid w:val="51FB0B52"/>
    <w:rsid w:val="52CF44B9"/>
    <w:rsid w:val="52E863D3"/>
    <w:rsid w:val="532A2A4A"/>
    <w:rsid w:val="536426E8"/>
    <w:rsid w:val="53C71634"/>
    <w:rsid w:val="547D2C1A"/>
    <w:rsid w:val="54D83366"/>
    <w:rsid w:val="54F324F8"/>
    <w:rsid w:val="55381ED8"/>
    <w:rsid w:val="5543788A"/>
    <w:rsid w:val="554F18E1"/>
    <w:rsid w:val="563E7AA9"/>
    <w:rsid w:val="568850AA"/>
    <w:rsid w:val="56C25B6C"/>
    <w:rsid w:val="56F22E81"/>
    <w:rsid w:val="57140367"/>
    <w:rsid w:val="57154464"/>
    <w:rsid w:val="57313F33"/>
    <w:rsid w:val="575D6106"/>
    <w:rsid w:val="57A35F14"/>
    <w:rsid w:val="57B9772B"/>
    <w:rsid w:val="5805272B"/>
    <w:rsid w:val="58207C04"/>
    <w:rsid w:val="585A4F2F"/>
    <w:rsid w:val="595765E7"/>
    <w:rsid w:val="597638E0"/>
    <w:rsid w:val="59A05FAE"/>
    <w:rsid w:val="59A349B6"/>
    <w:rsid w:val="59CB2704"/>
    <w:rsid w:val="59E1204C"/>
    <w:rsid w:val="5A0A04CC"/>
    <w:rsid w:val="5B1F079D"/>
    <w:rsid w:val="5B526733"/>
    <w:rsid w:val="5B562F03"/>
    <w:rsid w:val="5B5F03A4"/>
    <w:rsid w:val="5B8A1310"/>
    <w:rsid w:val="5BF1122A"/>
    <w:rsid w:val="5C080114"/>
    <w:rsid w:val="5C12295F"/>
    <w:rsid w:val="5C283EC9"/>
    <w:rsid w:val="5C437174"/>
    <w:rsid w:val="5D0E7222"/>
    <w:rsid w:val="5D51434E"/>
    <w:rsid w:val="5DB71AE2"/>
    <w:rsid w:val="5DC23EA0"/>
    <w:rsid w:val="5DC866D4"/>
    <w:rsid w:val="5E50108F"/>
    <w:rsid w:val="5EA12E97"/>
    <w:rsid w:val="5EDB4749"/>
    <w:rsid w:val="5F2416FD"/>
    <w:rsid w:val="5F29531B"/>
    <w:rsid w:val="5F2D2C93"/>
    <w:rsid w:val="5F9F09A1"/>
    <w:rsid w:val="5FD737D1"/>
    <w:rsid w:val="603077A1"/>
    <w:rsid w:val="605D3283"/>
    <w:rsid w:val="606968D4"/>
    <w:rsid w:val="60A26FD1"/>
    <w:rsid w:val="60DA6DED"/>
    <w:rsid w:val="612B7408"/>
    <w:rsid w:val="617B7D81"/>
    <w:rsid w:val="61A90EE7"/>
    <w:rsid w:val="61B70402"/>
    <w:rsid w:val="61FB55A6"/>
    <w:rsid w:val="62582763"/>
    <w:rsid w:val="62610F56"/>
    <w:rsid w:val="6275524C"/>
    <w:rsid w:val="628462D0"/>
    <w:rsid w:val="62EE44E7"/>
    <w:rsid w:val="62F6602C"/>
    <w:rsid w:val="630B0D25"/>
    <w:rsid w:val="633B5253"/>
    <w:rsid w:val="639D576F"/>
    <w:rsid w:val="63EC3E4B"/>
    <w:rsid w:val="644D16E1"/>
    <w:rsid w:val="648D6455"/>
    <w:rsid w:val="649121C4"/>
    <w:rsid w:val="65742EC7"/>
    <w:rsid w:val="6580369E"/>
    <w:rsid w:val="65931376"/>
    <w:rsid w:val="660E7CE2"/>
    <w:rsid w:val="666D68AF"/>
    <w:rsid w:val="66C8504F"/>
    <w:rsid w:val="66CC3556"/>
    <w:rsid w:val="66E638C0"/>
    <w:rsid w:val="66E95763"/>
    <w:rsid w:val="6725610F"/>
    <w:rsid w:val="6759645C"/>
    <w:rsid w:val="676C20F3"/>
    <w:rsid w:val="676C45F3"/>
    <w:rsid w:val="67801DCE"/>
    <w:rsid w:val="67F53618"/>
    <w:rsid w:val="6804655B"/>
    <w:rsid w:val="6820733F"/>
    <w:rsid w:val="68210EBB"/>
    <w:rsid w:val="688C4126"/>
    <w:rsid w:val="68F42334"/>
    <w:rsid w:val="691B590A"/>
    <w:rsid w:val="69423AFE"/>
    <w:rsid w:val="694D30F2"/>
    <w:rsid w:val="69572F2E"/>
    <w:rsid w:val="69631A3C"/>
    <w:rsid w:val="697F4AA5"/>
    <w:rsid w:val="69F13A07"/>
    <w:rsid w:val="69F45E5D"/>
    <w:rsid w:val="6A44239D"/>
    <w:rsid w:val="6A4721BE"/>
    <w:rsid w:val="6A75300F"/>
    <w:rsid w:val="6AA735D6"/>
    <w:rsid w:val="6B2D5DC9"/>
    <w:rsid w:val="6B3E69F2"/>
    <w:rsid w:val="6B6E6329"/>
    <w:rsid w:val="6BF665EC"/>
    <w:rsid w:val="6C7D68DC"/>
    <w:rsid w:val="6CAF1D3C"/>
    <w:rsid w:val="6CD40BF2"/>
    <w:rsid w:val="6CE030B0"/>
    <w:rsid w:val="6CF556F7"/>
    <w:rsid w:val="6D4A4A10"/>
    <w:rsid w:val="6D4B6130"/>
    <w:rsid w:val="6D6E4F1D"/>
    <w:rsid w:val="6D940869"/>
    <w:rsid w:val="6DA00AD4"/>
    <w:rsid w:val="6DB14A8F"/>
    <w:rsid w:val="6DB9605E"/>
    <w:rsid w:val="6E2200E3"/>
    <w:rsid w:val="6EB0094B"/>
    <w:rsid w:val="6F1B4E65"/>
    <w:rsid w:val="6F2C2BA0"/>
    <w:rsid w:val="6F2E3093"/>
    <w:rsid w:val="6F4162E7"/>
    <w:rsid w:val="6F5953DE"/>
    <w:rsid w:val="6F8259ED"/>
    <w:rsid w:val="6FD459CC"/>
    <w:rsid w:val="7054775D"/>
    <w:rsid w:val="7056191E"/>
    <w:rsid w:val="70983CE4"/>
    <w:rsid w:val="70B22023"/>
    <w:rsid w:val="70D43718"/>
    <w:rsid w:val="70D91188"/>
    <w:rsid w:val="70DC4260"/>
    <w:rsid w:val="70E22E6B"/>
    <w:rsid w:val="70E44F58"/>
    <w:rsid w:val="71265794"/>
    <w:rsid w:val="714176D5"/>
    <w:rsid w:val="71645191"/>
    <w:rsid w:val="717007BD"/>
    <w:rsid w:val="719F6A56"/>
    <w:rsid w:val="71A1306D"/>
    <w:rsid w:val="71D80DD7"/>
    <w:rsid w:val="72013855"/>
    <w:rsid w:val="720D24B0"/>
    <w:rsid w:val="72802C82"/>
    <w:rsid w:val="72E451C2"/>
    <w:rsid w:val="72E804B1"/>
    <w:rsid w:val="73047407"/>
    <w:rsid w:val="73055543"/>
    <w:rsid w:val="738E367E"/>
    <w:rsid w:val="73DB1B03"/>
    <w:rsid w:val="73DB4206"/>
    <w:rsid w:val="73FE2B4F"/>
    <w:rsid w:val="747F1A52"/>
    <w:rsid w:val="74984A16"/>
    <w:rsid w:val="74C01A5C"/>
    <w:rsid w:val="74C57302"/>
    <w:rsid w:val="74D3178F"/>
    <w:rsid w:val="74F636CF"/>
    <w:rsid w:val="75604BFB"/>
    <w:rsid w:val="757F4F2B"/>
    <w:rsid w:val="75803824"/>
    <w:rsid w:val="75911200"/>
    <w:rsid w:val="75F36C04"/>
    <w:rsid w:val="75F6664F"/>
    <w:rsid w:val="76CA0970"/>
    <w:rsid w:val="7702635B"/>
    <w:rsid w:val="77694336"/>
    <w:rsid w:val="778D79A7"/>
    <w:rsid w:val="77A1279F"/>
    <w:rsid w:val="77B021B5"/>
    <w:rsid w:val="7829682B"/>
    <w:rsid w:val="78FB178A"/>
    <w:rsid w:val="792720A9"/>
    <w:rsid w:val="796664F4"/>
    <w:rsid w:val="79870D9A"/>
    <w:rsid w:val="79AB2CDA"/>
    <w:rsid w:val="7A195DA1"/>
    <w:rsid w:val="7A700510"/>
    <w:rsid w:val="7A9E639B"/>
    <w:rsid w:val="7AA240DD"/>
    <w:rsid w:val="7AAB7433"/>
    <w:rsid w:val="7B2D1921"/>
    <w:rsid w:val="7B3F44E4"/>
    <w:rsid w:val="7B7E4979"/>
    <w:rsid w:val="7BCB1412"/>
    <w:rsid w:val="7BEE05A2"/>
    <w:rsid w:val="7BF3017A"/>
    <w:rsid w:val="7C0132AF"/>
    <w:rsid w:val="7C2C6727"/>
    <w:rsid w:val="7CD15B82"/>
    <w:rsid w:val="7CED7B6F"/>
    <w:rsid w:val="7D757DAE"/>
    <w:rsid w:val="7D7F24B4"/>
    <w:rsid w:val="7D7F72F7"/>
    <w:rsid w:val="7D951EC0"/>
    <w:rsid w:val="7DC9372F"/>
    <w:rsid w:val="7DF92132"/>
    <w:rsid w:val="7E497A3C"/>
    <w:rsid w:val="7E7328E3"/>
    <w:rsid w:val="7ED5043F"/>
    <w:rsid w:val="7F2A28F3"/>
    <w:rsid w:val="7F9972B4"/>
    <w:rsid w:val="7FC371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0"/>
    <w:pPr>
      <w:keepNext/>
      <w:keepLines/>
      <w:spacing w:before="240" w:after="240" w:line="240" w:lineRule="atLeast"/>
      <w:outlineLvl w:val="0"/>
    </w:pPr>
    <w:rPr>
      <w:rFonts w:eastAsia="黑体"/>
      <w:bCs/>
      <w:kern w:val="44"/>
      <w:sz w:val="24"/>
      <w:szCs w:val="44"/>
    </w:rPr>
  </w:style>
  <w:style w:type="paragraph" w:styleId="3">
    <w:name w:val="heading 2"/>
    <w:basedOn w:val="1"/>
    <w:next w:val="4"/>
    <w:link w:val="58"/>
    <w:qFormat/>
    <w:uiPriority w:val="0"/>
    <w:pPr>
      <w:keepNext/>
      <w:keepLines/>
      <w:spacing w:before="260" w:after="260" w:line="480" w:lineRule="exact"/>
      <w:jc w:val="center"/>
      <w:outlineLvl w:val="1"/>
    </w:pPr>
    <w:rPr>
      <w:rFonts w:ascii="宋体" w:hAnsi="宋体" w:eastAsia="黑体"/>
      <w:bCs/>
      <w:i/>
      <w:iCs/>
      <w:sz w:val="24"/>
      <w:szCs w:val="20"/>
    </w:rPr>
  </w:style>
  <w:style w:type="paragraph" w:styleId="5">
    <w:name w:val="heading 3"/>
    <w:basedOn w:val="1"/>
    <w:next w:val="4"/>
    <w:link w:val="62"/>
    <w:qFormat/>
    <w:uiPriority w:val="0"/>
    <w:pPr>
      <w:keepNext/>
      <w:keepLines/>
      <w:widowControl/>
      <w:spacing w:before="120" w:after="120" w:line="360" w:lineRule="auto"/>
      <w:jc w:val="center"/>
      <w:outlineLvl w:val="2"/>
    </w:pPr>
    <w:rPr>
      <w:b/>
      <w:kern w:val="0"/>
      <w:sz w:val="32"/>
      <w:szCs w:val="20"/>
    </w:rPr>
  </w:style>
  <w:style w:type="paragraph" w:styleId="6">
    <w:name w:val="heading 4"/>
    <w:basedOn w:val="1"/>
    <w:next w:val="4"/>
    <w:qFormat/>
    <w:uiPriority w:val="0"/>
    <w:pPr>
      <w:keepNext/>
      <w:adjustRightInd w:val="0"/>
      <w:spacing w:line="420" w:lineRule="atLeast"/>
      <w:ind w:firstLine="454"/>
      <w:jc w:val="center"/>
      <w:textAlignment w:val="baseline"/>
      <w:outlineLvl w:val="3"/>
    </w:pPr>
    <w:rPr>
      <w:i/>
      <w:kern w:val="0"/>
      <w:szCs w:val="20"/>
    </w:rPr>
  </w:style>
  <w:style w:type="paragraph" w:styleId="7">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1">
    <w:name w:val="Default Paragraph Font"/>
    <w:semiHidden/>
    <w:qFormat/>
    <w:uiPriority w:val="0"/>
  </w:style>
  <w:style w:type="table" w:default="1" w:styleId="3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1">
    <w:name w:val="toc 7"/>
    <w:basedOn w:val="1"/>
    <w:next w:val="1"/>
    <w:unhideWhenUsed/>
    <w:qFormat/>
    <w:uiPriority w:val="39"/>
    <w:pPr>
      <w:ind w:left="2520" w:leftChars="1200"/>
    </w:pPr>
    <w:rPr>
      <w:rFonts w:ascii="Calibri" w:hAnsi="Calibri" w:eastAsia="宋体" w:cs="Times New Roman"/>
      <w:szCs w:val="22"/>
    </w:rPr>
  </w:style>
  <w:style w:type="paragraph" w:styleId="12">
    <w:name w:val="caption"/>
    <w:basedOn w:val="1"/>
    <w:next w:val="1"/>
    <w:qFormat/>
    <w:uiPriority w:val="0"/>
    <w:rPr>
      <w:rFonts w:ascii="Arial" w:hAnsi="Arial" w:eastAsia="黑体" w:cs="Arial"/>
      <w:sz w:val="20"/>
      <w:szCs w:val="20"/>
    </w:rPr>
  </w:style>
  <w:style w:type="paragraph" w:styleId="13">
    <w:name w:val="Document Map"/>
    <w:basedOn w:val="1"/>
    <w:link w:val="56"/>
    <w:qFormat/>
    <w:uiPriority w:val="0"/>
    <w:rPr>
      <w:rFonts w:ascii="宋体"/>
      <w:sz w:val="18"/>
      <w:szCs w:val="18"/>
    </w:rPr>
  </w:style>
  <w:style w:type="paragraph" w:styleId="14">
    <w:name w:val="annotation text"/>
    <w:basedOn w:val="1"/>
    <w:link w:val="50"/>
    <w:qFormat/>
    <w:uiPriority w:val="0"/>
    <w:pPr>
      <w:jc w:val="left"/>
    </w:pPr>
  </w:style>
  <w:style w:type="paragraph" w:styleId="15">
    <w:name w:val="Body Text 3"/>
    <w:basedOn w:val="1"/>
    <w:link w:val="48"/>
    <w:qFormat/>
    <w:uiPriority w:val="0"/>
    <w:rPr>
      <w:rFonts w:ascii="宋体"/>
      <w:sz w:val="24"/>
      <w:szCs w:val="20"/>
    </w:rPr>
  </w:style>
  <w:style w:type="paragraph" w:styleId="16">
    <w:name w:val="Body Text"/>
    <w:basedOn w:val="1"/>
    <w:qFormat/>
    <w:uiPriority w:val="0"/>
    <w:pPr>
      <w:spacing w:after="120"/>
    </w:pPr>
  </w:style>
  <w:style w:type="paragraph" w:styleId="17">
    <w:name w:val="Body Text Indent"/>
    <w:basedOn w:val="1"/>
    <w:qFormat/>
    <w:uiPriority w:val="0"/>
    <w:pPr>
      <w:spacing w:after="120"/>
      <w:ind w:left="420" w:leftChars="200"/>
    </w:pPr>
  </w:style>
  <w:style w:type="paragraph" w:styleId="18">
    <w:name w:val="toc 5"/>
    <w:basedOn w:val="1"/>
    <w:next w:val="1"/>
    <w:unhideWhenUsed/>
    <w:qFormat/>
    <w:uiPriority w:val="39"/>
    <w:pPr>
      <w:ind w:left="1680" w:leftChars="800"/>
    </w:pPr>
    <w:rPr>
      <w:rFonts w:ascii="Calibri" w:hAnsi="Calibri" w:eastAsia="宋体" w:cs="Times New Roman"/>
      <w:szCs w:val="22"/>
    </w:rPr>
  </w:style>
  <w:style w:type="paragraph" w:styleId="19">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0">
    <w:name w:val="Plain Text"/>
    <w:basedOn w:val="1"/>
    <w:link w:val="55"/>
    <w:qFormat/>
    <w:uiPriority w:val="0"/>
    <w:rPr>
      <w:rFonts w:ascii="宋体" w:hAnsi="Courier New"/>
      <w:szCs w:val="20"/>
    </w:rPr>
  </w:style>
  <w:style w:type="paragraph" w:styleId="21">
    <w:name w:val="toc 8"/>
    <w:basedOn w:val="1"/>
    <w:next w:val="1"/>
    <w:unhideWhenUsed/>
    <w:qFormat/>
    <w:uiPriority w:val="39"/>
    <w:pPr>
      <w:ind w:left="2940" w:leftChars="1400"/>
    </w:pPr>
    <w:rPr>
      <w:rFonts w:ascii="Calibri" w:hAnsi="Calibri" w:eastAsia="宋体" w:cs="Times New Roman"/>
      <w:szCs w:val="22"/>
    </w:rPr>
  </w:style>
  <w:style w:type="paragraph" w:styleId="22">
    <w:name w:val="Date"/>
    <w:basedOn w:val="1"/>
    <w:next w:val="1"/>
    <w:qFormat/>
    <w:uiPriority w:val="0"/>
    <w:rPr>
      <w:sz w:val="24"/>
      <w:szCs w:val="20"/>
    </w:rPr>
  </w:style>
  <w:style w:type="paragraph" w:styleId="23">
    <w:name w:val="Body Text Indent 2"/>
    <w:basedOn w:val="1"/>
    <w:qFormat/>
    <w:uiPriority w:val="0"/>
    <w:pPr>
      <w:spacing w:line="500" w:lineRule="exact"/>
      <w:ind w:firstLine="540" w:firstLineChars="200"/>
    </w:pPr>
    <w:rPr>
      <w:rFonts w:ascii="宋体" w:hAnsi="宋体"/>
      <w:sz w:val="27"/>
      <w:szCs w:val="27"/>
    </w:rPr>
  </w:style>
  <w:style w:type="paragraph" w:styleId="24">
    <w:name w:val="endnote text"/>
    <w:basedOn w:val="1"/>
    <w:semiHidden/>
    <w:qFormat/>
    <w:uiPriority w:val="0"/>
    <w:pPr>
      <w:snapToGrid w:val="0"/>
      <w:jc w:val="left"/>
    </w:pPr>
  </w:style>
  <w:style w:type="paragraph" w:styleId="25">
    <w:name w:val="Balloon Text"/>
    <w:basedOn w:val="1"/>
    <w:semiHidden/>
    <w:qFormat/>
    <w:uiPriority w:val="0"/>
    <w:rPr>
      <w:sz w:val="18"/>
      <w:szCs w:val="18"/>
    </w:rPr>
  </w:style>
  <w:style w:type="paragraph" w:styleId="26">
    <w:name w:val="footer"/>
    <w:basedOn w:val="1"/>
    <w:link w:val="51"/>
    <w:qFormat/>
    <w:uiPriority w:val="0"/>
    <w:pPr>
      <w:tabs>
        <w:tab w:val="center" w:pos="4153"/>
        <w:tab w:val="right" w:pos="8306"/>
      </w:tabs>
      <w:snapToGrid w:val="0"/>
      <w:jc w:val="left"/>
    </w:pPr>
    <w:rPr>
      <w:sz w:val="18"/>
      <w:szCs w:val="18"/>
    </w:rPr>
  </w:style>
  <w:style w:type="paragraph" w:styleId="27">
    <w:name w:val="header"/>
    <w:basedOn w:val="1"/>
    <w:link w:val="65"/>
    <w:qFormat/>
    <w:uiPriority w:val="0"/>
    <w:pPr>
      <w:tabs>
        <w:tab w:val="center" w:pos="4153"/>
        <w:tab w:val="right" w:pos="8306"/>
      </w:tabs>
      <w:snapToGrid w:val="0"/>
      <w:jc w:val="center"/>
    </w:pPr>
    <w:rPr>
      <w:sz w:val="18"/>
      <w:szCs w:val="18"/>
    </w:rPr>
  </w:style>
  <w:style w:type="paragraph" w:styleId="28">
    <w:name w:val="toc 1"/>
    <w:basedOn w:val="1"/>
    <w:next w:val="1"/>
    <w:qFormat/>
    <w:uiPriority w:val="39"/>
    <w:pPr>
      <w:tabs>
        <w:tab w:val="left" w:pos="425"/>
        <w:tab w:val="right" w:leader="dot" w:pos="8805"/>
      </w:tabs>
      <w:spacing w:line="440" w:lineRule="exact"/>
      <w:jc w:val="center"/>
    </w:pPr>
    <w:rPr>
      <w:color w:val="000000"/>
      <w:sz w:val="20"/>
      <w:szCs w:val="20"/>
    </w:rPr>
  </w:style>
  <w:style w:type="paragraph" w:styleId="29">
    <w:name w:val="toc 4"/>
    <w:basedOn w:val="1"/>
    <w:next w:val="1"/>
    <w:unhideWhenUsed/>
    <w:qFormat/>
    <w:uiPriority w:val="39"/>
    <w:pPr>
      <w:ind w:left="1260" w:leftChars="600"/>
    </w:pPr>
    <w:rPr>
      <w:rFonts w:ascii="Calibri" w:hAnsi="Calibri" w:eastAsia="宋体" w:cs="Times New Roman"/>
      <w:szCs w:val="22"/>
    </w:rPr>
  </w:style>
  <w:style w:type="paragraph" w:styleId="30">
    <w:name w:val="footnote text"/>
    <w:basedOn w:val="1"/>
    <w:link w:val="57"/>
    <w:qFormat/>
    <w:uiPriority w:val="0"/>
    <w:pPr>
      <w:adjustRightInd w:val="0"/>
      <w:snapToGrid w:val="0"/>
      <w:spacing w:line="420" w:lineRule="atLeast"/>
      <w:ind w:firstLine="454"/>
      <w:jc w:val="left"/>
      <w:textAlignment w:val="baseline"/>
    </w:pPr>
    <w:rPr>
      <w:kern w:val="0"/>
      <w:sz w:val="18"/>
      <w:szCs w:val="20"/>
    </w:rPr>
  </w:style>
  <w:style w:type="paragraph" w:styleId="31">
    <w:name w:val="toc 6"/>
    <w:basedOn w:val="1"/>
    <w:next w:val="1"/>
    <w:unhideWhenUsed/>
    <w:qFormat/>
    <w:uiPriority w:val="39"/>
    <w:pPr>
      <w:ind w:left="2100" w:leftChars="1000"/>
    </w:pPr>
    <w:rPr>
      <w:rFonts w:ascii="Calibri" w:hAnsi="Calibri" w:eastAsia="宋体" w:cs="Times New Roman"/>
      <w:szCs w:val="22"/>
    </w:rPr>
  </w:style>
  <w:style w:type="paragraph" w:styleId="32">
    <w:name w:val="Body Text Indent 3"/>
    <w:basedOn w:val="1"/>
    <w:qFormat/>
    <w:uiPriority w:val="0"/>
    <w:pPr>
      <w:spacing w:after="120"/>
      <w:ind w:left="420" w:leftChars="200"/>
    </w:pPr>
    <w:rPr>
      <w:sz w:val="16"/>
      <w:szCs w:val="16"/>
    </w:rPr>
  </w:style>
  <w:style w:type="paragraph" w:styleId="33">
    <w:name w:val="toc 2"/>
    <w:basedOn w:val="1"/>
    <w:next w:val="1"/>
    <w:qFormat/>
    <w:uiPriority w:val="39"/>
    <w:pPr>
      <w:ind w:left="420" w:leftChars="200"/>
    </w:pPr>
  </w:style>
  <w:style w:type="paragraph" w:styleId="34">
    <w:name w:val="toc 9"/>
    <w:basedOn w:val="1"/>
    <w:next w:val="1"/>
    <w:unhideWhenUsed/>
    <w:qFormat/>
    <w:uiPriority w:val="39"/>
    <w:pPr>
      <w:ind w:left="3360" w:leftChars="1600"/>
    </w:pPr>
    <w:rPr>
      <w:rFonts w:ascii="Calibri" w:hAnsi="Calibri" w:eastAsia="宋体" w:cs="Times New Roman"/>
      <w:szCs w:val="22"/>
    </w:rPr>
  </w:style>
  <w:style w:type="paragraph" w:styleId="35">
    <w:name w:val="Body Text 2"/>
    <w:basedOn w:val="1"/>
    <w:qFormat/>
    <w:uiPriority w:val="0"/>
    <w:pPr>
      <w:spacing w:after="120" w:line="480" w:lineRule="auto"/>
    </w:pPr>
  </w:style>
  <w:style w:type="paragraph" w:styleId="36">
    <w:name w:val="index 1"/>
    <w:basedOn w:val="1"/>
    <w:next w:val="1"/>
    <w:semiHidden/>
    <w:qFormat/>
    <w:uiPriority w:val="0"/>
    <w:pPr>
      <w:spacing w:line="220" w:lineRule="exact"/>
      <w:jc w:val="center"/>
    </w:pPr>
    <w:rPr>
      <w:rFonts w:ascii="仿宋_GB2312" w:eastAsia="仿宋_GB2312"/>
      <w:szCs w:val="21"/>
    </w:rPr>
  </w:style>
  <w:style w:type="paragraph" w:styleId="37">
    <w:name w:val="Title"/>
    <w:basedOn w:val="1"/>
    <w:link w:val="5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8">
    <w:name w:val="annotation subject"/>
    <w:basedOn w:val="14"/>
    <w:next w:val="14"/>
    <w:link w:val="49"/>
    <w:qFormat/>
    <w:uiPriority w:val="0"/>
    <w:rPr>
      <w:b/>
      <w:bCs/>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endnote reference"/>
    <w:semiHidden/>
    <w:qFormat/>
    <w:uiPriority w:val="0"/>
    <w:rPr>
      <w:vertAlign w:val="superscript"/>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character" w:styleId="47">
    <w:name w:val="footnote reference"/>
    <w:qFormat/>
    <w:uiPriority w:val="0"/>
    <w:rPr>
      <w:vertAlign w:val="superscript"/>
    </w:rPr>
  </w:style>
  <w:style w:type="character" w:customStyle="1" w:styleId="48">
    <w:name w:val="正文文本 3 Char"/>
    <w:basedOn w:val="41"/>
    <w:link w:val="15"/>
    <w:qFormat/>
    <w:uiPriority w:val="0"/>
    <w:rPr>
      <w:rFonts w:ascii="宋体"/>
      <w:kern w:val="2"/>
      <w:sz w:val="24"/>
    </w:rPr>
  </w:style>
  <w:style w:type="character" w:customStyle="1" w:styleId="49">
    <w:name w:val="批注主题 Char"/>
    <w:link w:val="38"/>
    <w:qFormat/>
    <w:uiPriority w:val="0"/>
    <w:rPr>
      <w:b/>
      <w:bCs/>
      <w:kern w:val="2"/>
      <w:sz w:val="21"/>
      <w:szCs w:val="24"/>
    </w:rPr>
  </w:style>
  <w:style w:type="character" w:customStyle="1" w:styleId="50">
    <w:name w:val="批注文字 Char"/>
    <w:basedOn w:val="41"/>
    <w:link w:val="14"/>
    <w:qFormat/>
    <w:uiPriority w:val="0"/>
    <w:rPr>
      <w:kern w:val="2"/>
      <w:sz w:val="21"/>
      <w:szCs w:val="24"/>
    </w:rPr>
  </w:style>
  <w:style w:type="character" w:customStyle="1" w:styleId="51">
    <w:name w:val="页脚 Char"/>
    <w:link w:val="26"/>
    <w:qFormat/>
    <w:uiPriority w:val="0"/>
    <w:rPr>
      <w:rFonts w:eastAsia="宋体"/>
      <w:kern w:val="2"/>
      <w:sz w:val="18"/>
      <w:szCs w:val="18"/>
      <w:lang w:val="en-US" w:eastAsia="zh-CN" w:bidi="ar-SA"/>
    </w:rPr>
  </w:style>
  <w:style w:type="character" w:customStyle="1" w:styleId="52">
    <w:name w:val="font161"/>
    <w:qFormat/>
    <w:uiPriority w:val="0"/>
    <w:rPr>
      <w:b/>
      <w:bCs/>
      <w:sz w:val="32"/>
      <w:szCs w:val="32"/>
    </w:rPr>
  </w:style>
  <w:style w:type="character" w:customStyle="1" w:styleId="53">
    <w:name w:val="标题 Char"/>
    <w:link w:val="37"/>
    <w:qFormat/>
    <w:uiPriority w:val="0"/>
    <w:rPr>
      <w:rFonts w:ascii="Arial" w:hAnsi="Arial" w:eastAsia="宋体"/>
      <w:b/>
      <w:sz w:val="32"/>
      <w:lang w:val="en-US" w:eastAsia="zh-CN" w:bidi="ar-SA"/>
    </w:rPr>
  </w:style>
  <w:style w:type="character" w:customStyle="1" w:styleId="54">
    <w:name w:val="数字"/>
    <w:qFormat/>
    <w:uiPriority w:val="0"/>
    <w:rPr>
      <w:rFonts w:eastAsia="黑体"/>
      <w:b/>
      <w:sz w:val="21"/>
    </w:rPr>
  </w:style>
  <w:style w:type="character" w:customStyle="1" w:styleId="55">
    <w:name w:val="纯文本 Char"/>
    <w:link w:val="20"/>
    <w:qFormat/>
    <w:uiPriority w:val="0"/>
    <w:rPr>
      <w:rFonts w:ascii="宋体" w:hAnsi="Courier New" w:eastAsia="宋体"/>
      <w:kern w:val="2"/>
      <w:sz w:val="21"/>
      <w:lang w:val="en-US" w:eastAsia="zh-CN" w:bidi="ar-SA"/>
    </w:rPr>
  </w:style>
  <w:style w:type="character" w:customStyle="1" w:styleId="56">
    <w:name w:val="文档结构图 Char"/>
    <w:link w:val="13"/>
    <w:qFormat/>
    <w:uiPriority w:val="0"/>
    <w:rPr>
      <w:rFonts w:ascii="宋体"/>
      <w:kern w:val="2"/>
      <w:sz w:val="18"/>
      <w:szCs w:val="18"/>
    </w:rPr>
  </w:style>
  <w:style w:type="character" w:customStyle="1" w:styleId="57">
    <w:name w:val="脚注文本 Char"/>
    <w:link w:val="30"/>
    <w:qFormat/>
    <w:uiPriority w:val="0"/>
    <w:rPr>
      <w:sz w:val="18"/>
    </w:rPr>
  </w:style>
  <w:style w:type="character" w:customStyle="1" w:styleId="58">
    <w:name w:val="标题 2 Char"/>
    <w:link w:val="3"/>
    <w:qFormat/>
    <w:uiPriority w:val="0"/>
    <w:rPr>
      <w:rFonts w:ascii="宋体" w:hAnsi="宋体" w:eastAsia="黑体"/>
      <w:bCs/>
      <w:i/>
      <w:iCs/>
      <w:kern w:val="2"/>
      <w:sz w:val="24"/>
    </w:rPr>
  </w:style>
  <w:style w:type="character" w:customStyle="1" w:styleId="59">
    <w:name w:val="H001 Char"/>
    <w:link w:val="60"/>
    <w:qFormat/>
    <w:uiPriority w:val="0"/>
    <w:rPr>
      <w:rFonts w:eastAsia="黑体"/>
      <w:bCs/>
      <w:kern w:val="44"/>
      <w:sz w:val="24"/>
      <w:szCs w:val="44"/>
    </w:rPr>
  </w:style>
  <w:style w:type="paragraph" w:customStyle="1" w:styleId="60">
    <w:name w:val="H001"/>
    <w:basedOn w:val="2"/>
    <w:link w:val="59"/>
    <w:qFormat/>
    <w:uiPriority w:val="0"/>
    <w:pPr>
      <w:spacing w:before="240" w:after="240" w:line="240" w:lineRule="exact"/>
    </w:pPr>
    <w:rPr>
      <w:rFonts w:eastAsia="黑体"/>
      <w:sz w:val="24"/>
    </w:rPr>
  </w:style>
  <w:style w:type="character" w:customStyle="1" w:styleId="61">
    <w:name w:val="脚注文本 字符1"/>
    <w:semiHidden/>
    <w:qFormat/>
    <w:locked/>
    <w:uiPriority w:val="0"/>
    <w:rPr>
      <w:kern w:val="2"/>
      <w:sz w:val="18"/>
      <w:szCs w:val="18"/>
    </w:rPr>
  </w:style>
  <w:style w:type="character" w:customStyle="1" w:styleId="62">
    <w:name w:val="标题 3 Char"/>
    <w:link w:val="5"/>
    <w:qFormat/>
    <w:uiPriority w:val="0"/>
    <w:rPr>
      <w:b/>
      <w:sz w:val="32"/>
    </w:rPr>
  </w:style>
  <w:style w:type="character" w:customStyle="1" w:styleId="63">
    <w:name w:val="标题 1 Char"/>
    <w:link w:val="2"/>
    <w:qFormat/>
    <w:uiPriority w:val="0"/>
    <w:rPr>
      <w:rFonts w:eastAsia="黑体"/>
      <w:bCs/>
      <w:kern w:val="44"/>
      <w:sz w:val="24"/>
      <w:szCs w:val="44"/>
    </w:rPr>
  </w:style>
  <w:style w:type="character" w:customStyle="1" w:styleId="64">
    <w:name w:val="未处理的提及"/>
    <w:unhideWhenUsed/>
    <w:qFormat/>
    <w:uiPriority w:val="99"/>
    <w:rPr>
      <w:color w:val="808080"/>
      <w:shd w:val="clear" w:color="auto" w:fill="E6E6E6"/>
    </w:rPr>
  </w:style>
  <w:style w:type="character" w:customStyle="1" w:styleId="65">
    <w:name w:val="页眉 Char"/>
    <w:basedOn w:val="41"/>
    <w:link w:val="27"/>
    <w:qFormat/>
    <w:uiPriority w:val="0"/>
    <w:rPr>
      <w:kern w:val="2"/>
      <w:sz w:val="18"/>
      <w:szCs w:val="18"/>
    </w:rPr>
  </w:style>
  <w:style w:type="paragraph" w:customStyle="1" w:styleId="66">
    <w:name w:val="2"/>
    <w:basedOn w:val="1"/>
    <w:qFormat/>
    <w:uiPriority w:val="0"/>
    <w:pPr>
      <w:adjustRightInd w:val="0"/>
      <w:spacing w:line="420" w:lineRule="atLeast"/>
      <w:ind w:left="1134" w:hanging="227"/>
      <w:textAlignment w:val="baseline"/>
    </w:pPr>
    <w:rPr>
      <w:kern w:val="0"/>
      <w:szCs w:val="20"/>
    </w:rPr>
  </w:style>
  <w:style w:type="paragraph" w:customStyle="1" w:styleId="67">
    <w:name w:val="表格2"/>
    <w:basedOn w:val="1"/>
    <w:qFormat/>
    <w:uiPriority w:val="0"/>
    <w:pPr>
      <w:adjustRightInd w:val="0"/>
      <w:spacing w:line="420" w:lineRule="atLeast"/>
      <w:ind w:left="284" w:firstLine="454"/>
      <w:textAlignment w:val="baseline"/>
    </w:pPr>
    <w:rPr>
      <w:kern w:val="0"/>
      <w:szCs w:val="20"/>
    </w:rPr>
  </w:style>
  <w:style w:type="paragraph" w:customStyle="1" w:styleId="68">
    <w:name w:val="表格6"/>
    <w:basedOn w:val="69"/>
    <w:qFormat/>
    <w:uiPriority w:val="0"/>
    <w:pPr>
      <w:ind w:left="737" w:firstLine="0"/>
    </w:pPr>
  </w:style>
  <w:style w:type="paragraph" w:customStyle="1" w:styleId="69">
    <w:name w:val="表格5"/>
    <w:basedOn w:val="67"/>
    <w:qFormat/>
    <w:uiPriority w:val="0"/>
    <w:pPr>
      <w:ind w:left="1021" w:hanging="284"/>
    </w:pPr>
    <w:rPr>
      <w:rFonts w:ascii="宋体"/>
    </w:rPr>
  </w:style>
  <w:style w:type="paragraph" w:customStyle="1" w:styleId="70">
    <w:name w:val=" Char Char Char"/>
    <w:basedOn w:val="1"/>
    <w:qFormat/>
    <w:uiPriority w:val="0"/>
    <w:rPr>
      <w:szCs w:val="20"/>
    </w:rPr>
  </w:style>
  <w:style w:type="paragraph" w:customStyle="1" w:styleId="71">
    <w:name w:val="af15hichaf0dbchf15cgrid"/>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72">
    <w:name w:val="表格3"/>
    <w:basedOn w:val="1"/>
    <w:qFormat/>
    <w:uiPriority w:val="0"/>
    <w:pPr>
      <w:adjustRightInd w:val="0"/>
      <w:spacing w:line="420" w:lineRule="atLeast"/>
      <w:textAlignment w:val="baseline"/>
    </w:pPr>
    <w:rPr>
      <w:rFonts w:eastAsia="楷体"/>
      <w:kern w:val="0"/>
      <w:szCs w:val="20"/>
    </w:rPr>
  </w:style>
  <w:style w:type="paragraph" w:customStyle="1" w:styleId="73">
    <w:name w:val="表中"/>
    <w:basedOn w:val="1"/>
    <w:qFormat/>
    <w:uiPriority w:val="0"/>
    <w:pPr>
      <w:adjustRightInd w:val="0"/>
      <w:spacing w:line="360" w:lineRule="atLeast"/>
      <w:jc w:val="center"/>
      <w:textAlignment w:val="baseline"/>
    </w:pPr>
    <w:rPr>
      <w:kern w:val="0"/>
      <w:szCs w:val="20"/>
    </w:rPr>
  </w:style>
  <w:style w:type="paragraph" w:customStyle="1" w:styleId="74">
    <w:name w:val="表格4"/>
    <w:basedOn w:val="1"/>
    <w:qFormat/>
    <w:uiPriority w:val="0"/>
    <w:pPr>
      <w:adjustRightInd w:val="0"/>
      <w:spacing w:line="420" w:lineRule="atLeast"/>
      <w:ind w:left="1021"/>
      <w:textAlignment w:val="baseline"/>
    </w:pPr>
    <w:rPr>
      <w:kern w:val="0"/>
      <w:szCs w:val="20"/>
    </w:rPr>
  </w:style>
  <w:style w:type="paragraph" w:customStyle="1" w:styleId="7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6">
    <w:name w:val="1"/>
    <w:basedOn w:val="1"/>
    <w:next w:val="1"/>
    <w:qFormat/>
    <w:uiPriority w:val="0"/>
  </w:style>
  <w:style w:type="paragraph" w:customStyle="1" w:styleId="77">
    <w:name w:val="表格文字"/>
    <w:basedOn w:val="1"/>
    <w:qFormat/>
    <w:uiPriority w:val="0"/>
    <w:pPr>
      <w:adjustRightInd w:val="0"/>
      <w:spacing w:line="420" w:lineRule="atLeast"/>
      <w:jc w:val="left"/>
      <w:textAlignment w:val="baseline"/>
    </w:pPr>
    <w:rPr>
      <w:kern w:val="0"/>
      <w:szCs w:val="20"/>
    </w:rPr>
  </w:style>
  <w:style w:type="paragraph" w:customStyle="1" w:styleId="78">
    <w:name w:val="表格"/>
    <w:basedOn w:val="1"/>
    <w:qFormat/>
    <w:uiPriority w:val="0"/>
    <w:pPr>
      <w:jc w:val="center"/>
      <w:textAlignment w:val="center"/>
    </w:pPr>
    <w:rPr>
      <w:rFonts w:ascii="华文细黑" w:hAnsi="华文细黑"/>
      <w:kern w:val="0"/>
      <w:szCs w:val="20"/>
    </w:rPr>
  </w:style>
  <w:style w:type="paragraph" w:customStyle="1" w:styleId="79">
    <w:name w:val="表格方字"/>
    <w:basedOn w:val="1"/>
    <w:qFormat/>
    <w:uiPriority w:val="0"/>
    <w:pPr>
      <w:adjustRightInd w:val="0"/>
      <w:spacing w:before="60" w:after="60" w:line="420" w:lineRule="atLeast"/>
      <w:jc w:val="left"/>
      <w:textAlignment w:val="baseline"/>
    </w:pPr>
    <w:rPr>
      <w:kern w:val="0"/>
      <w:szCs w:val="20"/>
    </w:rPr>
  </w:style>
  <w:style w:type="paragraph" w:customStyle="1" w:styleId="80">
    <w:name w:val="表头"/>
    <w:basedOn w:val="79"/>
    <w:qFormat/>
    <w:uiPriority w:val="0"/>
    <w:rPr>
      <w:rFonts w:ascii="黑体" w:eastAsia="黑体"/>
      <w:b/>
    </w:rPr>
  </w:style>
  <w:style w:type="paragraph" w:customStyle="1" w:styleId="81">
    <w:name w:val="表格1"/>
    <w:basedOn w:val="1"/>
    <w:qFormat/>
    <w:uiPriority w:val="0"/>
    <w:pPr>
      <w:adjustRightInd w:val="0"/>
      <w:spacing w:line="420" w:lineRule="atLeast"/>
      <w:ind w:left="284"/>
      <w:textAlignment w:val="baseline"/>
    </w:pPr>
    <w:rPr>
      <w:kern w:val="0"/>
      <w:szCs w:val="20"/>
    </w:rPr>
  </w:style>
  <w:style w:type="paragraph" w:customStyle="1" w:styleId="82">
    <w:name w:val=" Char Char Char Char Char Char"/>
    <w:basedOn w:val="1"/>
    <w:qFormat/>
    <w:uiPriority w:val="0"/>
  </w:style>
  <w:style w:type="paragraph" w:customStyle="1" w:styleId="83">
    <w:name w:val=" Char"/>
    <w:basedOn w:val="1"/>
    <w:qFormat/>
    <w:uiPriority w:val="0"/>
  </w:style>
  <w:style w:type="paragraph" w:customStyle="1" w:styleId="84">
    <w:name w:val=" Char1"/>
    <w:basedOn w:val="1"/>
    <w:qFormat/>
    <w:uiPriority w:val="0"/>
  </w:style>
  <w:style w:type="paragraph" w:customStyle="1" w:styleId="85">
    <w:name w:val="Char"/>
    <w:basedOn w:val="1"/>
    <w:qFormat/>
    <w:uiPriority w:val="0"/>
  </w:style>
  <w:style w:type="paragraph" w:customStyle="1" w:styleId="86">
    <w:name w:val=" Char Char Char Char Char Char Char Char Char Char Char Char Char Char Char Char Char Char1 Char Char Char Char"/>
    <w:basedOn w:val="1"/>
    <w:qFormat/>
    <w:uiPriority w:val="0"/>
  </w:style>
  <w:style w:type="paragraph" w:customStyle="1" w:styleId="87">
    <w:name w:val="_Style 86"/>
    <w:semiHidden/>
    <w:qFormat/>
    <w:uiPriority w:val="99"/>
    <w:rPr>
      <w:rFonts w:ascii="Times New Roman" w:hAnsi="Times New Roman" w:eastAsia="宋体" w:cs="Times New Roman"/>
      <w:kern w:val="2"/>
      <w:sz w:val="21"/>
      <w:szCs w:val="24"/>
      <w:lang w:val="en-US" w:eastAsia="zh-CN" w:bidi="ar-SA"/>
    </w:rPr>
  </w:style>
  <w:style w:type="paragraph" w:customStyle="1" w:styleId="88">
    <w:name w:val="_Style 87"/>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89">
    <w:name w:val="Char Char Char"/>
    <w:basedOn w:val="1"/>
    <w:qFormat/>
    <w:uiPriority w:val="0"/>
    <w:rPr>
      <w:szCs w:val="20"/>
    </w:rPr>
  </w:style>
  <w:style w:type="paragraph" w:customStyle="1" w:styleId="90">
    <w:name w:val="WPSOffice手动目录 1"/>
    <w:qFormat/>
    <w:uiPriority w:val="0"/>
    <w:pPr>
      <w:ind w:leftChars="0"/>
    </w:pPr>
    <w:rPr>
      <w:rFonts w:ascii="Times New Roman" w:hAnsi="Times New Roman" w:eastAsia="宋体" w:cs="Times New Roman"/>
      <w:sz w:val="20"/>
      <w:szCs w:val="20"/>
    </w:rPr>
  </w:style>
  <w:style w:type="paragraph" w:customStyle="1" w:styleId="91">
    <w:name w:val="WPSOffice手动目录 3"/>
    <w:qFormat/>
    <w:uiPriority w:val="0"/>
    <w:pPr>
      <w:ind w:leftChars="400"/>
    </w:pPr>
    <w:rPr>
      <w:rFonts w:ascii="Times New Roman" w:hAnsi="Times New Roman" w:eastAsia="宋体" w:cs="Times New Roman"/>
      <w:sz w:val="20"/>
      <w:szCs w:val="20"/>
    </w:rPr>
  </w:style>
  <w:style w:type="paragraph" w:customStyle="1" w:styleId="92">
    <w:name w:val="WPSOffice手动目录 2"/>
    <w:qFormat/>
    <w:uiPriority w:val="0"/>
    <w:pPr>
      <w:ind w:leftChars="200"/>
    </w:pPr>
    <w:rPr>
      <w:rFonts w:ascii="Times New Roman" w:hAnsi="Times New Roman" w:eastAsia="宋体" w:cs="Times New Roman"/>
      <w:sz w:val="20"/>
      <w:szCs w:val="20"/>
    </w:rPr>
  </w:style>
  <w:style w:type="table" w:customStyle="1" w:styleId="9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wmf"/><Relationship Id="rId53" Type="http://schemas.openxmlformats.org/officeDocument/2006/relationships/oleObject" Target="embeddings/oleObject1.bin"/><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25.xml"/><Relationship Id="rId5" Type="http://schemas.openxmlformats.org/officeDocument/2006/relationships/header" Target="header2.xml"/><Relationship Id="rId49" Type="http://schemas.openxmlformats.org/officeDocument/2006/relationships/header" Target="header22.xml"/><Relationship Id="rId48" Type="http://schemas.openxmlformats.org/officeDocument/2006/relationships/header" Target="header21.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header" Target="header20.xml"/><Relationship Id="rId44" Type="http://schemas.openxmlformats.org/officeDocument/2006/relationships/header" Target="header19.xml"/><Relationship Id="rId43" Type="http://schemas.openxmlformats.org/officeDocument/2006/relationships/footer" Target="footer22.xml"/><Relationship Id="rId42" Type="http://schemas.openxmlformats.org/officeDocument/2006/relationships/footer" Target="footer21.xml"/><Relationship Id="rId41" Type="http://schemas.openxmlformats.org/officeDocument/2006/relationships/footer" Target="footer20.xml"/><Relationship Id="rId40" Type="http://schemas.openxmlformats.org/officeDocument/2006/relationships/header" Target="header18.xml"/><Relationship Id="rId4" Type="http://schemas.openxmlformats.org/officeDocument/2006/relationships/header" Target="header1.xml"/><Relationship Id="rId39" Type="http://schemas.openxmlformats.org/officeDocument/2006/relationships/header" Target="header17.xml"/><Relationship Id="rId38" Type="http://schemas.openxmlformats.org/officeDocument/2006/relationships/footer" Target="footer19.xml"/><Relationship Id="rId37" Type="http://schemas.openxmlformats.org/officeDocument/2006/relationships/header" Target="header16.xml"/><Relationship Id="rId36" Type="http://schemas.openxmlformats.org/officeDocument/2006/relationships/footer" Target="footer18.xml"/><Relationship Id="rId35" Type="http://schemas.openxmlformats.org/officeDocument/2006/relationships/header" Target="header15.xml"/><Relationship Id="rId34" Type="http://schemas.openxmlformats.org/officeDocument/2006/relationships/footer" Target="footer17.xml"/><Relationship Id="rId33" Type="http://schemas.openxmlformats.org/officeDocument/2006/relationships/header" Target="header14.xml"/><Relationship Id="rId32" Type="http://schemas.openxmlformats.org/officeDocument/2006/relationships/footer" Target="footer16.xml"/><Relationship Id="rId31" Type="http://schemas.openxmlformats.org/officeDocument/2006/relationships/header" Target="header13.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260</Pages>
  <Words>3857</Words>
  <Characters>5258</Characters>
  <Lines>1513</Lines>
  <Paragraphs>426</Paragraphs>
  <TotalTime>48</TotalTime>
  <ScaleCrop>false</ScaleCrop>
  <LinksUpToDate>false</LinksUpToDate>
  <CharactersWithSpaces>7744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2016-09-27T13:48:00Z</dcterms:created>
  <dc:creator>袁静</dc:creator>
  <cp:lastModifiedBy>祈连山</cp:lastModifiedBy>
  <cp:lastPrinted>2026-04-03T00:44:00Z</cp:lastPrinted>
  <dcterms:modified xsi:type="dcterms:W3CDTF">2026-04-08T06:01:38Z</dcterms:modified>
  <dc:title>公路工程标准施工招标文件</dc:title>
  <cp:revision>1807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7A45464F581743CBAF3B78BDA9F0A1AB_13</vt:lpwstr>
  </property>
  <property fmtid="{D5CDD505-2E9C-101B-9397-08002B2CF9AE}" pid="4" name="KSOTemplateDocerSaveRecord">
    <vt:lpwstr>eyJoZGlkIjoiMDhkMmQzNzlmZWZmMGVkYjY1YTA0ODM1ODNmNWVhNGEiLCJ1c2VySWQiOiI0MDUzMDUyMjAifQ==</vt:lpwstr>
  </property>
</Properties>
</file>